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1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drawing>
          <wp:anchor distT="0" distB="0" distL="0" distR="0" allowOverlap="1" layoutInCell="1" locked="0" behindDoc="0" simplePos="0" relativeHeight="0">
            <wp:simplePos x="0" y="0"/>
            <wp:positionH relativeFrom="page">
              <wp:posOffset>1307464</wp:posOffset>
            </wp:positionH>
            <wp:positionV relativeFrom="page">
              <wp:posOffset>1075689</wp:posOffset>
            </wp:positionV>
            <wp:extent cx="1054735" cy="95440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1054735" cy="954404"/>
                    </a:xfrm>
                    <a:prstGeom prst="rect">
                      <a:avLst/>
                    </a:prstGeom>
                  </pic:spPr>
                </pic:pic>
              </a:graphicData>
            </a:graphic>
          </wp:anchor>
        </w:drawing>
      </w:r>
      <w:r>
        <w:rPr/>
        <w:pict>
          <v:line style="position:absolute;mso-position-horizontal-relative:page;mso-position-vertical-relative:page;z-index:1048" from="142.050003pt,169.5pt" to="142.050003pt,676.5pt" stroked="true" strokeweight="2pt" strokecolor="#000000">
            <w10:wrap type="none"/>
          </v:line>
        </w:pict>
      </w:r>
      <w:r>
        <w:rPr/>
        <w:pict>
          <v:line style="position:absolute;mso-position-horizontal-relative:page;mso-position-vertical-relative:page;z-index:1072" from="136.050003pt,169.5pt" to="136.050003pt,625.5pt" stroked="true" strokeweight="2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p>
    <w:p>
      <w:pPr>
        <w:spacing w:line="360" w:lineRule="auto" w:before="50"/>
        <w:ind w:left="2279" w:right="113" w:firstLine="1"/>
        <w:jc w:val="center"/>
        <w:rPr>
          <w:b/>
          <w:sz w:val="36"/>
        </w:rPr>
      </w:pPr>
      <w:r>
        <w:rPr/>
        <w:pict>
          <v:line style="position:absolute;mso-position-horizontal-relative:page;mso-position-vertical-relative:paragraph;z-index:1096" from="130.050003pt,-47.426514pt" to="130.050003pt,384.573486pt" stroked="true" strokeweight="2pt" strokecolor="#000000">
            <w10:wrap type="none"/>
          </v:line>
        </w:pict>
      </w:r>
      <w:r>
        <w:rPr>
          <w:b/>
          <w:color w:val="1F487C"/>
          <w:sz w:val="36"/>
        </w:rPr>
        <w:t>“EL EFECTO DE LOS ACEITES DE OLEAGINOSAS EN RUMEN EN EL SISTEMA DE FERMENTACIÓN IN VITRO”</w:t>
      </w:r>
    </w:p>
    <w:p>
      <w:pPr>
        <w:pStyle w:val="BodyText"/>
        <w:spacing w:before="4"/>
        <w:rPr>
          <w:b/>
          <w:sz w:val="36"/>
        </w:rPr>
      </w:pPr>
    </w:p>
    <w:p>
      <w:pPr>
        <w:spacing w:before="0"/>
        <w:ind w:left="2511" w:right="353" w:firstLine="0"/>
        <w:jc w:val="center"/>
        <w:rPr>
          <w:b/>
          <w:sz w:val="24"/>
        </w:rPr>
      </w:pPr>
      <w:r>
        <w:rPr>
          <w:b/>
          <w:sz w:val="24"/>
        </w:rPr>
        <w:t>TESIS</w:t>
      </w:r>
    </w:p>
    <w:p>
      <w:pPr>
        <w:pStyle w:val="BodyText"/>
        <w:rPr>
          <w:b/>
        </w:rPr>
      </w:pPr>
    </w:p>
    <w:p>
      <w:pPr>
        <w:pStyle w:val="BodyText"/>
        <w:rPr>
          <w:b/>
        </w:rPr>
      </w:pPr>
    </w:p>
    <w:p>
      <w:pPr>
        <w:pStyle w:val="BodyText"/>
        <w:rPr>
          <w:b/>
        </w:rPr>
      </w:pPr>
    </w:p>
    <w:p>
      <w:pPr>
        <w:spacing w:line="360" w:lineRule="auto" w:before="142"/>
        <w:ind w:left="2518" w:right="353" w:firstLine="0"/>
        <w:jc w:val="center"/>
        <w:rPr>
          <w:b/>
          <w:sz w:val="24"/>
        </w:rPr>
      </w:pPr>
      <w:r>
        <w:rPr>
          <w:b/>
          <w:sz w:val="24"/>
        </w:rPr>
        <w:t>QUE PARA OBTENER EL GRADO DE DOCTOR EN CIENCIAS AGROPECUARIAS Y RECURSOS NATURALES</w:t>
      </w:r>
    </w:p>
    <w:p>
      <w:pPr>
        <w:spacing w:line="717" w:lineRule="auto" w:before="0"/>
        <w:ind w:left="5069" w:right="2905" w:firstLine="0"/>
        <w:jc w:val="center"/>
        <w:rPr>
          <w:b/>
          <w:sz w:val="24"/>
        </w:rPr>
      </w:pPr>
      <w:r>
        <w:rPr>
          <w:b/>
          <w:sz w:val="24"/>
        </w:rPr>
        <w:t>PRESENTA YONG LIU</w:t>
      </w:r>
    </w:p>
    <w:p>
      <w:pPr>
        <w:spacing w:after="0" w:line="717" w:lineRule="auto"/>
        <w:jc w:val="center"/>
        <w:rPr>
          <w:sz w:val="24"/>
        </w:rPr>
        <w:sectPr>
          <w:headerReference w:type="default" r:id="rId5"/>
          <w:footerReference w:type="default" r:id="rId6"/>
          <w:type w:val="continuous"/>
          <w:pgSz w:w="12240" w:h="15840"/>
          <w:pgMar w:header="2151" w:footer="2588" w:top="3080" w:bottom="2780" w:left="1720" w:right="1360"/>
        </w:sectPr>
      </w:pPr>
    </w:p>
    <w:p>
      <w:pPr>
        <w:pStyle w:val="BodyText"/>
        <w:rPr>
          <w:b/>
          <w:sz w:val="20"/>
        </w:rPr>
      </w:pPr>
      <w:r>
        <w:rPr/>
        <w:drawing>
          <wp:anchor distT="0" distB="0" distL="0" distR="0" allowOverlap="1" layoutInCell="1" locked="0" behindDoc="0" simplePos="0" relativeHeight="1120">
            <wp:simplePos x="0" y="0"/>
            <wp:positionH relativeFrom="page">
              <wp:posOffset>1307464</wp:posOffset>
            </wp:positionH>
            <wp:positionV relativeFrom="page">
              <wp:posOffset>807719</wp:posOffset>
            </wp:positionV>
            <wp:extent cx="1054735" cy="95377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7" cstate="print"/>
                    <a:stretch>
                      <a:fillRect/>
                    </a:stretch>
                  </pic:blipFill>
                  <pic:spPr>
                    <a:xfrm>
                      <a:off x="0" y="0"/>
                      <a:ext cx="1054735" cy="953770"/>
                    </a:xfrm>
                    <a:prstGeom prst="rect">
                      <a:avLst/>
                    </a:prstGeom>
                  </pic:spPr>
                </pic:pic>
              </a:graphicData>
            </a:graphic>
          </wp:anchor>
        </w:drawing>
      </w:r>
      <w:r>
        <w:rPr/>
        <w:pict>
          <v:line style="position:absolute;mso-position-horizontal-relative:page;mso-position-vertical-relative:page;z-index:1144" from="142.050003pt,169.5pt" to="142.050003pt,676.5pt" stroked="true" strokeweight="2pt" strokecolor="#000000">
            <w10:wrap type="none"/>
          </v:line>
        </w:pict>
      </w:r>
      <w:r>
        <w:rPr/>
        <w:pict>
          <v:line style="position:absolute;mso-position-horizontal-relative:page;mso-position-vertical-relative:page;z-index:1168" from="136.050003pt,169.5pt" to="136.050003pt,625.5pt" stroked="true" strokeweight="2pt" strokecolor="#000000">
            <w10:wrap type="none"/>
          </v:line>
        </w:pict>
      </w:r>
    </w:p>
    <w:p>
      <w:pPr>
        <w:pStyle w:val="BodyText"/>
        <w:rPr>
          <w:b/>
          <w:sz w:val="20"/>
        </w:rPr>
      </w:pPr>
    </w:p>
    <w:p>
      <w:pPr>
        <w:pStyle w:val="BodyText"/>
        <w:rPr>
          <w:b/>
          <w:sz w:val="20"/>
        </w:rPr>
      </w:pPr>
    </w:p>
    <w:p>
      <w:pPr>
        <w:pStyle w:val="BodyText"/>
        <w:rPr>
          <w:b/>
          <w:sz w:val="20"/>
        </w:rPr>
      </w:pPr>
    </w:p>
    <w:p>
      <w:pPr>
        <w:pStyle w:val="BodyText"/>
        <w:spacing w:before="2"/>
        <w:rPr>
          <w:b/>
        </w:rPr>
      </w:pPr>
    </w:p>
    <w:p>
      <w:pPr>
        <w:spacing w:line="360" w:lineRule="auto" w:before="50"/>
        <w:ind w:left="2279" w:right="98" w:firstLine="4"/>
        <w:jc w:val="center"/>
        <w:rPr>
          <w:b/>
          <w:sz w:val="36"/>
        </w:rPr>
      </w:pPr>
      <w:r>
        <w:rPr/>
        <w:pict>
          <v:line style="position:absolute;mso-position-horizontal-relative:page;mso-position-vertical-relative:paragraph;z-index:1192" from="130.050003pt,-47.426514pt" to="130.050003pt,384.573486pt" stroked="true" strokeweight="2pt" strokecolor="#000000">
            <w10:wrap type="none"/>
          </v:line>
        </w:pict>
      </w:r>
      <w:r>
        <w:rPr>
          <w:b/>
          <w:color w:val="1F487C"/>
          <w:sz w:val="36"/>
        </w:rPr>
        <w:t>“EL EFECTO DE LOS ACEITES DE OLEAGINOSAS EN RUMEN EN EL</w:t>
      </w:r>
      <w:r>
        <w:rPr>
          <w:b/>
          <w:color w:val="1F487C"/>
          <w:spacing w:val="-20"/>
          <w:sz w:val="36"/>
        </w:rPr>
        <w:t> </w:t>
      </w:r>
      <w:r>
        <w:rPr>
          <w:b/>
          <w:color w:val="1F487C"/>
          <w:sz w:val="36"/>
        </w:rPr>
        <w:t>SISTEMA DE FERMENTACIÓN IN</w:t>
      </w:r>
      <w:r>
        <w:rPr>
          <w:b/>
          <w:color w:val="1F487C"/>
          <w:spacing w:val="-14"/>
          <w:sz w:val="36"/>
        </w:rPr>
        <w:t> </w:t>
      </w:r>
      <w:r>
        <w:rPr>
          <w:b/>
          <w:color w:val="1F487C"/>
          <w:sz w:val="36"/>
        </w:rPr>
        <w:t>VITRO”</w:t>
      </w:r>
    </w:p>
    <w:p>
      <w:pPr>
        <w:pStyle w:val="BodyText"/>
        <w:spacing w:before="4"/>
        <w:rPr>
          <w:b/>
          <w:sz w:val="36"/>
        </w:rPr>
      </w:pPr>
    </w:p>
    <w:p>
      <w:pPr>
        <w:spacing w:before="0"/>
        <w:ind w:left="2514" w:right="336" w:firstLine="0"/>
        <w:jc w:val="center"/>
        <w:rPr>
          <w:b/>
          <w:sz w:val="24"/>
        </w:rPr>
      </w:pPr>
      <w:r>
        <w:rPr>
          <w:b/>
          <w:sz w:val="24"/>
        </w:rPr>
        <w:t>TESIS</w:t>
      </w:r>
    </w:p>
    <w:p>
      <w:pPr>
        <w:pStyle w:val="BodyText"/>
        <w:rPr>
          <w:b/>
        </w:rPr>
      </w:pPr>
    </w:p>
    <w:p>
      <w:pPr>
        <w:pStyle w:val="BodyText"/>
        <w:rPr>
          <w:b/>
        </w:rPr>
      </w:pPr>
    </w:p>
    <w:p>
      <w:pPr>
        <w:pStyle w:val="BodyText"/>
        <w:rPr>
          <w:b/>
        </w:rPr>
      </w:pPr>
    </w:p>
    <w:p>
      <w:pPr>
        <w:spacing w:line="360" w:lineRule="auto" w:before="142"/>
        <w:ind w:left="2514" w:right="336" w:firstLine="0"/>
        <w:jc w:val="center"/>
        <w:rPr>
          <w:b/>
          <w:sz w:val="24"/>
        </w:rPr>
      </w:pPr>
      <w:r>
        <w:rPr>
          <w:b/>
          <w:sz w:val="24"/>
        </w:rPr>
        <w:t>QUE PARA OBTENER EL GRADO DE DOCTOR EN CIENCIAS AGROPECUARIAS Y RECURSOS NATURALES</w:t>
      </w:r>
    </w:p>
    <w:p>
      <w:pPr>
        <w:spacing w:line="717" w:lineRule="auto" w:before="0"/>
        <w:ind w:left="5069" w:right="2885" w:firstLine="0"/>
        <w:jc w:val="center"/>
        <w:rPr>
          <w:b/>
          <w:sz w:val="24"/>
        </w:rPr>
      </w:pPr>
      <w:r>
        <w:rPr>
          <w:b/>
          <w:sz w:val="24"/>
        </w:rPr>
        <w:t>PRESENTA YONG LIU</w:t>
      </w:r>
    </w:p>
    <w:p>
      <w:pPr>
        <w:spacing w:before="3"/>
        <w:ind w:left="4450" w:right="1841" w:firstLine="0"/>
        <w:jc w:val="left"/>
        <w:rPr>
          <w:b/>
          <w:sz w:val="24"/>
        </w:rPr>
      </w:pPr>
      <w:r>
        <w:rPr>
          <w:b/>
          <w:sz w:val="24"/>
        </w:rPr>
        <w:t>COMITÉ DE TUTORES:</w:t>
      </w:r>
    </w:p>
    <w:p>
      <w:pPr>
        <w:pStyle w:val="BodyText"/>
        <w:spacing w:before="3"/>
        <w:rPr>
          <w:b/>
        </w:rPr>
      </w:pPr>
    </w:p>
    <w:p>
      <w:pPr>
        <w:spacing w:line="232" w:lineRule="exact" w:before="1"/>
        <w:ind w:left="3293" w:right="1841" w:firstLine="0"/>
        <w:jc w:val="left"/>
        <w:rPr>
          <w:b/>
          <w:sz w:val="20"/>
        </w:rPr>
      </w:pPr>
      <w:r>
        <w:rPr>
          <w:b/>
          <w:sz w:val="20"/>
        </w:rPr>
        <w:t>DR. GERMÁN BUENDÍA RODRÍGUEZ</w:t>
      </w:r>
    </w:p>
    <w:p>
      <w:pPr>
        <w:spacing w:line="240" w:lineRule="auto" w:before="0"/>
        <w:ind w:left="3293" w:right="1841" w:firstLine="0"/>
        <w:jc w:val="left"/>
        <w:rPr>
          <w:b/>
          <w:sz w:val="20"/>
        </w:rPr>
      </w:pPr>
      <w:r>
        <w:rPr>
          <w:b/>
          <w:sz w:val="20"/>
        </w:rPr>
        <w:t>DRA. MARÍA ERNESTINA RIVAS GUEVARA DRA. CLAUDIA GIOVANNA PEÑUELAS RIVAS</w:t>
      </w:r>
    </w:p>
    <w:p>
      <w:pPr>
        <w:spacing w:after="0" w:line="240" w:lineRule="auto"/>
        <w:jc w:val="left"/>
        <w:rPr>
          <w:sz w:val="20"/>
        </w:rPr>
        <w:sectPr>
          <w:pgSz w:w="12240" w:h="15840"/>
          <w:pgMar w:header="2151" w:footer="2588" w:top="3080" w:bottom="2920" w:left="1720" w:right="1380"/>
        </w:sectPr>
      </w:pPr>
    </w:p>
    <w:p>
      <w:pPr>
        <w:pStyle w:val="BodyText"/>
        <w:rPr>
          <w:b/>
          <w:sz w:val="20"/>
        </w:rPr>
      </w:pPr>
    </w:p>
    <w:p>
      <w:pPr>
        <w:pStyle w:val="BodyText"/>
        <w:spacing w:before="6"/>
        <w:rPr>
          <w:b/>
          <w:sz w:val="16"/>
        </w:rPr>
      </w:pPr>
    </w:p>
    <w:p>
      <w:pPr>
        <w:pStyle w:val="Heading1"/>
        <w:ind w:left="13"/>
      </w:pPr>
      <w:bookmarkStart w:name="_TOC_250039" w:id="1"/>
      <w:bookmarkEnd w:id="1"/>
      <w:r>
        <w:rPr>
          <w:color w:val="1F487C"/>
        </w:rPr>
        <w:t>INDICE</w:t>
      </w:r>
    </w:p>
    <w:p>
      <w:pPr>
        <w:spacing w:after="0"/>
        <w:sectPr>
          <w:headerReference w:type="default" r:id="rId8"/>
          <w:footerReference w:type="default" r:id="rId9"/>
          <w:pgSz w:w="12240" w:h="15840"/>
          <w:pgMar w:header="684" w:footer="1184" w:top="1380" w:bottom="1546" w:left="1440" w:right="1460"/>
          <w:pgNumType w:start="5"/>
        </w:sectPr>
      </w:pPr>
    </w:p>
    <w:sdt>
      <w:sdtPr>
        <w:docPartObj>
          <w:docPartGallery w:val="Table of Contents"/>
          <w:docPartUnique/>
        </w:docPartObj>
      </w:sdtPr>
      <w:sdtEndPr/>
      <w:sdtContent>
        <w:p>
          <w:pPr>
            <w:pStyle w:val="TOC1"/>
            <w:tabs>
              <w:tab w:pos="8759" w:val="right" w:leader="dot"/>
            </w:tabs>
            <w:spacing w:before="972"/>
          </w:pPr>
          <w:r>
            <w:rPr>
              <w:color w:val="1F487C"/>
            </w:rPr>
            <w:t>AGRADECIMIENTOS</w:t>
          </w:r>
          <w:r>
            <w:rPr/>
            <w:tab/>
            <w:t>ii</w:t>
          </w:r>
        </w:p>
        <w:p>
          <w:pPr>
            <w:pStyle w:val="TOC1"/>
            <w:tabs>
              <w:tab w:pos="8749" w:val="right" w:leader="dot"/>
            </w:tabs>
          </w:pPr>
          <w:r>
            <w:rPr>
              <w:color w:val="1F487C"/>
            </w:rPr>
            <w:t>DEDICATORIA</w:t>
          </w:r>
          <w:r>
            <w:rPr/>
            <w:tab/>
          </w:r>
          <w:r>
            <w:rPr>
              <w:spacing w:val="-5"/>
            </w:rPr>
            <w:t>iv</w:t>
          </w:r>
        </w:p>
        <w:p>
          <w:pPr>
            <w:pStyle w:val="TOC1"/>
            <w:tabs>
              <w:tab w:pos="8759" w:val="right" w:leader="dot"/>
            </w:tabs>
          </w:pPr>
          <w:hyperlink w:history="true" w:anchor="_TOC_250039">
            <w:r>
              <w:rPr>
                <w:color w:val="1F487C"/>
              </w:rPr>
              <w:t>INDICE</w:t>
            </w:r>
            <w:r>
              <w:rPr/>
              <w:tab/>
              <w:t>v</w:t>
            </w:r>
          </w:hyperlink>
        </w:p>
        <w:p>
          <w:pPr>
            <w:pStyle w:val="TOC1"/>
            <w:tabs>
              <w:tab w:pos="8757" w:val="right" w:leader="dot"/>
            </w:tabs>
            <w:spacing w:before="141"/>
          </w:pPr>
          <w:hyperlink w:history="true" w:anchor="_TOC_250038">
            <w:r>
              <w:rPr>
                <w:color w:val="1F487C"/>
              </w:rPr>
              <w:t>RESUMEN</w:t>
            </w:r>
            <w:r>
              <w:rPr/>
              <w:tab/>
              <w:t>vii</w:t>
            </w:r>
          </w:hyperlink>
        </w:p>
        <w:p>
          <w:pPr>
            <w:pStyle w:val="TOC1"/>
            <w:tabs>
              <w:tab w:pos="8749" w:val="right" w:leader="dot"/>
            </w:tabs>
          </w:pPr>
          <w:hyperlink w:history="true" w:anchor="_TOC_250037">
            <w:r>
              <w:rPr>
                <w:color w:val="1F487C"/>
              </w:rPr>
              <w:t>ABSTRACT</w:t>
            </w:r>
            <w:r>
              <w:rPr/>
              <w:tab/>
            </w:r>
            <w:r>
              <w:rPr>
                <w:spacing w:val="-5"/>
              </w:rPr>
              <w:t>ix</w:t>
            </w:r>
          </w:hyperlink>
        </w:p>
        <w:p>
          <w:pPr>
            <w:pStyle w:val="TOC1"/>
            <w:tabs>
              <w:tab w:pos="8759" w:val="right" w:leader="dot"/>
            </w:tabs>
          </w:pPr>
          <w:hyperlink w:history="true" w:anchor="_TOC_250036">
            <w:r>
              <w:rPr>
                <w:color w:val="1F487C"/>
              </w:rPr>
              <w:t>INTRODUCCIÓN</w:t>
            </w:r>
            <w:r>
              <w:rPr/>
              <w:tab/>
              <w:t>1</w:t>
            </w:r>
          </w:hyperlink>
        </w:p>
        <w:p>
          <w:pPr>
            <w:pStyle w:val="TOC1"/>
            <w:tabs>
              <w:tab w:pos="8759" w:val="right" w:leader="dot"/>
            </w:tabs>
          </w:pPr>
          <w:hyperlink w:history="true" w:anchor="_TOC_250035">
            <w:r>
              <w:rPr>
                <w:color w:val="1F487C"/>
              </w:rPr>
              <w:t>REVISIÓN BIBLIOGRÁFIA</w:t>
            </w:r>
            <w:r>
              <w:rPr/>
              <w:tab/>
              <w:t>5</w:t>
            </w:r>
          </w:hyperlink>
        </w:p>
        <w:p>
          <w:pPr>
            <w:pStyle w:val="TOC2"/>
            <w:numPr>
              <w:ilvl w:val="0"/>
              <w:numId w:val="1"/>
            </w:numPr>
            <w:tabs>
              <w:tab w:pos="922" w:val="left" w:leader="none"/>
              <w:tab w:pos="923" w:val="left" w:leader="none"/>
              <w:tab w:pos="8759" w:val="right" w:leader="dot"/>
            </w:tabs>
            <w:spacing w:line="240" w:lineRule="auto" w:before="141" w:after="0"/>
            <w:ind w:left="500" w:right="0" w:firstLine="0"/>
            <w:jc w:val="left"/>
          </w:pPr>
          <w:hyperlink w:history="true" w:anchor="_TOC_250034">
            <w:r>
              <w:rPr/>
              <w:t>Plantas oleaginosas utilizadas por</w:t>
            </w:r>
            <w:r>
              <w:rPr>
                <w:spacing w:val="2"/>
              </w:rPr>
              <w:t> </w:t>
            </w:r>
            <w:r>
              <w:rPr/>
              <w:t>el</w:t>
            </w:r>
            <w:r>
              <w:rPr>
                <w:spacing w:val="-8"/>
              </w:rPr>
              <w:t> </w:t>
            </w:r>
            <w:r>
              <w:rPr/>
              <w:t>rumen</w:t>
              <w:tab/>
              <w:t>5</w:t>
            </w:r>
          </w:hyperlink>
        </w:p>
        <w:p>
          <w:pPr>
            <w:pStyle w:val="TOC3"/>
            <w:numPr>
              <w:ilvl w:val="1"/>
              <w:numId w:val="1"/>
            </w:numPr>
            <w:tabs>
              <w:tab w:pos="1163" w:val="left" w:leader="none"/>
              <w:tab w:pos="8759" w:val="right" w:leader="dot"/>
            </w:tabs>
            <w:spacing w:line="240" w:lineRule="auto" w:before="137" w:after="0"/>
            <w:ind w:left="1162" w:right="0" w:hanging="422"/>
            <w:jc w:val="left"/>
          </w:pPr>
          <w:hyperlink w:history="true" w:anchor="_TOC_250033">
            <w:r>
              <w:rPr/>
              <w:t>Cártamo</w:t>
            </w:r>
            <w:r>
              <w:rPr>
                <w:spacing w:val="5"/>
              </w:rPr>
              <w:t> </w:t>
            </w:r>
            <w:r>
              <w:rPr/>
              <w:t>y</w:t>
            </w:r>
            <w:r>
              <w:rPr>
                <w:spacing w:val="-9"/>
              </w:rPr>
              <w:t> </w:t>
            </w:r>
            <w:r>
              <w:rPr/>
              <w:t>Canola</w:t>
              <w:tab/>
              <w:t>5</w:t>
            </w:r>
          </w:hyperlink>
        </w:p>
        <w:p>
          <w:pPr>
            <w:pStyle w:val="TOC3"/>
            <w:tabs>
              <w:tab w:pos="8759" w:val="right" w:leader="dot"/>
            </w:tabs>
            <w:ind w:left="740" w:firstLine="0"/>
          </w:pPr>
          <w:hyperlink w:history="true" w:anchor="_TOC_250032">
            <w:r>
              <w:rPr/>
              <w:t>1.2 Usos de diferentes fracciones de semilla</w:t>
            </w:r>
            <w:r>
              <w:rPr>
                <w:spacing w:val="-4"/>
              </w:rPr>
              <w:t> </w:t>
            </w:r>
            <w:r>
              <w:rPr/>
              <w:t>de Cártamo</w:t>
              <w:tab/>
              <w:t>5</w:t>
            </w:r>
          </w:hyperlink>
        </w:p>
        <w:p>
          <w:pPr>
            <w:pStyle w:val="TOC2"/>
            <w:numPr>
              <w:ilvl w:val="0"/>
              <w:numId w:val="1"/>
            </w:numPr>
            <w:tabs>
              <w:tab w:pos="745" w:val="left" w:leader="none"/>
              <w:tab w:pos="8759" w:val="right" w:leader="dot"/>
            </w:tabs>
            <w:spacing w:line="240" w:lineRule="auto" w:before="137" w:after="0"/>
            <w:ind w:left="744" w:right="0" w:hanging="244"/>
            <w:jc w:val="left"/>
          </w:pPr>
          <w:hyperlink w:history="true" w:anchor="_TOC_250031">
            <w:r>
              <w:rPr/>
              <w:t>Características de ácidos grasos</w:t>
            </w:r>
            <w:r>
              <w:rPr>
                <w:spacing w:val="-1"/>
              </w:rPr>
              <w:t> </w:t>
            </w:r>
            <w:r>
              <w:rPr/>
              <w:t>de plantas</w:t>
              <w:tab/>
              <w:t>7</w:t>
            </w:r>
          </w:hyperlink>
        </w:p>
        <w:p>
          <w:pPr>
            <w:pStyle w:val="TOC3"/>
            <w:numPr>
              <w:ilvl w:val="1"/>
              <w:numId w:val="1"/>
            </w:numPr>
            <w:tabs>
              <w:tab w:pos="1158" w:val="left" w:leader="none"/>
              <w:tab w:pos="8759" w:val="right" w:leader="dot"/>
            </w:tabs>
            <w:spacing w:line="240" w:lineRule="auto" w:before="142" w:after="0"/>
            <w:ind w:left="1157" w:right="0" w:hanging="417"/>
            <w:jc w:val="left"/>
            <w:rPr>
              <w:rFonts w:ascii="Cambria" w:hAnsi="Cambria"/>
            </w:rPr>
          </w:pPr>
          <w:hyperlink w:history="true" w:anchor="_TOC_250030">
            <w:r>
              <w:rPr>
                <w:rFonts w:ascii="Cambria" w:hAnsi="Cambria"/>
              </w:rPr>
              <w:t>Ácidos grasos de</w:t>
            </w:r>
            <w:r>
              <w:rPr>
                <w:rFonts w:ascii="Cambria" w:hAnsi="Cambria"/>
                <w:spacing w:val="-9"/>
              </w:rPr>
              <w:t> </w:t>
            </w:r>
            <w:r>
              <w:rPr>
                <w:rFonts w:ascii="Cambria" w:hAnsi="Cambria"/>
              </w:rPr>
              <w:t>cadena</w:t>
            </w:r>
            <w:r>
              <w:rPr>
                <w:rFonts w:ascii="Cambria" w:hAnsi="Cambria"/>
                <w:spacing w:val="-3"/>
              </w:rPr>
              <w:t> </w:t>
            </w:r>
            <w:r>
              <w:rPr>
                <w:rFonts w:ascii="Cambria" w:hAnsi="Cambria"/>
              </w:rPr>
              <w:t>corta</w:t>
            </w:r>
            <w:r>
              <w:rPr/>
              <w:tab/>
              <w:t>7</w:t>
            </w:r>
          </w:hyperlink>
        </w:p>
        <w:p>
          <w:pPr>
            <w:pStyle w:val="TOC3"/>
            <w:numPr>
              <w:ilvl w:val="1"/>
              <w:numId w:val="1"/>
            </w:numPr>
            <w:tabs>
              <w:tab w:pos="1158" w:val="left" w:leader="none"/>
              <w:tab w:pos="8759" w:val="right" w:leader="dot"/>
            </w:tabs>
            <w:spacing w:line="240" w:lineRule="auto" w:before="141" w:after="0"/>
            <w:ind w:left="1157" w:right="0" w:hanging="417"/>
            <w:jc w:val="left"/>
            <w:rPr>
              <w:rFonts w:ascii="Cambria" w:hAnsi="Cambria"/>
            </w:rPr>
          </w:pPr>
          <w:hyperlink w:history="true" w:anchor="_TOC_250029">
            <w:r>
              <w:rPr>
                <w:rFonts w:ascii="Cambria" w:hAnsi="Cambria"/>
              </w:rPr>
              <w:t>Ácidos grasos de</w:t>
            </w:r>
            <w:r>
              <w:rPr>
                <w:rFonts w:ascii="Cambria" w:hAnsi="Cambria"/>
                <w:spacing w:val="-9"/>
              </w:rPr>
              <w:t> </w:t>
            </w:r>
            <w:r>
              <w:rPr>
                <w:rFonts w:ascii="Cambria" w:hAnsi="Cambria"/>
              </w:rPr>
              <w:t>cadena</w:t>
            </w:r>
            <w:r>
              <w:rPr>
                <w:rFonts w:ascii="Cambria" w:hAnsi="Cambria"/>
                <w:spacing w:val="-3"/>
              </w:rPr>
              <w:t> </w:t>
            </w:r>
            <w:r>
              <w:rPr>
                <w:rFonts w:ascii="Cambria" w:hAnsi="Cambria"/>
              </w:rPr>
              <w:t>mediana</w:t>
            </w:r>
            <w:r>
              <w:rPr/>
              <w:tab/>
              <w:t>7</w:t>
            </w:r>
          </w:hyperlink>
        </w:p>
        <w:p>
          <w:pPr>
            <w:pStyle w:val="TOC3"/>
            <w:numPr>
              <w:ilvl w:val="1"/>
              <w:numId w:val="1"/>
            </w:numPr>
            <w:tabs>
              <w:tab w:pos="1163" w:val="left" w:leader="none"/>
              <w:tab w:pos="8759" w:val="right" w:leader="dot"/>
            </w:tabs>
            <w:spacing w:line="240" w:lineRule="auto" w:before="135" w:after="0"/>
            <w:ind w:left="1162" w:right="0" w:hanging="422"/>
            <w:jc w:val="left"/>
          </w:pPr>
          <w:hyperlink w:history="true" w:anchor="_TOC_250028">
            <w:r>
              <w:rPr/>
              <w:t>Ácidos grasos de cadena</w:t>
            </w:r>
            <w:r>
              <w:rPr>
                <w:spacing w:val="5"/>
              </w:rPr>
              <w:t> </w:t>
            </w:r>
            <w:r>
              <w:rPr/>
              <w:t>larga</w:t>
              <w:tab/>
              <w:t>8</w:t>
            </w:r>
          </w:hyperlink>
        </w:p>
        <w:p>
          <w:pPr>
            <w:pStyle w:val="TOC3"/>
            <w:numPr>
              <w:ilvl w:val="1"/>
              <w:numId w:val="1"/>
            </w:numPr>
            <w:tabs>
              <w:tab w:pos="1225" w:val="left" w:leader="none"/>
              <w:tab w:pos="8759" w:val="right" w:leader="dot"/>
            </w:tabs>
            <w:spacing w:line="240" w:lineRule="auto" w:before="142" w:after="0"/>
            <w:ind w:left="1224" w:right="0" w:hanging="484"/>
            <w:jc w:val="left"/>
          </w:pPr>
          <w:hyperlink w:history="true" w:anchor="_TOC_250027">
            <w:r>
              <w:rPr/>
              <w:t>Ácidos</w:t>
            </w:r>
            <w:r>
              <w:rPr>
                <w:spacing w:val="-1"/>
              </w:rPr>
              <w:t> </w:t>
            </w:r>
            <w:r>
              <w:rPr/>
              <w:t>grasos</w:t>
            </w:r>
            <w:r>
              <w:rPr>
                <w:spacing w:val="-1"/>
              </w:rPr>
              <w:t> </w:t>
            </w:r>
            <w:r>
              <w:rPr/>
              <w:t>insaturados</w:t>
              <w:tab/>
              <w:t>9</w:t>
            </w:r>
          </w:hyperlink>
        </w:p>
        <w:p>
          <w:pPr>
            <w:pStyle w:val="TOC3"/>
            <w:numPr>
              <w:ilvl w:val="1"/>
              <w:numId w:val="1"/>
            </w:numPr>
            <w:tabs>
              <w:tab w:pos="1163" w:val="left" w:leader="none"/>
              <w:tab w:pos="8758" w:val="right" w:leader="dot"/>
            </w:tabs>
            <w:spacing w:line="240" w:lineRule="auto" w:before="137" w:after="0"/>
            <w:ind w:left="1162" w:right="0" w:hanging="422"/>
            <w:jc w:val="left"/>
          </w:pPr>
          <w:hyperlink w:history="true" w:anchor="_TOC_250026">
            <w:r>
              <w:rPr/>
              <w:t>Ácidos grasos </w:t>
            </w:r>
            <w:r>
              <w:rPr>
                <w:spacing w:val="-3"/>
              </w:rPr>
              <w:t>Omega </w:t>
            </w:r>
            <w:r>
              <w:rPr/>
              <w:t>3 y</w:t>
            </w:r>
            <w:r>
              <w:rPr>
                <w:spacing w:val="1"/>
              </w:rPr>
              <w:t> </w:t>
            </w:r>
            <w:r>
              <w:rPr/>
              <w:t>Omega 6.</w:t>
              <w:tab/>
              <w:t>10</w:t>
            </w:r>
          </w:hyperlink>
        </w:p>
        <w:p>
          <w:pPr>
            <w:pStyle w:val="TOC2"/>
            <w:numPr>
              <w:ilvl w:val="0"/>
              <w:numId w:val="1"/>
            </w:numPr>
            <w:tabs>
              <w:tab w:pos="745" w:val="left" w:leader="none"/>
              <w:tab w:pos="8758" w:val="right" w:leader="dot"/>
            </w:tabs>
            <w:spacing w:line="240" w:lineRule="auto" w:before="137" w:after="0"/>
            <w:ind w:left="744" w:right="0" w:hanging="244"/>
            <w:jc w:val="left"/>
          </w:pPr>
          <w:hyperlink w:history="true" w:anchor="_TOC_250025">
            <w:r>
              <w:rPr/>
              <w:t>Influencia de ácidos grasos en </w:t>
            </w:r>
            <w:r>
              <w:rPr>
                <w:spacing w:val="-5"/>
              </w:rPr>
              <w:t>la</w:t>
            </w:r>
            <w:r>
              <w:rPr>
                <w:spacing w:val="6"/>
              </w:rPr>
              <w:t> </w:t>
            </w:r>
            <w:r>
              <w:rPr/>
              <w:t>fermentación</w:t>
            </w:r>
            <w:r>
              <w:rPr>
                <w:spacing w:val="-4"/>
              </w:rPr>
              <w:t> </w:t>
            </w:r>
            <w:r>
              <w:rPr/>
              <w:t>ruminal</w:t>
              <w:tab/>
              <w:t>13</w:t>
            </w:r>
          </w:hyperlink>
        </w:p>
        <w:p>
          <w:pPr>
            <w:pStyle w:val="TOC4"/>
            <w:numPr>
              <w:ilvl w:val="1"/>
              <w:numId w:val="1"/>
            </w:numPr>
            <w:tabs>
              <w:tab w:pos="1163" w:val="left" w:leader="none"/>
              <w:tab w:pos="8758" w:val="right" w:leader="dot"/>
            </w:tabs>
            <w:spacing w:line="240" w:lineRule="auto" w:before="137" w:after="0"/>
            <w:ind w:left="740" w:right="0" w:firstLine="0"/>
            <w:jc w:val="left"/>
            <w:rPr>
              <w:b w:val="0"/>
              <w:i w:val="0"/>
              <w:sz w:val="24"/>
            </w:rPr>
          </w:pPr>
          <w:r>
            <w:rPr>
              <w:b w:val="0"/>
              <w:i w:val="0"/>
              <w:sz w:val="24"/>
            </w:rPr>
            <w:t>Técnicas de fermentación</w:t>
          </w:r>
          <w:r>
            <w:rPr>
              <w:b w:val="0"/>
              <w:i w:val="0"/>
              <w:spacing w:val="6"/>
              <w:sz w:val="24"/>
            </w:rPr>
            <w:t> </w:t>
          </w:r>
          <w:r>
            <w:rPr>
              <w:b w:val="0"/>
              <w:i/>
              <w:sz w:val="24"/>
            </w:rPr>
            <w:t>in</w:t>
          </w:r>
          <w:r>
            <w:rPr>
              <w:b w:val="0"/>
              <w:i w:val="0"/>
              <w:spacing w:val="1"/>
              <w:sz w:val="24"/>
            </w:rPr>
            <w:t> </w:t>
          </w:r>
          <w:r>
            <w:rPr>
              <w:b w:val="0"/>
              <w:i/>
              <w:sz w:val="24"/>
            </w:rPr>
            <w:t>vitro.</w:t>
          </w:r>
          <w:r>
            <w:rPr>
              <w:b w:val="0"/>
              <w:i w:val="0"/>
              <w:sz w:val="24"/>
            </w:rPr>
            <w:tab/>
            <w:t>13</w:t>
          </w:r>
        </w:p>
        <w:p>
          <w:pPr>
            <w:pStyle w:val="TOC3"/>
            <w:numPr>
              <w:ilvl w:val="1"/>
              <w:numId w:val="1"/>
            </w:numPr>
            <w:tabs>
              <w:tab w:pos="1163" w:val="left" w:leader="none"/>
              <w:tab w:pos="8758" w:val="right" w:leader="dot"/>
            </w:tabs>
            <w:spacing w:line="240" w:lineRule="auto" w:before="142" w:after="0"/>
            <w:ind w:left="1162" w:right="0" w:hanging="422"/>
            <w:jc w:val="left"/>
          </w:pPr>
          <w:hyperlink w:history="true" w:anchor="_TOC_250024">
            <w:r>
              <w:rPr/>
              <w:t>Producción</w:t>
            </w:r>
            <w:r>
              <w:rPr>
                <w:spacing w:val="-4"/>
              </w:rPr>
              <w:t> </w:t>
            </w:r>
            <w:r>
              <w:rPr/>
              <w:t>de Gas</w:t>
              <w:tab/>
              <w:t>13</w:t>
            </w:r>
          </w:hyperlink>
        </w:p>
        <w:p>
          <w:pPr>
            <w:pStyle w:val="TOC3"/>
            <w:numPr>
              <w:ilvl w:val="1"/>
              <w:numId w:val="1"/>
            </w:numPr>
            <w:tabs>
              <w:tab w:pos="1163" w:val="left" w:leader="none"/>
              <w:tab w:pos="8758" w:val="right" w:leader="dot"/>
            </w:tabs>
            <w:spacing w:line="240" w:lineRule="auto" w:before="137" w:after="0"/>
            <w:ind w:left="1162" w:right="0" w:hanging="422"/>
            <w:jc w:val="left"/>
          </w:pPr>
          <w:hyperlink w:history="true" w:anchor="_TOC_250023">
            <w:r>
              <w:rPr/>
              <w:t>Producción</w:t>
            </w:r>
            <w:r>
              <w:rPr>
                <w:spacing w:val="-4"/>
              </w:rPr>
              <w:t> </w:t>
            </w:r>
            <w:r>
              <w:rPr/>
              <w:t>de Metano</w:t>
              <w:tab/>
              <w:t>14</w:t>
            </w:r>
          </w:hyperlink>
        </w:p>
        <w:p>
          <w:pPr>
            <w:pStyle w:val="TOC3"/>
            <w:numPr>
              <w:ilvl w:val="1"/>
              <w:numId w:val="1"/>
            </w:numPr>
            <w:tabs>
              <w:tab w:pos="1163" w:val="left" w:leader="none"/>
              <w:tab w:pos="8758" w:val="right" w:leader="dot"/>
            </w:tabs>
            <w:spacing w:line="360" w:lineRule="auto" w:before="137" w:after="0"/>
            <w:ind w:left="740" w:right="580" w:firstLine="0"/>
            <w:jc w:val="left"/>
          </w:pPr>
          <w:hyperlink w:history="true" w:anchor="_TOC_250022">
            <w:r>
              <w:rPr/>
              <w:t>Ácidos grasos de cadena larga en membranas de bacterias y protozoarios ruminales</w:t>
              <w:tab/>
              <w:t>14</w:t>
            </w:r>
          </w:hyperlink>
        </w:p>
        <w:p>
          <w:pPr>
            <w:pStyle w:val="TOC2"/>
            <w:numPr>
              <w:ilvl w:val="0"/>
              <w:numId w:val="1"/>
            </w:numPr>
            <w:tabs>
              <w:tab w:pos="745" w:val="left" w:leader="none"/>
              <w:tab w:pos="8758" w:val="right" w:leader="dot"/>
            </w:tabs>
            <w:spacing w:line="240" w:lineRule="auto" w:before="9" w:after="0"/>
            <w:ind w:left="744" w:right="0" w:hanging="244"/>
            <w:jc w:val="left"/>
          </w:pPr>
          <w:hyperlink w:history="true" w:anchor="_TOC_250021">
            <w:r>
              <w:rPr/>
              <w:t>Bases teóricas de quimioinformática</w:t>
            </w:r>
            <w:r>
              <w:rPr>
                <w:spacing w:val="5"/>
              </w:rPr>
              <w:t> </w:t>
            </w:r>
            <w:r>
              <w:rPr/>
              <w:t>y</w:t>
            </w:r>
            <w:r>
              <w:rPr>
                <w:spacing w:val="-9"/>
              </w:rPr>
              <w:t> </w:t>
            </w:r>
            <w:r>
              <w:rPr/>
              <w:t>QSPR.</w:t>
              <w:tab/>
              <w:t>15</w:t>
            </w:r>
          </w:hyperlink>
        </w:p>
        <w:p>
          <w:pPr>
            <w:pStyle w:val="TOC3"/>
            <w:numPr>
              <w:ilvl w:val="1"/>
              <w:numId w:val="1"/>
            </w:numPr>
            <w:tabs>
              <w:tab w:pos="1163" w:val="left" w:leader="none"/>
              <w:tab w:pos="8758" w:val="right" w:leader="dot"/>
            </w:tabs>
            <w:spacing w:line="240" w:lineRule="auto" w:before="137" w:after="0"/>
            <w:ind w:left="1162" w:right="0" w:hanging="422"/>
            <w:jc w:val="left"/>
          </w:pPr>
          <w:hyperlink w:history="true" w:anchor="_TOC_250020">
            <w:r>
              <w:rPr/>
              <w:t>Teoría del </w:t>
            </w:r>
            <w:r>
              <w:rPr>
                <w:spacing w:val="-3"/>
              </w:rPr>
              <w:t>modelo</w:t>
            </w:r>
            <w:r>
              <w:rPr>
                <w:spacing w:val="3"/>
              </w:rPr>
              <w:t> </w:t>
            </w:r>
            <w:r>
              <w:rPr/>
              <w:t>de Hansch</w:t>
              <w:tab/>
              <w:t>15</w:t>
            </w:r>
          </w:hyperlink>
        </w:p>
        <w:p>
          <w:pPr>
            <w:pStyle w:val="TOC3"/>
            <w:numPr>
              <w:ilvl w:val="1"/>
              <w:numId w:val="1"/>
            </w:numPr>
            <w:tabs>
              <w:tab w:pos="1163" w:val="left" w:leader="none"/>
              <w:tab w:pos="8758" w:val="right" w:leader="dot"/>
            </w:tabs>
            <w:spacing w:line="240" w:lineRule="auto" w:before="137" w:after="0"/>
            <w:ind w:left="1162" w:right="0" w:hanging="422"/>
            <w:jc w:val="left"/>
          </w:pPr>
          <w:hyperlink w:history="true" w:anchor="_TOC_250019">
            <w:r>
              <w:rPr/>
              <w:t>Relación de </w:t>
            </w:r>
            <w:r>
              <w:rPr>
                <w:spacing w:val="-5"/>
              </w:rPr>
              <w:t>la </w:t>
            </w:r>
            <w:r>
              <w:rPr/>
              <w:t>energía</w:t>
            </w:r>
            <w:r>
              <w:rPr>
                <w:spacing w:val="14"/>
              </w:rPr>
              <w:t> </w:t>
            </w:r>
            <w:r>
              <w:rPr/>
              <w:t>linear</w:t>
            </w:r>
            <w:r>
              <w:rPr>
                <w:spacing w:val="7"/>
              </w:rPr>
              <w:t> </w:t>
            </w:r>
            <w:r>
              <w:rPr>
                <w:spacing w:val="-3"/>
              </w:rPr>
              <w:t>libre</w:t>
              <w:tab/>
            </w:r>
            <w:r>
              <w:rPr/>
              <w:t>16</w:t>
            </w:r>
          </w:hyperlink>
        </w:p>
        <w:p>
          <w:pPr>
            <w:pStyle w:val="TOC3"/>
            <w:numPr>
              <w:ilvl w:val="1"/>
              <w:numId w:val="1"/>
            </w:numPr>
            <w:tabs>
              <w:tab w:pos="1163" w:val="left" w:leader="none"/>
              <w:tab w:pos="8758" w:val="right" w:leader="dot"/>
            </w:tabs>
            <w:spacing w:line="240" w:lineRule="auto" w:before="137" w:after="0"/>
            <w:ind w:left="1162" w:right="0" w:hanging="422"/>
            <w:jc w:val="left"/>
          </w:pPr>
          <w:hyperlink w:history="true" w:anchor="_TOC_250018">
            <w:r>
              <w:rPr/>
              <w:t>Relación</w:t>
            </w:r>
            <w:r>
              <w:rPr>
                <w:spacing w:val="-4"/>
              </w:rPr>
              <w:t> </w:t>
            </w:r>
            <w:r>
              <w:rPr/>
              <w:t>estructura-actividad</w:t>
            </w:r>
            <w:r>
              <w:rPr>
                <w:spacing w:val="1"/>
              </w:rPr>
              <w:t> </w:t>
            </w:r>
            <w:r>
              <w:rPr/>
              <w:t>(SAR)</w:t>
              <w:tab/>
              <w:t>17</w:t>
            </w:r>
          </w:hyperlink>
        </w:p>
        <w:p>
          <w:pPr>
            <w:pStyle w:val="TOC3"/>
            <w:numPr>
              <w:ilvl w:val="1"/>
              <w:numId w:val="1"/>
            </w:numPr>
            <w:tabs>
              <w:tab w:pos="1163" w:val="left" w:leader="none"/>
              <w:tab w:pos="8758" w:val="right" w:leader="dot"/>
            </w:tabs>
            <w:spacing w:line="240" w:lineRule="auto" w:before="142" w:after="0"/>
            <w:ind w:left="1162" w:right="0" w:hanging="422"/>
            <w:jc w:val="left"/>
          </w:pPr>
          <w:hyperlink w:history="true" w:anchor="_TOC_250017">
            <w:r>
              <w:rPr>
                <w:spacing w:val="-3"/>
              </w:rPr>
              <w:t>Cálculo </w:t>
            </w:r>
            <w:r>
              <w:rPr/>
              <w:t>de</w:t>
            </w:r>
            <w:r>
              <w:rPr>
                <w:spacing w:val="9"/>
              </w:rPr>
              <w:t> </w:t>
            </w:r>
            <w:r>
              <w:rPr/>
              <w:t>descriptores</w:t>
            </w:r>
            <w:r>
              <w:rPr>
                <w:spacing w:val="-1"/>
              </w:rPr>
              <w:t> </w:t>
            </w:r>
            <w:r>
              <w:rPr/>
              <w:t>moleculares</w:t>
              <w:tab/>
              <w:t>18</w:t>
            </w:r>
          </w:hyperlink>
        </w:p>
        <w:p>
          <w:pPr>
            <w:pStyle w:val="TOC3"/>
            <w:numPr>
              <w:ilvl w:val="1"/>
              <w:numId w:val="1"/>
            </w:numPr>
            <w:tabs>
              <w:tab w:pos="1163" w:val="left" w:leader="none"/>
              <w:tab w:pos="8518" w:val="left" w:leader="dot"/>
            </w:tabs>
            <w:spacing w:line="240" w:lineRule="auto" w:before="244" w:after="0"/>
            <w:ind w:left="1162" w:right="0" w:hanging="422"/>
            <w:jc w:val="left"/>
          </w:pPr>
          <w:hyperlink w:history="true" w:anchor="_TOC_250016">
            <w:r>
              <w:rPr>
                <w:spacing w:val="-3"/>
              </w:rPr>
              <w:t>Cálculo </w:t>
            </w:r>
            <w:r>
              <w:rPr/>
              <w:t>de operadores de Teoría de</w:t>
            </w:r>
            <w:r>
              <w:rPr>
                <w:spacing w:val="9"/>
              </w:rPr>
              <w:t> </w:t>
            </w:r>
            <w:r>
              <w:rPr>
                <w:spacing w:val="-5"/>
              </w:rPr>
              <w:t>la</w:t>
            </w:r>
            <w:r>
              <w:rPr/>
              <w:t> Perturbación</w:t>
              <w:tab/>
              <w:t>20</w:t>
            </w:r>
          </w:hyperlink>
        </w:p>
        <w:p>
          <w:pPr>
            <w:pStyle w:val="TOC3"/>
            <w:numPr>
              <w:ilvl w:val="1"/>
              <w:numId w:val="1"/>
            </w:numPr>
            <w:tabs>
              <w:tab w:pos="1163" w:val="left" w:leader="none"/>
              <w:tab w:pos="8518" w:val="left" w:leader="dot"/>
            </w:tabs>
            <w:spacing w:line="240" w:lineRule="auto" w:before="137" w:after="0"/>
            <w:ind w:left="1162" w:right="0" w:hanging="422"/>
            <w:jc w:val="left"/>
          </w:pPr>
          <w:hyperlink w:history="true" w:anchor="_TOC_250015">
            <w:r>
              <w:rPr>
                <w:spacing w:val="-3"/>
              </w:rPr>
              <w:t>Cálculo </w:t>
            </w:r>
            <w:r>
              <w:rPr/>
              <w:t>de operadores de </w:t>
            </w:r>
            <w:r>
              <w:rPr>
                <w:spacing w:val="-5"/>
              </w:rPr>
              <w:t>la </w:t>
            </w:r>
            <w:r>
              <w:rPr/>
              <w:t>Caja</w:t>
            </w:r>
            <w:r>
              <w:rPr>
                <w:spacing w:val="15"/>
              </w:rPr>
              <w:t> </w:t>
            </w:r>
            <w:r>
              <w:rPr/>
              <w:t>de Jenkins</w:t>
              <w:tab/>
              <w:t>21</w:t>
            </w:r>
          </w:hyperlink>
        </w:p>
        <w:p>
          <w:pPr>
            <w:pStyle w:val="TOC2"/>
            <w:numPr>
              <w:ilvl w:val="0"/>
              <w:numId w:val="1"/>
            </w:numPr>
            <w:tabs>
              <w:tab w:pos="745" w:val="left" w:leader="none"/>
              <w:tab w:pos="8518" w:val="left" w:leader="dot"/>
            </w:tabs>
            <w:spacing w:line="360" w:lineRule="auto" w:before="142" w:after="0"/>
            <w:ind w:left="500" w:right="485" w:firstLine="0"/>
            <w:jc w:val="left"/>
          </w:pPr>
          <w:hyperlink w:history="true" w:anchor="_TOC_250014">
            <w:r>
              <w:rPr/>
              <w:t>Método quimioinformático para establecer </w:t>
            </w:r>
            <w:r>
              <w:rPr>
                <w:spacing w:val="-3"/>
              </w:rPr>
              <w:t>las </w:t>
            </w:r>
            <w:r>
              <w:rPr/>
              <w:t>redes de distribución de ácidos grasos en</w:t>
            </w:r>
            <w:r>
              <w:rPr>
                <w:spacing w:val="-3"/>
              </w:rPr>
              <w:t> </w:t>
            </w:r>
            <w:r>
              <w:rPr/>
              <w:t>micoorganismos</w:t>
            </w:r>
            <w:r>
              <w:rPr>
                <w:spacing w:val="-4"/>
              </w:rPr>
              <w:t> </w:t>
            </w:r>
            <w:r>
              <w:rPr/>
              <w:t>ruminales</w:t>
              <w:tab/>
              <w:t>21</w:t>
            </w:r>
          </w:hyperlink>
        </w:p>
        <w:p>
          <w:pPr>
            <w:pStyle w:val="TOC3"/>
            <w:numPr>
              <w:ilvl w:val="1"/>
              <w:numId w:val="1"/>
            </w:numPr>
            <w:tabs>
              <w:tab w:pos="1163" w:val="left" w:leader="none"/>
              <w:tab w:pos="8518" w:val="left" w:leader="dot"/>
            </w:tabs>
            <w:spacing w:line="240" w:lineRule="auto" w:before="4" w:after="0"/>
            <w:ind w:left="1162" w:right="0" w:hanging="422"/>
            <w:jc w:val="left"/>
          </w:pPr>
          <w:hyperlink w:history="true" w:anchor="_TOC_250013">
            <w:r>
              <w:rPr/>
              <w:t>Detalles del</w:t>
            </w:r>
            <w:r>
              <w:rPr>
                <w:spacing w:val="-4"/>
              </w:rPr>
              <w:t> </w:t>
            </w:r>
            <w:r>
              <w:rPr>
                <w:spacing w:val="-3"/>
              </w:rPr>
              <w:t>modelo</w:t>
            </w:r>
            <w:r>
              <w:rPr>
                <w:spacing w:val="5"/>
              </w:rPr>
              <w:t> </w:t>
            </w:r>
            <w:r>
              <w:rPr/>
              <w:t>PT-LFER</w:t>
              <w:tab/>
              <w:t>23</w:t>
            </w:r>
          </w:hyperlink>
        </w:p>
        <w:p>
          <w:pPr>
            <w:pStyle w:val="TOC1"/>
            <w:tabs>
              <w:tab w:pos="8518" w:val="left" w:leader="dot"/>
            </w:tabs>
          </w:pPr>
          <w:hyperlink w:history="true" w:anchor="_TOC_250012">
            <w:r>
              <w:rPr>
                <w:color w:val="1F487C"/>
              </w:rPr>
              <w:t>JUSTIFICACIÓN</w:t>
            </w:r>
            <w:r>
              <w:rPr/>
              <w:tab/>
              <w:t>26</w:t>
            </w:r>
          </w:hyperlink>
        </w:p>
        <w:p>
          <w:pPr>
            <w:pStyle w:val="TOC1"/>
            <w:tabs>
              <w:tab w:pos="8518" w:val="left" w:leader="dot"/>
            </w:tabs>
            <w:spacing w:before="142"/>
          </w:pPr>
          <w:hyperlink w:history="true" w:anchor="_TOC_250011">
            <w:r>
              <w:rPr>
                <w:color w:val="1F487C"/>
              </w:rPr>
              <w:t>HIPÓTESIS</w:t>
            </w:r>
            <w:r>
              <w:rPr/>
              <w:tab/>
              <w:t>27</w:t>
            </w:r>
          </w:hyperlink>
        </w:p>
        <w:p>
          <w:pPr>
            <w:pStyle w:val="TOC1"/>
            <w:tabs>
              <w:tab w:pos="8518" w:val="left" w:leader="dot"/>
            </w:tabs>
          </w:pPr>
          <w:hyperlink w:history="true" w:anchor="_TOC_250010">
            <w:r>
              <w:rPr>
                <w:color w:val="1F487C"/>
              </w:rPr>
              <w:t>OBJETIVOS</w:t>
            </w:r>
            <w:r>
              <w:rPr/>
              <w:tab/>
              <w:t>28</w:t>
            </w:r>
          </w:hyperlink>
        </w:p>
        <w:p>
          <w:pPr>
            <w:pStyle w:val="TOC1"/>
            <w:tabs>
              <w:tab w:pos="8518" w:val="left" w:leader="dot"/>
            </w:tabs>
          </w:pPr>
          <w:hyperlink w:history="true" w:anchor="_TOC_250009">
            <w:r>
              <w:rPr>
                <w:color w:val="1F487C"/>
              </w:rPr>
              <w:t>MATERIALES</w:t>
            </w:r>
            <w:r>
              <w:rPr>
                <w:color w:val="1F487C"/>
                <w:spacing w:val="-2"/>
              </w:rPr>
              <w:t> </w:t>
            </w:r>
            <w:r>
              <w:rPr>
                <w:color w:val="1F487C"/>
              </w:rPr>
              <w:t>Y</w:t>
            </w:r>
            <w:r>
              <w:rPr>
                <w:color w:val="1F487C"/>
                <w:spacing w:val="-3"/>
              </w:rPr>
              <w:t> </w:t>
            </w:r>
            <w:r>
              <w:rPr>
                <w:color w:val="1F487C"/>
              </w:rPr>
              <w:t>MÉTODOS</w:t>
            </w:r>
            <w:r>
              <w:rPr/>
              <w:tab/>
              <w:t>29</w:t>
            </w:r>
          </w:hyperlink>
        </w:p>
        <w:p>
          <w:pPr>
            <w:pStyle w:val="TOC1"/>
            <w:tabs>
              <w:tab w:pos="8518" w:val="left" w:leader="dot"/>
            </w:tabs>
          </w:pPr>
          <w:hyperlink w:history="true" w:anchor="_TOC_250008">
            <w:r>
              <w:rPr>
                <w:color w:val="1F487C"/>
              </w:rPr>
              <w:t>RESULTADOS</w:t>
            </w:r>
            <w:r>
              <w:rPr/>
              <w:tab/>
              <w:t>58</w:t>
            </w:r>
          </w:hyperlink>
        </w:p>
        <w:p>
          <w:pPr>
            <w:pStyle w:val="TOC2"/>
            <w:tabs>
              <w:tab w:pos="8518" w:val="left" w:leader="dot"/>
            </w:tabs>
            <w:spacing w:before="142"/>
          </w:pPr>
          <w:hyperlink w:history="true" w:anchor="_TOC_250007">
            <w:r>
              <w:rPr>
                <w:color w:val="1F487C"/>
              </w:rPr>
              <w:t>CAPÍTULO</w:t>
            </w:r>
            <w:r>
              <w:rPr>
                <w:color w:val="1F487C"/>
                <w:spacing w:val="-3"/>
              </w:rPr>
              <w:t> </w:t>
            </w:r>
            <w:r>
              <w:rPr>
                <w:color w:val="1F487C"/>
              </w:rPr>
              <w:t>1</w:t>
            </w:r>
            <w:r>
              <w:rPr/>
              <w:tab/>
              <w:t>58</w:t>
            </w:r>
          </w:hyperlink>
        </w:p>
        <w:p>
          <w:pPr>
            <w:pStyle w:val="TOC2"/>
            <w:tabs>
              <w:tab w:pos="8518" w:val="left" w:leader="dot"/>
            </w:tabs>
          </w:pPr>
          <w:hyperlink w:history="true" w:anchor="_TOC_250006">
            <w:r>
              <w:rPr>
                <w:color w:val="1F487C"/>
              </w:rPr>
              <w:t>CAPÍTULO</w:t>
            </w:r>
            <w:r>
              <w:rPr>
                <w:color w:val="1F487C"/>
                <w:spacing w:val="-3"/>
              </w:rPr>
              <w:t> </w:t>
            </w:r>
            <w:r>
              <w:rPr>
                <w:color w:val="1F487C"/>
              </w:rPr>
              <w:t>2</w:t>
            </w:r>
            <w:r>
              <w:rPr/>
              <w:tab/>
              <w:t>70</w:t>
            </w:r>
          </w:hyperlink>
        </w:p>
        <w:p>
          <w:pPr>
            <w:pStyle w:val="TOC2"/>
            <w:tabs>
              <w:tab w:pos="8518" w:val="left" w:leader="dot"/>
            </w:tabs>
          </w:pPr>
          <w:hyperlink w:history="true" w:anchor="_TOC_250005">
            <w:r>
              <w:rPr>
                <w:color w:val="1F487C"/>
              </w:rPr>
              <w:t>CAPÍTULO</w:t>
            </w:r>
            <w:r>
              <w:rPr>
                <w:color w:val="1F487C"/>
                <w:spacing w:val="-3"/>
              </w:rPr>
              <w:t> </w:t>
            </w:r>
            <w:r>
              <w:rPr>
                <w:color w:val="1F487C"/>
              </w:rPr>
              <w:t>3</w:t>
            </w:r>
            <w:r>
              <w:rPr/>
              <w:tab/>
              <w:t>89</w:t>
            </w:r>
          </w:hyperlink>
        </w:p>
        <w:p>
          <w:pPr>
            <w:pStyle w:val="TOC2"/>
            <w:tabs>
              <w:tab w:pos="8398" w:val="left" w:leader="dot"/>
            </w:tabs>
          </w:pPr>
          <w:hyperlink w:history="true" w:anchor="_TOC_250004">
            <w:r>
              <w:rPr>
                <w:color w:val="1F487C"/>
              </w:rPr>
              <w:t>CAPÍTULO</w:t>
            </w:r>
            <w:r>
              <w:rPr>
                <w:color w:val="1F487C"/>
                <w:spacing w:val="-3"/>
              </w:rPr>
              <w:t> </w:t>
            </w:r>
            <w:r>
              <w:rPr>
                <w:color w:val="1F487C"/>
              </w:rPr>
              <w:t>4</w:t>
            </w:r>
            <w:r>
              <w:rPr/>
              <w:tab/>
              <w:t>106</w:t>
            </w:r>
          </w:hyperlink>
        </w:p>
        <w:p>
          <w:pPr>
            <w:pStyle w:val="TOC2"/>
            <w:tabs>
              <w:tab w:pos="8398" w:val="left" w:leader="dot"/>
            </w:tabs>
            <w:spacing w:before="142"/>
          </w:pPr>
          <w:hyperlink w:history="true" w:anchor="_TOC_250003">
            <w:r>
              <w:rPr>
                <w:color w:val="1F487C"/>
              </w:rPr>
              <w:t>CAPÍTULO</w:t>
            </w:r>
            <w:r>
              <w:rPr>
                <w:color w:val="1F487C"/>
                <w:spacing w:val="-3"/>
              </w:rPr>
              <w:t> </w:t>
            </w:r>
            <w:r>
              <w:rPr>
                <w:color w:val="1F487C"/>
              </w:rPr>
              <w:t>5</w:t>
            </w:r>
            <w:r>
              <w:rPr/>
              <w:tab/>
              <w:t>121</w:t>
            </w:r>
          </w:hyperlink>
        </w:p>
        <w:p>
          <w:pPr>
            <w:pStyle w:val="TOC1"/>
            <w:tabs>
              <w:tab w:pos="8398" w:val="left" w:leader="dot"/>
            </w:tabs>
          </w:pPr>
          <w:hyperlink w:history="true" w:anchor="_TOC_250002">
            <w:r>
              <w:rPr>
                <w:color w:val="1F487C"/>
              </w:rPr>
              <w:t>DISCUSIÓN</w:t>
            </w:r>
            <w:r>
              <w:rPr/>
              <w:tab/>
              <w:t>146</w:t>
            </w:r>
          </w:hyperlink>
        </w:p>
        <w:p>
          <w:pPr>
            <w:pStyle w:val="TOC1"/>
            <w:tabs>
              <w:tab w:pos="8398" w:val="left" w:leader="dot"/>
            </w:tabs>
          </w:pPr>
          <w:hyperlink w:history="true" w:anchor="_TOC_250001">
            <w:r>
              <w:rPr>
                <w:color w:val="1F487C"/>
              </w:rPr>
              <w:t>CONCLUSIONES</w:t>
            </w:r>
            <w:r>
              <w:rPr/>
              <w:tab/>
              <w:t>167</w:t>
            </w:r>
          </w:hyperlink>
        </w:p>
        <w:p>
          <w:pPr>
            <w:pStyle w:val="TOC1"/>
            <w:tabs>
              <w:tab w:pos="8398" w:val="left" w:leader="dot"/>
            </w:tabs>
          </w:pPr>
          <w:hyperlink w:history="true" w:anchor="_TOC_250000">
            <w:r>
              <w:rPr>
                <w:color w:val="1F487C"/>
              </w:rPr>
              <w:t>REFERENCIAS</w:t>
            </w:r>
            <w:r>
              <w:rPr/>
              <w:tab/>
              <w:t>169</w:t>
            </w:r>
          </w:hyperlink>
        </w:p>
      </w:sdtContent>
    </w:sdt>
    <w:p>
      <w:pPr>
        <w:spacing w:after="0"/>
        <w:sectPr>
          <w:type w:val="continuous"/>
          <w:pgSz w:w="12240" w:h="15840"/>
          <w:pgMar w:top="1380" w:bottom="1546" w:left="1440" w:right="1460"/>
        </w:sectPr>
      </w:pPr>
    </w:p>
    <w:p>
      <w:pPr>
        <w:pStyle w:val="BodyText"/>
        <w:spacing w:before="2"/>
        <w:rPr>
          <w:rFonts w:ascii="Times New Roman"/>
          <w:sz w:val="42"/>
        </w:rPr>
      </w:pPr>
    </w:p>
    <w:p>
      <w:pPr>
        <w:pStyle w:val="Heading1"/>
        <w:spacing w:before="0"/>
        <w:ind w:left="17"/>
      </w:pPr>
      <w:bookmarkStart w:name="_TOC_250038" w:id="2"/>
      <w:bookmarkEnd w:id="2"/>
      <w:r>
        <w:rPr>
          <w:color w:val="1F487C"/>
        </w:rPr>
        <w:t>RESUMEN</w:t>
      </w:r>
    </w:p>
    <w:p>
      <w:pPr>
        <w:pStyle w:val="BodyText"/>
        <w:rPr>
          <w:b/>
          <w:sz w:val="32"/>
        </w:rPr>
      </w:pPr>
    </w:p>
    <w:p>
      <w:pPr>
        <w:pStyle w:val="BodyText"/>
        <w:spacing w:line="360" w:lineRule="auto" w:before="252"/>
        <w:ind w:left="259" w:right="235" w:firstLine="182"/>
        <w:jc w:val="both"/>
      </w:pPr>
      <w:r>
        <w:rPr/>
        <w:t>Los subproductos de plantas oleaginosas han sido utilizadas para mejorar el desempeño productivo en ruminates ya sea por la alta energía que proporciona o por su composición proteica, sin embargo, pocos artículos reportan la cantidad que debe proporcionarse en forma adecuada en la dieta de ruminates como suplemento. Es por lo anterior, que el trabajo fue elaborado para evaluar el efecto de cártamo (</w:t>
      </w:r>
      <w:r>
        <w:rPr>
          <w:i/>
        </w:rPr>
        <w:t>Carthamus </w:t>
      </w:r>
      <w:r>
        <w:rPr>
          <w:i/>
        </w:rPr>
        <w:t>tinctorius L., </w:t>
      </w:r>
      <w:r>
        <w:rPr/>
        <w:t>SFM)/canola (</w:t>
      </w:r>
      <w:r>
        <w:rPr>
          <w:i/>
        </w:rPr>
        <w:t>Brassica napus, </w:t>
      </w:r>
      <w:r>
        <w:rPr/>
        <w:t>CAS) con semilla de sorgo en una proporción (0%, 25%, 50%, 75%, 100%, respectivamente) en una proporción concentrado-forraje (1:1) en una prueba </w:t>
      </w:r>
      <w:r>
        <w:rPr>
          <w:i/>
        </w:rPr>
        <w:t>in vitro </w:t>
      </w:r>
      <w:r>
        <w:rPr/>
        <w:t>de fermentación ruminal de ovino, </w:t>
      </w:r>
      <w:r>
        <w:rPr>
          <w:position w:val="2"/>
        </w:rPr>
        <w:t>como es la cinética de producción de gas, nitrógeno amoniacal (NH</w:t>
      </w:r>
      <w:r>
        <w:rPr>
          <w:sz w:val="16"/>
        </w:rPr>
        <w:t>3</w:t>
      </w:r>
      <w:r>
        <w:rPr>
          <w:position w:val="2"/>
        </w:rPr>
        <w:t>-N), pH, producción de metano (CH</w:t>
      </w:r>
      <w:r>
        <w:rPr>
          <w:sz w:val="16"/>
        </w:rPr>
        <w:t>4</w:t>
      </w:r>
      <w:r>
        <w:rPr>
          <w:position w:val="2"/>
        </w:rPr>
        <w:t>) y la desaparición de materia seca </w:t>
      </w:r>
      <w:r>
        <w:rPr>
          <w:i/>
          <w:position w:val="2"/>
        </w:rPr>
        <w:t>in vitro </w:t>
      </w:r>
      <w:r>
        <w:rPr>
          <w:position w:val="2"/>
        </w:rPr>
        <w:t>(</w:t>
      </w:r>
      <w:r>
        <w:rPr>
          <w:i/>
          <w:position w:val="2"/>
        </w:rPr>
        <w:t>IVDMD</w:t>
      </w:r>
      <w:r>
        <w:rPr>
          <w:position w:val="2"/>
        </w:rPr>
        <w:t>) de </w:t>
      </w:r>
      <w:r>
        <w:rPr/>
        <w:t>rastrojo de maíz. Los resultados mostraron que la producción de gas, y de metano significativamente disminuyeron, pero </w:t>
      </w:r>
      <w:r>
        <w:rPr>
          <w:i/>
        </w:rPr>
        <w:t>IVDMD </w:t>
      </w:r>
      <w:r>
        <w:rPr/>
        <w:t>y pH incrementaron con el incremento de ambas proporciones de SFM y CAS en alimentación a base de concentrado. Para tomar en consideración el desempeño de fermentación y ambiente, nuestros resultados sugieren que la suplementación más adecuada de canola y cartamo en alimentación a base de concentrado son de 25% a 50%, y de 25% a 75%, respectivamente.</w:t>
      </w:r>
    </w:p>
    <w:p>
      <w:pPr>
        <w:pStyle w:val="BodyText"/>
      </w:pPr>
    </w:p>
    <w:p>
      <w:pPr>
        <w:pStyle w:val="BodyText"/>
        <w:spacing w:line="360" w:lineRule="auto" w:before="141"/>
        <w:ind w:left="259" w:right="237" w:firstLine="182"/>
        <w:jc w:val="both"/>
      </w:pPr>
      <w:r>
        <w:rPr/>
        <w:t>Modificar el metabolismo microbiano en rumen a través de la adición de aceites derivados de plantas es una manera efectiva de aumentar los ácidos  grasos funcionales de los productos derivados de ruminates. Poco es conocido de la  influencia de ácidos grasos exogenos en los procesos del metabolismo de lípidos en las membranas de bacterias y protozoarios. Es por lo anterior, que </w:t>
      </w:r>
      <w:r>
        <w:rPr>
          <w:spacing w:val="4"/>
        </w:rPr>
        <w:t>el </w:t>
      </w:r>
      <w:r>
        <w:rPr/>
        <w:t>presente trabajo se enfocó en investigar los ácidos grasos de cadena larga (LCFA), ácidos grasos volétiles </w:t>
      </w:r>
      <w:r>
        <w:rPr>
          <w:position w:val="2"/>
        </w:rPr>
        <w:t>(VFA) y metano (CH</w:t>
      </w:r>
      <w:r>
        <w:rPr>
          <w:sz w:val="16"/>
        </w:rPr>
        <w:t>4</w:t>
      </w:r>
      <w:r>
        <w:rPr>
          <w:position w:val="2"/>
        </w:rPr>
        <w:t>) a las 48 horas de suplemtento exógeno de aceites </w:t>
      </w:r>
      <w:r>
        <w:rPr/>
        <w:t>principalmente conteniendo ácidos grasos poli/mono insaturados, PUFA/MUFA, (C18:3, C18:2 y C18:1 de aceites de linaza, cártamo y canola respectivamente) y</w:t>
      </w:r>
      <w:r>
        <w:rPr>
          <w:spacing w:val="-15"/>
        </w:rPr>
        <w:t> </w:t>
      </w:r>
      <w:r>
        <w:rPr/>
        <w:t>ácidos</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2"/>
        <w:jc w:val="both"/>
      </w:pPr>
      <w:r>
        <w:rPr/>
        <w:t>grasos de cadena mediana MCFA, (C12:0 de aceite de coco). Los resultados mostraron que la composición de ácidos grasos entre bacteria y protozoarios fueron diferentes. La suplementación de aceite de linaza, principalmente ácido linoleico (C18:3), al incrementar las proporciones de C18:2 n6</w:t>
      </w:r>
      <w:r>
        <w:rPr>
          <w:i/>
        </w:rPr>
        <w:t>c</w:t>
      </w:r>
      <w:r>
        <w:rPr/>
        <w:t>, C18:2 n6</w:t>
      </w:r>
      <w:r>
        <w:rPr>
          <w:i/>
        </w:rPr>
        <w:t>t</w:t>
      </w:r>
      <w:r>
        <w:rPr/>
        <w:t>, C18:1 n9</w:t>
      </w:r>
      <w:r>
        <w:rPr>
          <w:i/>
        </w:rPr>
        <w:t>c</w:t>
      </w:r>
      <w:r>
        <w:rPr/>
        <w:t>, C18:1 n9</w:t>
      </w:r>
      <w:r>
        <w:rPr>
          <w:i/>
        </w:rPr>
        <w:t>t </w:t>
      </w:r>
      <w:r>
        <w:rPr/>
        <w:t>y </w:t>
      </w:r>
      <w:r>
        <w:rPr>
          <w:i/>
        </w:rPr>
        <w:t>cis</w:t>
      </w:r>
      <w:r>
        <w:rPr/>
        <w:t>- ácidos grasos en la membrane de bacterias y protozoarios en diferente medida,  mejora ligeramente las concentraciones de ácido acético y propiónico pero </w:t>
      </w:r>
      <w:r>
        <w:rPr>
          <w:spacing w:val="-3"/>
        </w:rPr>
        <w:t>no </w:t>
      </w:r>
      <w:r>
        <w:rPr/>
        <w:t>tiene </w:t>
      </w:r>
      <w:r>
        <w:rPr>
          <w:position w:val="2"/>
        </w:rPr>
        <w:t>impacto en CH</w:t>
      </w:r>
      <w:r>
        <w:rPr>
          <w:sz w:val="16"/>
        </w:rPr>
        <w:t>4</w:t>
      </w:r>
      <w:r>
        <w:rPr>
          <w:position w:val="2"/>
        </w:rPr>
        <w:t>. La suplementación con aceite de coco, aumenta la composición de </w:t>
      </w:r>
      <w:r>
        <w:rPr/>
        <w:t>MCFA, y por lo tanto aumenta la biosíntesis de MCFA en fracciones tanto de bacterias como de protozoarios (del C12:0 al C14:0), para inhibir la actividad de metanogénesis en cierta medida. Los mayores ácidos grasos saturados, saturados/insaturados, </w:t>
      </w:r>
      <w:r>
        <w:rPr>
          <w:i/>
        </w:rPr>
        <w:t>trans</w:t>
      </w:r>
      <w:r>
        <w:rPr/>
        <w:t>-, </w:t>
      </w:r>
      <w:r>
        <w:rPr>
          <w:i/>
        </w:rPr>
        <w:t>even</w:t>
      </w:r>
      <w:r>
        <w:rPr/>
        <w:t>-carbon insaturados fueron obtenidos de membranas de bacterias cuando se suplementaba con aceites de cártamo y canola, principalmente C18:2 y C18:1, respectivamente, pero más bajo que aceite de coco. Sin embargo, en ambos con cártamo y canola aumentaron las concentraciones de ácido acético y propiónico, disminuye la Ac/Pro ratio pero no el impacto de la actividad de metanogénesis. En resumen, los resultados implican que diferentes grados de ácidos grasos insaturados de cadena corta o larga puede impactar en la fermentación</w:t>
      </w:r>
      <w:r>
        <w:rPr>
          <w:spacing w:val="-24"/>
        </w:rPr>
        <w:t> </w:t>
      </w:r>
      <w:r>
        <w:rPr/>
        <w:t>ruminal.</w:t>
      </w:r>
    </w:p>
    <w:p>
      <w:pPr>
        <w:pStyle w:val="BodyText"/>
      </w:pPr>
    </w:p>
    <w:p>
      <w:pPr>
        <w:pStyle w:val="BodyText"/>
        <w:spacing w:line="360" w:lineRule="auto" w:before="141"/>
        <w:ind w:left="259" w:right="234"/>
        <w:jc w:val="both"/>
      </w:pPr>
      <w:r>
        <w:rPr>
          <w:b/>
        </w:rPr>
        <w:t>Palabras clave: </w:t>
      </w:r>
      <w:r>
        <w:rPr/>
        <w:t>cártamo, canola, cinética de producción de gas, metano, fermentación in vitro, estudio teórico experimental, producción de metano, redes de distribución de ácidos grasos,composición de membrana, bacteria, protozoarios.</w:t>
      </w:r>
    </w:p>
    <w:p>
      <w:pPr>
        <w:spacing w:after="0" w:line="360" w:lineRule="auto"/>
        <w:jc w:val="both"/>
        <w:sectPr>
          <w:pgSz w:w="12240" w:h="15840"/>
          <w:pgMar w:header="684" w:footer="1184" w:top="1380" w:bottom="1380" w:left="1440" w:right="1460"/>
        </w:sectPr>
      </w:pPr>
    </w:p>
    <w:p>
      <w:pPr>
        <w:pStyle w:val="BodyText"/>
        <w:rPr>
          <w:sz w:val="20"/>
        </w:rPr>
      </w:pPr>
    </w:p>
    <w:p>
      <w:pPr>
        <w:pStyle w:val="BodyText"/>
        <w:rPr>
          <w:sz w:val="20"/>
        </w:rPr>
      </w:pPr>
    </w:p>
    <w:p>
      <w:pPr>
        <w:pStyle w:val="BodyText"/>
        <w:spacing w:before="6"/>
        <w:rPr>
          <w:sz w:val="28"/>
        </w:rPr>
      </w:pPr>
    </w:p>
    <w:p>
      <w:pPr>
        <w:pStyle w:val="Heading1"/>
        <w:ind w:left="18"/>
      </w:pPr>
      <w:bookmarkStart w:name="_TOC_250037" w:id="3"/>
      <w:bookmarkEnd w:id="3"/>
      <w:r>
        <w:rPr>
          <w:color w:val="1F487C"/>
        </w:rPr>
        <w:t>ABSTRACT</w:t>
      </w:r>
    </w:p>
    <w:p>
      <w:pPr>
        <w:pStyle w:val="BodyText"/>
        <w:rPr>
          <w:b/>
          <w:sz w:val="32"/>
        </w:rPr>
      </w:pPr>
    </w:p>
    <w:p>
      <w:pPr>
        <w:pStyle w:val="BodyText"/>
        <w:spacing w:before="8"/>
        <w:rPr>
          <w:b/>
          <w:sz w:val="29"/>
        </w:rPr>
      </w:pPr>
    </w:p>
    <w:p>
      <w:pPr>
        <w:pStyle w:val="BodyText"/>
        <w:spacing w:line="360" w:lineRule="auto"/>
        <w:ind w:left="259" w:right="236"/>
        <w:jc w:val="both"/>
      </w:pPr>
      <w:r>
        <w:rPr/>
        <w:t>Oleaginous plant by-products are widely used to improve ruminant growth performance for high energy or protein composition, however, few article reports the suitable fit amount for oleaginous by-products to the ruminant diets in a large supplementation range. Therefore, this work was conducted to evaluate the effect of Safflower meal (</w:t>
      </w:r>
      <w:r>
        <w:rPr>
          <w:i/>
        </w:rPr>
        <w:t>Carthamus tinctorius L., </w:t>
      </w:r>
      <w:r>
        <w:rPr/>
        <w:t>SFM)/ Canola seed (</w:t>
      </w:r>
      <w:r>
        <w:rPr>
          <w:i/>
        </w:rPr>
        <w:t>Brassica napus, </w:t>
      </w:r>
      <w:r>
        <w:rPr/>
        <w:t>CAS) with sorghum seed in theoretic proportion (0%, 25%, 50%, 75%, and 100%, respectively) in a specific concentrate-roughage ratio of (1:1) on </w:t>
      </w:r>
      <w:r>
        <w:rPr>
          <w:i/>
        </w:rPr>
        <w:t>in vitro </w:t>
      </w:r>
      <w:r>
        <w:rPr/>
        <w:t>ovine rumen fermentation </w:t>
      </w:r>
      <w:r>
        <w:rPr>
          <w:position w:val="2"/>
        </w:rPr>
        <w:t>performance, such as the kinetics of gas production, ammonia nitrogen (NH</w:t>
      </w:r>
      <w:r>
        <w:rPr>
          <w:sz w:val="16"/>
        </w:rPr>
        <w:t>3</w:t>
      </w:r>
      <w:r>
        <w:rPr>
          <w:position w:val="2"/>
        </w:rPr>
        <w:t>-N), pH, methane production (CH</w:t>
      </w:r>
      <w:r>
        <w:rPr>
          <w:sz w:val="16"/>
        </w:rPr>
        <w:t>4</w:t>
      </w:r>
      <w:r>
        <w:rPr>
          <w:position w:val="2"/>
        </w:rPr>
        <w:t>) and </w:t>
      </w:r>
      <w:r>
        <w:rPr>
          <w:i/>
          <w:position w:val="2"/>
        </w:rPr>
        <w:t>in vitro </w:t>
      </w:r>
      <w:r>
        <w:rPr>
          <w:position w:val="2"/>
        </w:rPr>
        <w:t>dry matter disappearance (</w:t>
      </w:r>
      <w:r>
        <w:rPr>
          <w:i/>
          <w:position w:val="2"/>
        </w:rPr>
        <w:t>IVDMD</w:t>
      </w:r>
      <w:r>
        <w:rPr>
          <w:position w:val="2"/>
        </w:rPr>
        <w:t>) of maize </w:t>
      </w:r>
      <w:r>
        <w:rPr/>
        <w:t>stover. The results showed that gas production performance, and methane production were significantly decreased, but </w:t>
      </w:r>
      <w:r>
        <w:rPr>
          <w:i/>
        </w:rPr>
        <w:t>IVDMD </w:t>
      </w:r>
      <w:r>
        <w:rPr/>
        <w:t>and pH were obviously increased with the increasing proportions of both SFM and </w:t>
      </w:r>
      <w:r>
        <w:rPr>
          <w:spacing w:val="-3"/>
        </w:rPr>
        <w:t>CAS </w:t>
      </w:r>
      <w:r>
        <w:rPr/>
        <w:t>in concentrated feed. To take a consideration of fermentation performance and environment/ cost factors, our results suggest that most suitable supplementation dosage of canola seed and safflower meal in concentrated feed are from 25% to 50%, and 25% </w:t>
      </w:r>
      <w:r>
        <w:rPr>
          <w:spacing w:val="-3"/>
        </w:rPr>
        <w:t>to </w:t>
      </w:r>
      <w:r>
        <w:rPr/>
        <w:t>75%, respectively. However, in practical production of completed feed, the supplementation amount of safflower meal/ canola seed also depend on concentrate-roughage</w:t>
      </w:r>
      <w:r>
        <w:rPr>
          <w:spacing w:val="-27"/>
        </w:rPr>
        <w:t> </w:t>
      </w:r>
      <w:r>
        <w:rPr/>
        <w:t>ratios.</w:t>
      </w:r>
    </w:p>
    <w:p>
      <w:pPr>
        <w:pStyle w:val="BodyText"/>
        <w:spacing w:before="2"/>
      </w:pPr>
    </w:p>
    <w:p>
      <w:pPr>
        <w:pStyle w:val="BodyText"/>
        <w:spacing w:line="360" w:lineRule="auto"/>
        <w:ind w:left="259" w:right="236"/>
        <w:jc w:val="both"/>
      </w:pPr>
      <w:r>
        <w:rPr/>
        <w:t>Unbalanced uptake of Omega 6 / Omega 3 (ω-6/ω-3) ratios could increase chronic disease occurrence, such as inflammation, atherosclerosis, or tumor proliferation </w:t>
      </w:r>
      <w:r>
        <w:rPr>
          <w:i/>
        </w:rPr>
        <w:t>etc.</w:t>
      </w:r>
      <w:r>
        <w:rPr/>
        <w:t>, and the methylation methods for measuring the ruminal microbiome fatty acids (FA) composition/distribution play a vital role in discovering the contribution of food components to ruminant products (</w:t>
      </w:r>
      <w:r>
        <w:rPr>
          <w:i/>
        </w:rPr>
        <w:t>e.g.</w:t>
      </w:r>
      <w:r>
        <w:rPr/>
        <w:t>, meat and milk) when pursuing a healthy diet. Hansch’s models based on Linear Free Energy Relationships (LFER) using physicochemical parameters, such as partition coefficients, molar refractivity, </w:t>
      </w:r>
      <w:r>
        <w:rPr>
          <w:position w:val="2"/>
        </w:rPr>
        <w:t>polarizability,   </w:t>
      </w:r>
      <w:r>
        <w:rPr>
          <w:i/>
          <w:position w:val="2"/>
        </w:rPr>
        <w:t>etc.</w:t>
      </w:r>
      <w:r>
        <w:rPr>
          <w:position w:val="2"/>
        </w:rPr>
        <w:t>,  as  input   variables  (V</w:t>
      </w:r>
      <w:r>
        <w:rPr>
          <w:sz w:val="16"/>
        </w:rPr>
        <w:t>k</w:t>
      </w:r>
      <w:r>
        <w:rPr>
          <w:position w:val="2"/>
        </w:rPr>
        <w:t>),   are  advocated.   In  this  work,  a     new</w:t>
      </w:r>
    </w:p>
    <w:p>
      <w:pPr>
        <w:spacing w:after="0" w:line="360" w:lineRule="auto"/>
        <w:jc w:val="both"/>
        <w:sectPr>
          <w:footerReference w:type="default" r:id="rId10"/>
          <w:pgSz w:w="12240" w:h="15840"/>
          <w:pgMar w:footer="1184" w:header="684" w:top="1380" w:bottom="1380" w:left="1440" w:right="1460"/>
          <w:pgNumType w:start="9"/>
        </w:sectPr>
      </w:pPr>
    </w:p>
    <w:p>
      <w:pPr>
        <w:pStyle w:val="BodyText"/>
        <w:spacing w:before="7"/>
        <w:rPr>
          <w:sz w:val="15"/>
        </w:rPr>
      </w:pPr>
    </w:p>
    <w:p>
      <w:pPr>
        <w:pStyle w:val="BodyText"/>
        <w:spacing w:line="360" w:lineRule="auto" w:before="66"/>
        <w:ind w:left="259" w:right="233"/>
        <w:jc w:val="both"/>
      </w:pPr>
      <w:r>
        <w:rPr/>
        <w:t>combined experimental-theoretical strategy was proposed to study the effect of ω- 6/ω-3 ratios, FA chemical structure, and other factors over FA distribution networks in the ruminal microbiome. In step 1, experiments were carried out to measure long chain fatty acids (LCFA) profiles in rumen microbiome (bacteria and protozoan), and volatile fatty acids (VFA) in fermentation media. In step 2, the proportions and physicochemical parameter values of LCFA and VFA were calculated in different </w:t>
      </w:r>
      <w:r>
        <w:rPr>
          <w:position w:val="2"/>
        </w:rPr>
        <w:t>boundary conditions (c</w:t>
      </w:r>
      <w:r>
        <w:rPr>
          <w:sz w:val="16"/>
        </w:rPr>
        <w:t>j</w:t>
      </w:r>
      <w:r>
        <w:rPr>
          <w:position w:val="2"/>
        </w:rPr>
        <w:t>) like c</w:t>
      </w:r>
      <w:r>
        <w:rPr>
          <w:sz w:val="16"/>
        </w:rPr>
        <w:t>1 </w:t>
      </w:r>
      <w:r>
        <w:rPr>
          <w:position w:val="2"/>
        </w:rPr>
        <w:t>= acid and/or base methylation treatments, </w:t>
      </w:r>
      <w:r>
        <w:rPr>
          <w:spacing w:val="3"/>
          <w:position w:val="2"/>
        </w:rPr>
        <w:t>c</w:t>
      </w:r>
      <w:r>
        <w:rPr>
          <w:spacing w:val="3"/>
          <w:sz w:val="16"/>
        </w:rPr>
        <w:t>2</w:t>
      </w:r>
      <w:r>
        <w:rPr>
          <w:spacing w:val="41"/>
          <w:sz w:val="16"/>
        </w:rPr>
        <w:t> </w:t>
      </w:r>
      <w:r>
        <w:rPr>
          <w:position w:val="2"/>
        </w:rPr>
        <w:t>= with/without fermentation, c</w:t>
      </w:r>
      <w:r>
        <w:rPr>
          <w:sz w:val="16"/>
        </w:rPr>
        <w:t>3 </w:t>
      </w:r>
      <w:r>
        <w:rPr>
          <w:position w:val="2"/>
        </w:rPr>
        <w:t>= FA distribution phase (media, bacterial, or protozoan </w:t>
      </w:r>
      <w:r>
        <w:rPr/>
        <w:t>microbiome), </w:t>
      </w:r>
      <w:r>
        <w:rPr>
          <w:i/>
        </w:rPr>
        <w:t>etc</w:t>
      </w:r>
      <w:r>
        <w:rPr/>
        <w:t>. In step 3, Perturbation Theory (PT) and LFER ideas were combined to develop a PT-LFER model of a FA distribution network using physicochemical </w:t>
      </w:r>
      <w:r>
        <w:rPr>
          <w:position w:val="2"/>
        </w:rPr>
        <w:t>parameters (V</w:t>
      </w:r>
      <w:r>
        <w:rPr>
          <w:sz w:val="16"/>
        </w:rPr>
        <w:t>k</w:t>
      </w:r>
      <w:r>
        <w:rPr>
          <w:position w:val="2"/>
        </w:rPr>
        <w:t>), the corresponding Box-Jenkins (ΔV</w:t>
      </w:r>
      <w:r>
        <w:rPr>
          <w:sz w:val="16"/>
        </w:rPr>
        <w:t>kj</w:t>
      </w:r>
      <w:r>
        <w:rPr>
          <w:position w:val="2"/>
        </w:rPr>
        <w:t>) and PT Operators (ΔΔV</w:t>
      </w:r>
      <w:r>
        <w:rPr>
          <w:sz w:val="16"/>
        </w:rPr>
        <w:t>kj</w:t>
      </w:r>
      <w:r>
        <w:rPr>
          <w:position w:val="2"/>
        </w:rPr>
        <w:t>) in </w:t>
      </w:r>
      <w:r>
        <w:rPr/>
        <w:t>statistical analysis. The best PT-LFER model found predicted the effects of perturbations over the FA distribution network with Sensitivity, Specificity, and Accuracy &gt; 80% for 407,655 cases in training + external validation series. In step 4, alternative PT-LFER and PT-NLFER models were tested for training Linear and </w:t>
      </w:r>
      <w:r>
        <w:rPr>
          <w:spacing w:val="2"/>
        </w:rPr>
        <w:t>Non- </w:t>
      </w:r>
      <w:r>
        <w:rPr/>
        <w:t>Linear Artificial Neural Networks (ANN). PT-NLFER models based on ANNs presented better performance but are more complicated than the PT-LFER model. Last, in step 5, the PT-LFER model based on LDA was used to reconstruct the complex networks of perturbations in the FA distribution and compared the giant components of the observed and predicted networks with random Erdős–Rényi network models. In short, our new PT-LFER model is a useful tool for predicting a distribution network in terms of specific fatty acids</w:t>
      </w:r>
      <w:r>
        <w:rPr>
          <w:spacing w:val="-15"/>
        </w:rPr>
        <w:t> </w:t>
      </w:r>
      <w:r>
        <w:rPr/>
        <w:t>distribution.</w:t>
      </w:r>
    </w:p>
    <w:p>
      <w:pPr>
        <w:pStyle w:val="BodyText"/>
      </w:pPr>
    </w:p>
    <w:p>
      <w:pPr>
        <w:pStyle w:val="BodyText"/>
        <w:spacing w:before="10"/>
        <w:rPr>
          <w:sz w:val="35"/>
        </w:rPr>
      </w:pPr>
    </w:p>
    <w:p>
      <w:pPr>
        <w:pStyle w:val="BodyText"/>
        <w:spacing w:line="360" w:lineRule="auto"/>
        <w:ind w:left="259" w:right="241"/>
        <w:jc w:val="both"/>
      </w:pPr>
      <w:r>
        <w:rPr>
          <w:b/>
        </w:rPr>
        <w:t>Keywords</w:t>
      </w:r>
      <w:r>
        <w:rPr/>
        <w:t>: safflower meal, canola seed, gas production kinetics, methane, </w:t>
      </w:r>
      <w:r>
        <w:rPr>
          <w:i/>
        </w:rPr>
        <w:t>in vitro </w:t>
      </w:r>
      <w:r>
        <w:rPr/>
        <w:t>fermentation, experimental-theoretical study, methane production, fatty acid distribution networks, membrane composition, long chain fatty acids, bacteria, protozoan.</w:t>
      </w:r>
    </w:p>
    <w:p>
      <w:pPr>
        <w:spacing w:after="0" w:line="360" w:lineRule="auto"/>
        <w:jc w:val="both"/>
        <w:sectPr>
          <w:pgSz w:w="12240" w:h="15840"/>
          <w:pgMar w:header="684" w:footer="1184" w:top="1380" w:bottom="1380" w:left="1440" w:right="1460"/>
        </w:sectPr>
      </w:pPr>
    </w:p>
    <w:p>
      <w:pPr>
        <w:pStyle w:val="BodyText"/>
        <w:rPr>
          <w:sz w:val="20"/>
        </w:rPr>
      </w:pPr>
    </w:p>
    <w:p>
      <w:pPr>
        <w:pStyle w:val="BodyText"/>
        <w:spacing w:before="6"/>
        <w:rPr>
          <w:sz w:val="16"/>
        </w:rPr>
      </w:pPr>
    </w:p>
    <w:p>
      <w:pPr>
        <w:pStyle w:val="Heading1"/>
        <w:ind w:left="22"/>
      </w:pPr>
      <w:bookmarkStart w:name="_TOC_250036" w:id="4"/>
      <w:bookmarkEnd w:id="4"/>
      <w:r>
        <w:rPr>
          <w:color w:val="1F487C"/>
        </w:rPr>
        <w:t>INTRODUCCIÓN</w:t>
      </w:r>
    </w:p>
    <w:p>
      <w:pPr>
        <w:pStyle w:val="BodyText"/>
        <w:spacing w:before="5"/>
        <w:rPr>
          <w:b/>
          <w:sz w:val="33"/>
        </w:rPr>
      </w:pPr>
    </w:p>
    <w:p>
      <w:pPr>
        <w:pStyle w:val="BodyText"/>
        <w:spacing w:line="360" w:lineRule="auto"/>
        <w:ind w:left="259" w:right="236" w:firstLine="341"/>
        <w:jc w:val="both"/>
      </w:pPr>
      <w:r>
        <w:rPr/>
        <w:t>La técnica de fermentación in vitro ha sido considerada ser adecuado para evaluar la contribución de la fermentación microbiana ruminal en la digestión general de rumiantes (Gosselink et al, 2004b;.. Getachew et al, 2005). La cinética de la producción de gas, y la desaparición de materia seca (Menke y Steingass, 1988) se ha aplicado con éxito a digestivo de los rumiantes investiga para evaluar los valores nutricionales de la alimentación y las correspondientes rumen rendimiento fermentación microbiana, proporcionando alguna información virtual sobre in vivo o métodos in situ (Gosselink et al, 2004a;. Wulf y Südekum, 2005).</w:t>
      </w:r>
    </w:p>
    <w:p>
      <w:pPr>
        <w:pStyle w:val="BodyText"/>
        <w:spacing w:line="360" w:lineRule="auto" w:before="1"/>
        <w:ind w:left="259" w:right="231" w:firstLine="341"/>
        <w:jc w:val="both"/>
      </w:pPr>
      <w:r>
        <w:rPr/>
        <w:t>Las extensiones cambiantes de in vitro cinética de producción de gas,  la producción de CH4 y digestibilidad de la fibra están relacionadas con la naturaleza o la forma de la semilla oleaginosa (extruido, presionado comida o todo el estado), y sus interacciones con la composición de la dieta basal (Lerch et al. , 2012). Sin embargo, están disponibles para la elaboración de las cantidades adecuadas de semillas de canola sin procesar y harina de cártamo extraída en las raciones de las especies ovina pocos datos. Por lo tanto, este trabajo fue diseñado para estudiar el efecto integral de una variedad de proporción de SFM / CAS con semilla de sorgo en el rendimiento de la fermentación in vitro por la cinética de producción de gas, la concentración de NH3-N, pH, producción de CH4 e in vitro de materia seca digestibilidad (DIVMS ) del rastrojo de maíz.</w:t>
      </w:r>
    </w:p>
    <w:p>
      <w:pPr>
        <w:pStyle w:val="BodyText"/>
        <w:spacing w:line="360" w:lineRule="auto" w:before="1"/>
        <w:ind w:left="259" w:right="234" w:firstLine="456"/>
        <w:jc w:val="both"/>
      </w:pPr>
      <w:r>
        <w:rPr/>
        <w:t>La relación ω-6 / ω-3 juega un papel importante no sólo en la patogénesis de enfermedades cardiovasculares, sino también en el cáncer, enfermedades inflamatorias y autoinmunes (Simopoulos, 2002, 2006; Simopoulos, 2008). Se considera un alto ω-6 / ω-3 relación perjudicial para la salud humana, un valor cercano a 1 es considerada protectora contra las patologías degenerativas (Simopoulos, 1999). Enriquecimiento de la carne de rumiantes o de leche con ω-3 PUFAs, para disminuir aún más ω-6 / ω-3 ratios de captación, es una manera eficaz para introducir estos PUFAs beneficiosos en la dieta, pero proceso complejo biohidrogenación ruminal limita su biodisponibilidad (Kronberg et al. , 2007). Petit  et</w:t>
      </w:r>
    </w:p>
    <w:p>
      <w:pPr>
        <w:spacing w:after="0" w:line="360" w:lineRule="auto"/>
        <w:jc w:val="both"/>
        <w:sectPr>
          <w:footerReference w:type="default" r:id="rId11"/>
          <w:pgSz w:w="12240" w:h="15840"/>
          <w:pgMar w:footer="1164" w:header="684" w:top="1380" w:bottom="1360" w:left="1440" w:right="1460"/>
          <w:pgNumType w:start="1"/>
        </w:sectPr>
      </w:pPr>
    </w:p>
    <w:p>
      <w:pPr>
        <w:pStyle w:val="BodyText"/>
        <w:spacing w:before="7"/>
        <w:rPr>
          <w:sz w:val="15"/>
        </w:rPr>
      </w:pPr>
    </w:p>
    <w:p>
      <w:pPr>
        <w:pStyle w:val="BodyText"/>
        <w:spacing w:line="360" w:lineRule="auto" w:before="66"/>
        <w:ind w:left="259" w:right="237"/>
        <w:jc w:val="both"/>
      </w:pPr>
      <w:r>
        <w:rPr/>
        <w:t>al. informó añadiendo riquezas linaza enteros en ALA a las raciones de vacas lecheras, lo que resultó en el ω-6 bajo cociente / ω-3 en la leche en comparación con la soja micronizadas o semillas de girasol (Petit, 2002). Hess et al. (Hess et al., 2012) demostró que la incorporación de ω-3 PUFAs en sangre de los animales y el músculo depende directamente de la dieta de alimentación de ácido graso específico. Además, los ácidos grasos de cadena larga (LCFA) tiene que ser metilado por ácido y / o la metilación del valor inicial antes de determinar con cromatógrafo de gases (GC). Existen diferentes métodos para medir la metilación LCFA de leche, músculo o membrana microbiana ruminal (Kramer et al., 1997; O-Rashid et al, 2007;. Ichihara y Fukubayashi, 2010), acompañan con la generación de resultados diferentes. Las propiedades estructurales de LCFA (sobre todo el número, ubicación o estructura topológica de dobles enlaces) son altamente relacionado con la enfermedad crónica. Para abordar este problema, se postuló que los LCFAs en las membranas microbianas ruminales cambian con el suministro de ω-6 / ω-3 ratios.</w:t>
      </w:r>
    </w:p>
    <w:p>
      <w:pPr>
        <w:pStyle w:val="BodyText"/>
        <w:spacing w:line="360" w:lineRule="auto" w:before="82"/>
        <w:ind w:left="259" w:right="241" w:firstLine="456"/>
        <w:jc w:val="both"/>
      </w:pPr>
      <w:r>
        <w:rPr/>
        <w:t>La Quimioinformática está relacionado con Aprendizaje Automático, Quimiometría y Bioinformática (Varnek y Baskin, 2011), y combina los campos científicos de trabajo de Química, Ciencias de la Información y las áreas de la topología, teoría de grafos química y la minería de datos en el espacio químico. Es bien sabido que, electrostático, y factores de hidrofobicidad estéricos pueden ser biológicamente relevante (Chou y Cai, 2005; Estrada et al., 2006). En esta ecuación, los diferentes parámetros se pueden utilizar como entradas para dar cuenta de los factores tales como: coeficientes de partición agua / n-octanol (PI), refractividad molecular (MR), constantes de acidez logarítmica (PKA), y otros parámetros fisicoquímicos para cuantificar diferentes propiedades moleculares globales. (Ehresmann et al., 2005) las salidas del modelo son los valores de una propiedad molecular (εi) o una función de esta propiedad f (εi) para un compuesto químico dado o entidad molecular</w:t>
      </w:r>
      <w:r>
        <w:rPr>
          <w:spacing w:val="-8"/>
        </w:rPr>
        <w:t> </w:t>
      </w:r>
      <w:r>
        <w:rPr/>
        <w:t>(mi).</w:t>
      </w:r>
    </w:p>
    <w:p>
      <w:pPr>
        <w:pStyle w:val="BodyText"/>
        <w:spacing w:line="357" w:lineRule="auto" w:before="82"/>
        <w:ind w:left="259" w:right="240" w:firstLine="456"/>
        <w:jc w:val="both"/>
      </w:pPr>
      <w:r>
        <w:rPr/>
        <w:t>Las innovaciones de estos modelos se describen como sigue. 1) El uso de la regresión lineal para buscar ecuaciones lineales multivariantes es capaz de predecir los  valores  de  f  (εi),  empleando  varias  variables  de  entrada.  2)  Hánsch    también</w:t>
      </w:r>
    </w:p>
    <w:p>
      <w:pPr>
        <w:spacing w:after="0" w:line="357"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37"/>
        <w:jc w:val="both"/>
      </w:pPr>
      <w:r>
        <w:rPr/>
        <w:t>generaliza el uso de parámetros lipofilia por la formulación de modelos parabólicos para las relaciones no lineales. 3) Los términos logarítmicos (logPi) de Pi se utilizan comúnmente como las medidas de lipofilia molecular y juegan un papel importante en el modelo. A su vez, los valores logPi se pueden predecir ya sea por métodos atómicos (como XlogP o ALogP) o por métodos químicos de fragmentos (como CLogPi o métodos similares) (Tetko et al, 2001;. Tetko y Poda, 2004). A partir de una química física punto de vista, el modelo de Hánsch es un enfoque extra-termodinámico estrechamente relacionado con relaciones lineales Gratis Energía (LFER) (Roy y Leonard, 2005; Anslyn y Dougherty, 2006). La designación de los modelos de Hansch como ecuaciones LFER provienen del uso de parámetros en función de energía libre de Gibbs (Gi) del proceso i. (Gibbs,</w:t>
      </w:r>
      <w:r>
        <w:rPr>
          <w:spacing w:val="-15"/>
        </w:rPr>
        <w:t> </w:t>
      </w:r>
      <w:r>
        <w:rPr/>
        <w:t>1871)</w:t>
      </w:r>
    </w:p>
    <w:p>
      <w:pPr>
        <w:pStyle w:val="BodyText"/>
        <w:spacing w:line="360" w:lineRule="auto" w:before="82"/>
        <w:ind w:left="259" w:right="235" w:firstLine="456"/>
        <w:jc w:val="both"/>
      </w:pPr>
      <w:r>
        <w:rPr/>
        <w:t>Sin embargo, otros parámetros fisicoquímicos o descriptores moleculares también se pueden usar para cuantificar el efecto de los cambios en la estructura química más de una característica de interés. Esto significa que los descriptores moleculares para una molécula dada se pueden utilizar, que no sólo son constantes termodinámicas, sino también otras medidas teóricas de lipofilia molecular, electronegatividad, polarizabilidad, o propiedades de topología  molecular (Ehresmann et al., 2005), etc. Los valores de estas variables de entrada (IVK) puede calcularse como parámetros fisicoquímicos o descriptores moleculares de diferentes tipos (k) para una molécula dada</w:t>
      </w:r>
      <w:r>
        <w:rPr>
          <w:spacing w:val="-14"/>
        </w:rPr>
        <w:t> </w:t>
      </w:r>
      <w:r>
        <w:rPr/>
        <w:t>(mi).</w:t>
      </w:r>
    </w:p>
    <w:p>
      <w:pPr>
        <w:pStyle w:val="BodyText"/>
        <w:spacing w:line="360" w:lineRule="auto" w:before="82"/>
        <w:ind w:left="259" w:right="234" w:firstLine="456"/>
        <w:jc w:val="both"/>
      </w:pPr>
      <w:r>
        <w:rPr/>
        <w:t>En general, la suposición básica para el análisis de Hánsch es que las moléculas similares tienen actividades similares (de Hansch et al, 2001;.. De Hansch et al, 2002; de Hansch et al., 2003). Este principio también se denomina Relación Estructura- Actividad (SAR). La paradoja SAR se refiere al hecho de que no todos los casos que las moléculas similares a lo largo con actividades similares. Por tanto, el problema de fondo es cómo definir una pequeña diferencia en un nivel molecular. El problema es relevante ya que cada tipo de propiedad, por ejemplo, solubilidad, reactividad, o el metabolismo, se espera que depender de otra diferencia. Esto significa que las variaciones   o   perturbaciones   "pequeños"   tienen   que   ser   cuantificados   a  nivel</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39"/>
        <w:jc w:val="both"/>
      </w:pPr>
      <w:r>
        <w:rPr/>
        <w:t>estructural molecular, que a su vez implica un "pequeño" cambio lineal en la energía libre de la interacción del fármaco con el receptor.</w:t>
      </w:r>
    </w:p>
    <w:p>
      <w:pPr>
        <w:pStyle w:val="BodyText"/>
        <w:spacing w:line="360" w:lineRule="auto" w:before="82"/>
        <w:ind w:left="259" w:right="233"/>
        <w:jc w:val="both"/>
      </w:pPr>
      <w:r>
        <w:rPr/>
        <w:t>En nuestra opinión, las ideas de la teoría de perturbaciones (PT) (González-Díaz et al., 2013b) pueden utilizarse para dar cuenta de este problema en el contexto de Quimioinformática. Es por eso que; PT y LFER las ideas se utilizaron para formular un nuevo enfoque PT-LFER. Este enfoque PT-LFER es una generalización del método clásico Hánsch extra-Termodinámica para Quimioinformática. La prueba de concepto- También se demostró con un estudio experimental, teórica sobre redes complejas de distribución de FA en lipidómica. La metodología de aprendizaje de máquina, como Redes Neuronales Artificiales (RNAs) se utilizaron para probar modelos PT-NLFER (análogos no lineal de PT-LFER). El mejor modelo PT-LFER encontró fue utilizado  para predecir el efecto de las perturbaciones en las condiciones de contorno iniciales sobre un gran compleja red de distribución / absorción de FA en el microbioma ruminal. La compleja red observada para los datos reportados se construyó y se compara por primera vez con la red y modelo predijo redes aleatorias de gran similar. Por último, la sección teórica se completa con un estudio comparativo del modelo de clasificación PT-LFER encontrado con otros modelos no lineales. Este estudio fue de gran relevancia debido a los resultados anteriores que apuntan a una fuerte relación entre las relaciones de ω-6 / ω-3 de la ingesta de FA y la salud humana. (Calder et al, 2011; Calviello et al, 2013) En consecuencia, esta trabajo allana el camino para  evaluar el efecto de las perturbaciones en los sistemas moleculares complejas implicadas en las estructuras químicas y las condiciones experimentales de</w:t>
      </w:r>
      <w:r>
        <w:rPr>
          <w:spacing w:val="-34"/>
        </w:rPr>
        <w:t> </w:t>
      </w:r>
      <w:r>
        <w:rPr/>
        <w:t>contorno.</w:t>
      </w:r>
    </w:p>
    <w:p>
      <w:pPr>
        <w:spacing w:after="0" w:line="360" w:lineRule="auto"/>
        <w:jc w:val="both"/>
        <w:sectPr>
          <w:pgSz w:w="12240" w:h="15840"/>
          <w:pgMar w:header="684" w:footer="1164" w:top="1380" w:bottom="1380" w:left="1440" w:right="1460"/>
        </w:sectPr>
      </w:pPr>
    </w:p>
    <w:p>
      <w:pPr>
        <w:pStyle w:val="BodyText"/>
        <w:rPr>
          <w:sz w:val="20"/>
        </w:rPr>
      </w:pPr>
    </w:p>
    <w:p>
      <w:pPr>
        <w:pStyle w:val="BodyText"/>
        <w:spacing w:before="6"/>
        <w:rPr>
          <w:sz w:val="16"/>
        </w:rPr>
      </w:pPr>
    </w:p>
    <w:p>
      <w:pPr>
        <w:pStyle w:val="Heading1"/>
        <w:ind w:left="2853"/>
        <w:jc w:val="left"/>
      </w:pPr>
      <w:bookmarkStart w:name="_TOC_250035" w:id="5"/>
      <w:bookmarkEnd w:id="5"/>
      <w:r>
        <w:rPr>
          <w:color w:val="1F487C"/>
        </w:rPr>
        <w:t>REVISIÓN BIBLIOGRÁFIA</w:t>
      </w:r>
    </w:p>
    <w:p>
      <w:pPr>
        <w:pStyle w:val="BodyText"/>
        <w:rPr>
          <w:b/>
          <w:sz w:val="32"/>
        </w:rPr>
      </w:pPr>
    </w:p>
    <w:p>
      <w:pPr>
        <w:pStyle w:val="BodyText"/>
        <w:rPr>
          <w:b/>
          <w:sz w:val="32"/>
        </w:rPr>
      </w:pPr>
    </w:p>
    <w:p>
      <w:pPr>
        <w:pStyle w:val="Heading2"/>
        <w:numPr>
          <w:ilvl w:val="0"/>
          <w:numId w:val="2"/>
        </w:numPr>
        <w:tabs>
          <w:tab w:pos="966" w:val="left" w:leader="none"/>
        </w:tabs>
        <w:spacing w:line="240" w:lineRule="auto" w:before="209" w:after="0"/>
        <w:ind w:left="259" w:right="0" w:firstLine="361"/>
        <w:jc w:val="left"/>
        <w:rPr>
          <w:i/>
        </w:rPr>
      </w:pPr>
      <w:bookmarkStart w:name="_TOC_250034" w:id="6"/>
      <w:r>
        <w:rPr>
          <w:i/>
        </w:rPr>
        <w:t>Plantas oleaginosas utilizadas por el</w:t>
      </w:r>
      <w:r>
        <w:rPr>
          <w:i/>
          <w:spacing w:val="-24"/>
        </w:rPr>
        <w:t> </w:t>
      </w:r>
      <w:bookmarkEnd w:id="6"/>
      <w:r>
        <w:rPr>
          <w:i/>
        </w:rPr>
        <w:t>rumen</w:t>
      </w:r>
    </w:p>
    <w:p>
      <w:pPr>
        <w:pStyle w:val="BodyText"/>
        <w:spacing w:before="9"/>
        <w:rPr>
          <w:b/>
          <w:i/>
          <w:sz w:val="28"/>
        </w:rPr>
      </w:pPr>
    </w:p>
    <w:p>
      <w:pPr>
        <w:pStyle w:val="Heading3"/>
        <w:ind w:left="404"/>
        <w:rPr>
          <w:rFonts w:ascii="Times New Roman" w:hAnsi="Times New Roman"/>
        </w:rPr>
      </w:pPr>
      <w:bookmarkStart w:name="_TOC_250033" w:id="7"/>
      <w:bookmarkEnd w:id="7"/>
      <w:r>
        <w:rPr>
          <w:rFonts w:ascii="Times New Roman" w:hAnsi="Times New Roman"/>
        </w:rPr>
        <w:t>1.1. Cártamo y Canola</w:t>
      </w:r>
    </w:p>
    <w:p>
      <w:pPr>
        <w:pStyle w:val="BodyText"/>
        <w:spacing w:before="10"/>
        <w:rPr>
          <w:rFonts w:ascii="Times New Roman"/>
          <w:b/>
        </w:rPr>
      </w:pPr>
    </w:p>
    <w:p>
      <w:pPr>
        <w:pStyle w:val="BodyText"/>
        <w:spacing w:line="360" w:lineRule="auto" w:before="1"/>
        <w:ind w:left="259" w:right="233" w:firstLine="226"/>
        <w:jc w:val="both"/>
      </w:pPr>
      <w:r>
        <w:rPr/>
        <w:t>El Cártamo (Carthamus tinctorius L.), a menudo se utiliza para extraer aceite y se siembra en suelos con bajos requerimientos de insumos y de agua. México es una de las principales regiones de producción de cártamo (FAO, 2011), su rendimiento es de alrededor de 2.5 mt/ha (Gilbert, 2008). Es ampliamente utilizado para las dietas de aves de compañía, vacas lecheras y carneros (Smith, 1996 (Bäumler et al., 2006); Sudhamayee et al., 2004). El alto nivel de suplementación de cártamo disminuye el rendimiento animal, (Goss y Otagaki, 1954a; Dixon et al., 2003). La proteína de la harina de cártamo contiene proteína altamente degradable (Walli, 2005b) que varía entre el 60% (Chandrasekharaiah et al., 2001a), y 70% (Dixon et al., 2003) y se puede mezclar con semillas de soya o harina de linaza en diferentes proporciones.</w:t>
      </w:r>
    </w:p>
    <w:p>
      <w:pPr>
        <w:pStyle w:val="BodyText"/>
        <w:spacing w:before="4"/>
        <w:rPr>
          <w:sz w:val="23"/>
        </w:rPr>
      </w:pPr>
    </w:p>
    <w:p>
      <w:pPr>
        <w:pStyle w:val="BodyText"/>
        <w:spacing w:line="362" w:lineRule="auto"/>
        <w:ind w:left="259" w:right="234"/>
        <w:jc w:val="both"/>
      </w:pPr>
      <w:r>
        <w:rPr>
          <w:i/>
        </w:rPr>
        <w:t>Brassica napus </w:t>
      </w:r>
      <w:r>
        <w:rPr/>
        <w:t>(Canola) ha sido utilizada ampliamente como fuente energética y proteica en rumiantes con alto valor biológico (CP, 20-43%; aceite, &gt;40%) (</w:t>
      </w:r>
      <w:hyperlink w:history="true" w:anchor="_bookmark2">
        <w:r>
          <w:rPr/>
          <w:t>Ebrahimi</w:t>
        </w:r>
      </w:hyperlink>
      <w:r>
        <w:rPr/>
        <w:t> </w:t>
      </w:r>
      <w:hyperlink w:history="true" w:anchor="_bookmark2">
        <w:r>
          <w:rPr/>
          <w:t>et al., 2009</w:t>
        </w:r>
      </w:hyperlink>
      <w:r>
        <w:rPr/>
        <w:t>), (</w:t>
      </w:r>
      <w:hyperlink w:history="true" w:anchor="_bookmark8">
        <w:r>
          <w:rPr/>
          <w:t>Maxin et al., 2013</w:t>
        </w:r>
      </w:hyperlink>
      <w:r>
        <w:rPr/>
        <w:t>). Sin embargo, la proteina de canola es fácilmente degradable por los microorganismos del rumen (</w:t>
      </w:r>
      <w:hyperlink w:history="true" w:anchor="_bookmark6">
        <w:r>
          <w:rPr/>
          <w:t>Khorasani et al., 1993</w:t>
        </w:r>
      </w:hyperlink>
      <w:r>
        <w:rPr/>
        <w:t>), aunque también contiene sustancias anti-nutricionales (</w:t>
      </w:r>
      <w:hyperlink w:history="true" w:anchor="_bookmark9">
        <w:r>
          <w:rPr/>
          <w:t>Tripathi and Mishra, 2007</w:t>
        </w:r>
      </w:hyperlink>
      <w:r>
        <w:rPr/>
        <w:t>), (</w:t>
      </w:r>
      <w:hyperlink w:history="true" w:anchor="_bookmark0">
        <w:r>
          <w:rPr/>
          <w:t>Al-</w:t>
        </w:r>
      </w:hyperlink>
      <w:r>
        <w:rPr/>
        <w:t> </w:t>
      </w:r>
      <w:hyperlink w:history="true" w:anchor="_bookmark0">
        <w:r>
          <w:rPr/>
          <w:t>Kaiesy et al., 2003</w:t>
        </w:r>
      </w:hyperlink>
      <w:r>
        <w:rPr/>
        <w:t>).</w:t>
      </w:r>
    </w:p>
    <w:p>
      <w:pPr>
        <w:pStyle w:val="BodyText"/>
        <w:rPr>
          <w:sz w:val="23"/>
        </w:rPr>
      </w:pPr>
    </w:p>
    <w:p>
      <w:pPr>
        <w:pStyle w:val="Heading3"/>
        <w:numPr>
          <w:ilvl w:val="1"/>
          <w:numId w:val="3"/>
        </w:numPr>
        <w:tabs>
          <w:tab w:pos="624" w:val="left" w:leader="none"/>
        </w:tabs>
        <w:spacing w:line="240" w:lineRule="auto" w:before="0" w:after="0"/>
        <w:ind w:left="624" w:right="0" w:hanging="365"/>
        <w:jc w:val="both"/>
        <w:rPr>
          <w:rFonts w:ascii="Times New Roman" w:hAnsi="Times New Roman"/>
        </w:rPr>
      </w:pPr>
      <w:bookmarkStart w:name="_TOC_250032" w:id="8"/>
      <w:r>
        <w:rPr>
          <w:rFonts w:ascii="Times New Roman" w:hAnsi="Times New Roman"/>
        </w:rPr>
        <w:t>Usos de diferentes fracciones de semilla de</w:t>
      </w:r>
      <w:r>
        <w:rPr>
          <w:rFonts w:ascii="Times New Roman" w:hAnsi="Times New Roman"/>
          <w:spacing w:val="-26"/>
        </w:rPr>
        <w:t> </w:t>
      </w:r>
      <w:bookmarkEnd w:id="8"/>
      <w:r>
        <w:rPr>
          <w:rFonts w:ascii="Times New Roman" w:hAnsi="Times New Roman"/>
        </w:rPr>
        <w:t>Cártamo</w:t>
      </w:r>
    </w:p>
    <w:p>
      <w:pPr>
        <w:pStyle w:val="BodyText"/>
        <w:spacing w:before="10"/>
        <w:rPr>
          <w:rFonts w:ascii="Times New Roman"/>
          <w:b/>
        </w:rPr>
      </w:pPr>
    </w:p>
    <w:p>
      <w:pPr>
        <w:pStyle w:val="BodyText"/>
        <w:spacing w:line="360" w:lineRule="auto"/>
        <w:ind w:left="259" w:right="236" w:firstLine="283"/>
        <w:jc w:val="both"/>
      </w:pPr>
      <w:r>
        <w:rPr/>
        <w:t>El cártamo (</w:t>
      </w:r>
      <w:r>
        <w:rPr>
          <w:i/>
        </w:rPr>
        <w:t>Carthamus tinctorius L.</w:t>
      </w:r>
      <w:r>
        <w:rPr/>
        <w:t>), se utiliza normalmente para obtener aceites,  al igual que algunos usos medicinales como para el tratamiento para reumatismo, analgésico y desinflamatorio. El cártamo se produce principalmente en Estados Unidos, México  e  India  (</w:t>
      </w:r>
      <w:hyperlink w:history="true" w:anchor="_bookmark3">
        <w:r>
          <w:rPr/>
          <w:t>FAO, 2011</w:t>
        </w:r>
      </w:hyperlink>
      <w:r>
        <w:rPr/>
        <w:t>), mientras  que Japón, Canada  e inclusive </w:t>
      </w:r>
      <w:r>
        <w:rPr>
          <w:spacing w:val="8"/>
        </w:rPr>
        <w:t> </w:t>
      </w:r>
      <w:r>
        <w:rPr/>
        <w:t>México</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4" w:lineRule="auto" w:before="66"/>
        <w:ind w:left="259"/>
      </w:pPr>
      <w:r>
        <w:rPr/>
        <w:t>son el mayor mercado de acuerdo a los reportes de Los Servicios Nacionales de Estadística en Agricultura (NASS, 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drawing>
          <wp:anchor distT="0" distB="0" distL="0" distR="0" allowOverlap="1" layoutInCell="1" locked="0" behindDoc="0" simplePos="0" relativeHeight="1216">
            <wp:simplePos x="0" y="0"/>
            <wp:positionH relativeFrom="page">
              <wp:posOffset>1390014</wp:posOffset>
            </wp:positionH>
            <wp:positionV relativeFrom="paragraph">
              <wp:posOffset>104016</wp:posOffset>
            </wp:positionV>
            <wp:extent cx="2405252" cy="1804416"/>
            <wp:effectExtent l="0" t="0" r="0" b="0"/>
            <wp:wrapTopAndBottom/>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2" cstate="print"/>
                    <a:stretch>
                      <a:fillRect/>
                    </a:stretch>
                  </pic:blipFill>
                  <pic:spPr>
                    <a:xfrm>
                      <a:off x="0" y="0"/>
                      <a:ext cx="2405252" cy="1804416"/>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3953509</wp:posOffset>
            </wp:positionH>
            <wp:positionV relativeFrom="paragraph">
              <wp:posOffset>104016</wp:posOffset>
            </wp:positionV>
            <wp:extent cx="2421758" cy="1816798"/>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3" cstate="print"/>
                    <a:stretch>
                      <a:fillRect/>
                    </a:stretch>
                  </pic:blipFill>
                  <pic:spPr>
                    <a:xfrm>
                      <a:off x="0" y="0"/>
                      <a:ext cx="2421758" cy="1816798"/>
                    </a:xfrm>
                    <a:prstGeom prst="rect">
                      <a:avLst/>
                    </a:prstGeom>
                  </pic:spPr>
                </pic:pic>
              </a:graphicData>
            </a:graphic>
          </wp:anchor>
        </w:drawing>
      </w:r>
    </w:p>
    <w:p>
      <w:pPr>
        <w:pStyle w:val="BodyText"/>
        <w:rPr>
          <w:sz w:val="20"/>
        </w:rPr>
      </w:pPr>
    </w:p>
    <w:p>
      <w:pPr>
        <w:pStyle w:val="ListParagraph"/>
        <w:numPr>
          <w:ilvl w:val="2"/>
          <w:numId w:val="3"/>
        </w:numPr>
        <w:tabs>
          <w:tab w:pos="1941" w:val="left" w:leader="none"/>
          <w:tab w:pos="5589" w:val="left" w:leader="none"/>
        </w:tabs>
        <w:spacing w:line="240" w:lineRule="auto" w:before="215" w:after="0"/>
        <w:ind w:left="1940" w:right="0" w:hanging="216"/>
        <w:jc w:val="left"/>
        <w:rPr>
          <w:sz w:val="24"/>
        </w:rPr>
      </w:pPr>
      <w:r>
        <w:rPr>
          <w:sz w:val="24"/>
        </w:rPr>
        <w:t>Flor de</w:t>
      </w:r>
      <w:r>
        <w:rPr>
          <w:spacing w:val="-3"/>
          <w:sz w:val="24"/>
        </w:rPr>
        <w:t> </w:t>
      </w:r>
      <w:r>
        <w:rPr>
          <w:sz w:val="24"/>
        </w:rPr>
        <w:t>Cártamo</w:t>
        <w:tab/>
        <w:t>b. Semilla de</w:t>
      </w:r>
      <w:r>
        <w:rPr>
          <w:spacing w:val="-10"/>
          <w:sz w:val="24"/>
        </w:rPr>
        <w:t> </w:t>
      </w:r>
      <w:r>
        <w:rPr>
          <w:sz w:val="24"/>
        </w:rPr>
        <w:t>Cártamo</w:t>
      </w:r>
    </w:p>
    <w:p>
      <w:pPr>
        <w:pStyle w:val="BodyText"/>
        <w:rPr>
          <w:sz w:val="20"/>
        </w:rPr>
      </w:pPr>
    </w:p>
    <w:p>
      <w:pPr>
        <w:pStyle w:val="BodyText"/>
        <w:spacing w:before="5"/>
        <w:rPr>
          <w:sz w:val="19"/>
        </w:rPr>
      </w:pPr>
      <w:r>
        <w:rPr/>
        <w:drawing>
          <wp:anchor distT="0" distB="0" distL="0" distR="0" allowOverlap="1" layoutInCell="1" locked="0" behindDoc="0" simplePos="0" relativeHeight="1264">
            <wp:simplePos x="0" y="0"/>
            <wp:positionH relativeFrom="page">
              <wp:posOffset>1390014</wp:posOffset>
            </wp:positionH>
            <wp:positionV relativeFrom="paragraph">
              <wp:posOffset>169549</wp:posOffset>
            </wp:positionV>
            <wp:extent cx="2404521" cy="2066544"/>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4" cstate="print"/>
                    <a:stretch>
                      <a:fillRect/>
                    </a:stretch>
                  </pic:blipFill>
                  <pic:spPr>
                    <a:xfrm>
                      <a:off x="0" y="0"/>
                      <a:ext cx="2404521" cy="2066544"/>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3953509</wp:posOffset>
            </wp:positionH>
            <wp:positionV relativeFrom="paragraph">
              <wp:posOffset>169549</wp:posOffset>
            </wp:positionV>
            <wp:extent cx="2424062" cy="2068068"/>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5" cstate="print"/>
                    <a:stretch>
                      <a:fillRect/>
                    </a:stretch>
                  </pic:blipFill>
                  <pic:spPr>
                    <a:xfrm>
                      <a:off x="0" y="0"/>
                      <a:ext cx="2424062" cy="2068068"/>
                    </a:xfrm>
                    <a:prstGeom prst="rect">
                      <a:avLst/>
                    </a:prstGeom>
                  </pic:spPr>
                </pic:pic>
              </a:graphicData>
            </a:graphic>
          </wp:anchor>
        </w:drawing>
      </w:r>
    </w:p>
    <w:p>
      <w:pPr>
        <w:pStyle w:val="BodyText"/>
        <w:rPr>
          <w:sz w:val="20"/>
        </w:rPr>
      </w:pPr>
    </w:p>
    <w:p>
      <w:pPr>
        <w:pStyle w:val="BodyText"/>
        <w:spacing w:before="9"/>
        <w:rPr>
          <w:sz w:val="20"/>
        </w:rPr>
      </w:pPr>
    </w:p>
    <w:p>
      <w:pPr>
        <w:pStyle w:val="BodyText"/>
        <w:tabs>
          <w:tab w:pos="4063" w:val="left" w:leader="none"/>
        </w:tabs>
        <w:ind w:left="203"/>
        <w:jc w:val="center"/>
      </w:pPr>
      <w:r>
        <w:rPr/>
        <w:t>c. Flor</w:t>
      </w:r>
      <w:r>
        <w:rPr>
          <w:spacing w:val="-1"/>
        </w:rPr>
        <w:t> </w:t>
      </w:r>
      <w:r>
        <w:rPr/>
        <w:t>de</w:t>
      </w:r>
      <w:r>
        <w:rPr>
          <w:spacing w:val="-2"/>
        </w:rPr>
        <w:t> </w:t>
      </w:r>
      <w:r>
        <w:rPr/>
        <w:t>Canola</w:t>
        <w:tab/>
        <w:t>d. Semilla de</w:t>
      </w:r>
      <w:r>
        <w:rPr>
          <w:spacing w:val="-4"/>
        </w:rPr>
        <w:t> </w:t>
      </w:r>
      <w:r>
        <w:rPr/>
        <w:t>Canola</w:t>
      </w:r>
    </w:p>
    <w:p>
      <w:pPr>
        <w:pStyle w:val="BodyText"/>
      </w:pPr>
    </w:p>
    <w:p>
      <w:pPr>
        <w:pStyle w:val="Heading4"/>
        <w:spacing w:before="143"/>
        <w:ind w:left="11" w:firstLine="0"/>
        <w:jc w:val="center"/>
        <w:rPr>
          <w:i/>
        </w:rPr>
      </w:pPr>
      <w:r>
        <w:rPr>
          <w:i/>
        </w:rPr>
        <w:t>Figura 1. Flores y semillas de Cártamo y Canola.</w:t>
      </w:r>
    </w:p>
    <w:p>
      <w:pPr>
        <w:spacing w:after="0"/>
        <w:jc w:val="center"/>
        <w:sectPr>
          <w:pgSz w:w="12240" w:h="15840"/>
          <w:pgMar w:header="684" w:footer="1164" w:top="1380" w:bottom="1380" w:left="1440" w:right="1460"/>
        </w:sectPr>
      </w:pPr>
    </w:p>
    <w:p>
      <w:pPr>
        <w:pStyle w:val="BodyText"/>
        <w:spacing w:before="9"/>
        <w:rPr>
          <w:b/>
          <w:i/>
          <w:sz w:val="15"/>
        </w:rPr>
      </w:pPr>
    </w:p>
    <w:p>
      <w:pPr>
        <w:pStyle w:val="Heading2"/>
        <w:numPr>
          <w:ilvl w:val="0"/>
          <w:numId w:val="2"/>
        </w:numPr>
        <w:tabs>
          <w:tab w:pos="544" w:val="left" w:leader="none"/>
        </w:tabs>
        <w:spacing w:line="240" w:lineRule="auto" w:before="60" w:after="0"/>
        <w:ind w:left="543" w:right="0" w:hanging="284"/>
        <w:jc w:val="left"/>
        <w:rPr>
          <w:i/>
        </w:rPr>
      </w:pPr>
      <w:bookmarkStart w:name="_TOC_250031" w:id="9"/>
      <w:r>
        <w:rPr>
          <w:i/>
        </w:rPr>
        <w:t>Características de ácidos grasos de</w:t>
      </w:r>
      <w:r>
        <w:rPr>
          <w:i/>
          <w:spacing w:val="-28"/>
        </w:rPr>
        <w:t> </w:t>
      </w:r>
      <w:bookmarkEnd w:id="9"/>
      <w:r>
        <w:rPr>
          <w:i/>
        </w:rPr>
        <w:t>plantas.</w:t>
      </w:r>
    </w:p>
    <w:p>
      <w:pPr>
        <w:pStyle w:val="BodyText"/>
        <w:spacing w:before="4"/>
        <w:rPr>
          <w:b/>
          <w:i/>
        </w:rPr>
      </w:pPr>
    </w:p>
    <w:p>
      <w:pPr>
        <w:pStyle w:val="BodyText"/>
        <w:spacing w:line="362" w:lineRule="auto" w:before="1"/>
        <w:ind w:left="259" w:right="235" w:firstLine="341"/>
        <w:jc w:val="both"/>
      </w:pPr>
      <w:r>
        <w:rPr/>
        <w:t>Los ácidos grasos se clasifican por su longitud. Se dividen por el número de átomos de carbono de sus estructuras químicas, ya sea de cadena corta, de cadena media y de cadena larga. Los aceites naturales vegetales son ricos en ácidos grasos de cadena media (AGCM) con las colas alifáticos de menos de 18 átomos de carbono, y ácidos grasos de cadena larga (LCFA), con colas alifáticos de 18 a 21 carbonos.</w:t>
      </w:r>
    </w:p>
    <w:p>
      <w:pPr>
        <w:pStyle w:val="BodyText"/>
        <w:spacing w:before="1"/>
        <w:rPr>
          <w:sz w:val="23"/>
        </w:rPr>
      </w:pPr>
    </w:p>
    <w:p>
      <w:pPr>
        <w:pStyle w:val="Heading3"/>
        <w:numPr>
          <w:ilvl w:val="1"/>
          <w:numId w:val="2"/>
        </w:numPr>
        <w:tabs>
          <w:tab w:pos="712" w:val="left" w:leader="none"/>
        </w:tabs>
        <w:spacing w:line="240" w:lineRule="auto" w:before="0" w:after="0"/>
        <w:ind w:left="711" w:right="0" w:hanging="452"/>
        <w:jc w:val="left"/>
      </w:pPr>
      <w:bookmarkStart w:name="_TOC_250030" w:id="10"/>
      <w:r>
        <w:rPr/>
        <w:t>Ácidos grasos de cadena</w:t>
      </w:r>
      <w:r>
        <w:rPr>
          <w:spacing w:val="-19"/>
        </w:rPr>
        <w:t> </w:t>
      </w:r>
      <w:bookmarkEnd w:id="10"/>
      <w:r>
        <w:rPr/>
        <w:t>corta.</w:t>
      </w:r>
    </w:p>
    <w:p>
      <w:pPr>
        <w:pStyle w:val="BodyText"/>
        <w:spacing w:before="3"/>
        <w:rPr>
          <w:b/>
        </w:rPr>
      </w:pPr>
    </w:p>
    <w:p>
      <w:pPr>
        <w:pStyle w:val="BodyText"/>
        <w:spacing w:line="360" w:lineRule="auto"/>
        <w:ind w:left="259" w:right="235" w:firstLine="341"/>
        <w:jc w:val="both"/>
      </w:pPr>
      <w:r>
        <w:rPr/>
        <w:t>Los ácidos grasos de cadena corta (AGCC) son ácidos grasos alifáticos con colas de menos de seis carbonos (por ejemplo, acetato, propionato, y butirato). En los rumiantes, algunos ácidos grasos volátiles (AGV) ruminales, son el ácido acético, ácido propiónico, ácido butírico y al concluir isobutirato, valerato, y isovalerato. Estos AGV se digieren de alimentación o forraje, y son absorbidos y utilizados por los rumiantes.</w:t>
      </w:r>
    </w:p>
    <w:p>
      <w:pPr>
        <w:pStyle w:val="BodyText"/>
        <w:spacing w:before="4"/>
        <w:rPr>
          <w:sz w:val="23"/>
        </w:rPr>
      </w:pPr>
    </w:p>
    <w:p>
      <w:pPr>
        <w:pStyle w:val="Heading3"/>
        <w:numPr>
          <w:ilvl w:val="1"/>
          <w:numId w:val="2"/>
        </w:numPr>
        <w:tabs>
          <w:tab w:pos="712" w:val="left" w:leader="none"/>
        </w:tabs>
        <w:spacing w:line="240" w:lineRule="auto" w:before="0" w:after="0"/>
        <w:ind w:left="711" w:right="0" w:hanging="452"/>
        <w:jc w:val="left"/>
      </w:pPr>
      <w:bookmarkStart w:name="_TOC_250029" w:id="11"/>
      <w:r>
        <w:rPr/>
        <w:t>Ácidos grasos de cadena</w:t>
      </w:r>
      <w:r>
        <w:rPr>
          <w:spacing w:val="-14"/>
        </w:rPr>
        <w:t> </w:t>
      </w:r>
      <w:r>
        <w:rPr/>
        <w:t>mediana</w:t>
      </w:r>
      <w:bookmarkEnd w:id="11"/>
      <w:r>
        <w:rPr>
          <w:rFonts w:ascii="Times New Roman" w:hAnsi="Times New Roman"/>
        </w:rPr>
        <w:t>.</w:t>
      </w:r>
    </w:p>
    <w:p>
      <w:pPr>
        <w:pStyle w:val="BodyText"/>
        <w:spacing w:before="4"/>
        <w:rPr>
          <w:rFonts w:ascii="Times New Roman"/>
          <w:b/>
        </w:rPr>
      </w:pPr>
    </w:p>
    <w:p>
      <w:pPr>
        <w:pStyle w:val="BodyText"/>
        <w:spacing w:line="360" w:lineRule="auto"/>
        <w:ind w:left="259" w:right="237" w:firstLine="283"/>
        <w:jc w:val="both"/>
      </w:pPr>
      <w:r>
        <w:rPr/>
        <w:t>Los ácidos grasos </w:t>
      </w:r>
      <w:r>
        <w:rPr>
          <w:spacing w:val="2"/>
        </w:rPr>
        <w:t>de </w:t>
      </w:r>
      <w:r>
        <w:rPr/>
        <w:t>cadena media (AGCM) contienen menos de 18 átomos de carbono y, en general, más de 6 carbonos. Estos AGCM son fuentes ideales naturales  de biodiesel y también para algunas materias primas oleoquímicos, es decir, recubrimientos y detergentes. En las plantas, la biosíntesis de ácidos grasos de novo  se produce en el estroma del plástido, con el alargamiento plastidial de cadenas de acilo está terminada por la actividad de proteína portadora de acilo-acilo (acil-ACP) tioesterasas (Tjellström et al., 2013). Por tanto, estas enzimas se consideran determinantes principales de longitudes de cadena de carbono de ácidos grasos, y además a los perfiles generales de ácidos grasos de la planta. Sin embargo, se </w:t>
      </w:r>
      <w:r>
        <w:rPr>
          <w:spacing w:val="3"/>
        </w:rPr>
        <w:t>ha </w:t>
      </w:r>
      <w:r>
        <w:rPr/>
        <w:t>demostrado que sintetasas-acil-ACP puede reactivar la liberación de ácidos grasos, permitiendo por lo tanto un alargamiento adicional (Koo et al., 2005). Tioesterasas- acil ACP se clasifican típicamente como Fat-A o Fat-B, los cuales son responsables de  la liberación de ácido oleico (C18: 1Δ9), ácido esteárico (C18: 0), ácido láurico (C12:  0), mirístico ácido (C14: 0), y el ácido palmítico (C16: 0). Después de  exportación desde el plástido, estos ácidos grasos pueden </w:t>
      </w:r>
      <w:r>
        <w:rPr>
          <w:spacing w:val="-4"/>
        </w:rPr>
        <w:t>ser </w:t>
      </w:r>
      <w:r>
        <w:rPr/>
        <w:t>esterificados a una cadena  </w:t>
      </w:r>
      <w:r>
        <w:rPr>
          <w:spacing w:val="15"/>
        </w:rPr>
        <w:t> </w:t>
      </w:r>
      <w:r>
        <w:rPr/>
        <w:t>principal</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4" w:lineRule="auto" w:before="66"/>
        <w:ind w:left="259"/>
      </w:pPr>
      <w:r>
        <w:rPr/>
        <w:t>glicerofosfato a través de la ruta de Kennedy en el retículo endoplásmico para formar triacilglicerol (Umbellularia californica) (Eccleston et al, 1996).</w:t>
      </w:r>
    </w:p>
    <w:p>
      <w:pPr>
        <w:pStyle w:val="BodyText"/>
        <w:spacing w:before="11"/>
        <w:rPr>
          <w:sz w:val="22"/>
        </w:rPr>
      </w:pPr>
    </w:p>
    <w:p>
      <w:pPr>
        <w:pStyle w:val="BodyText"/>
        <w:spacing w:line="362" w:lineRule="auto"/>
        <w:ind w:left="259" w:right="241" w:firstLine="283"/>
        <w:jc w:val="both"/>
      </w:pPr>
      <w:r>
        <w:rPr/>
        <w:t>Los MCFAs tienen ventajas sobre los ácidos grasos de cadena larga ya que son fáciles de digerir y son quemados como energía. Es un error pensar que todas las grasas son malas para el corazón. De hecho, el corazón necesita ácidos grasos para proporcionar con energía (Eccleston et al, 1996).</w:t>
      </w:r>
    </w:p>
    <w:p>
      <w:pPr>
        <w:pStyle w:val="BodyText"/>
        <w:rPr>
          <w:sz w:val="23"/>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28" w:id="12"/>
      <w:r>
        <w:rPr>
          <w:rFonts w:ascii="Times New Roman" w:hAnsi="Times New Roman"/>
        </w:rPr>
        <w:t>Ácidos grasos de cadena</w:t>
      </w:r>
      <w:r>
        <w:rPr>
          <w:rFonts w:ascii="Times New Roman" w:hAnsi="Times New Roman"/>
          <w:spacing w:val="-17"/>
        </w:rPr>
        <w:t> </w:t>
      </w:r>
      <w:bookmarkEnd w:id="12"/>
      <w:r>
        <w:rPr>
          <w:rFonts w:ascii="Times New Roman" w:hAnsi="Times New Roman"/>
        </w:rPr>
        <w:t>larga.</w:t>
      </w:r>
    </w:p>
    <w:p>
      <w:pPr>
        <w:pStyle w:val="BodyText"/>
        <w:spacing w:before="10"/>
        <w:rPr>
          <w:rFonts w:ascii="Times New Roman"/>
          <w:b/>
        </w:rPr>
      </w:pPr>
    </w:p>
    <w:p>
      <w:pPr>
        <w:pStyle w:val="BodyText"/>
        <w:spacing w:line="360" w:lineRule="auto"/>
        <w:ind w:left="259" w:right="239" w:firstLine="283"/>
        <w:jc w:val="both"/>
      </w:pPr>
      <w:r>
        <w:rPr/>
        <w:t>Los ácidos grasos de cadena larga (AGCL) juegan un papel importante en la función fisiológica. Proporcionan una fuente de energía importante para la mayoría de los tejidos. Por ejemplo, el tejido del corazón puede derivar hasta el 70% de sus necesidades de energía de ácidos grasos (FA) de oxidación (van </w:t>
      </w:r>
      <w:r>
        <w:rPr>
          <w:spacing w:val="3"/>
        </w:rPr>
        <w:t>der </w:t>
      </w:r>
      <w:r>
        <w:rPr/>
        <w:t>Vusse et  al., 1992). Los LCFAs son componentes de los triglicéridos y ésteres de colesterol producidos por los adipocitos, las glándulas suprarrenales, hepatocitos, y macrófagos, etc., como parte de las vías centrales para el metabolismo general. Los LCFAs son precursores de las prostaglandinas, que tienen una variedad de efectos reguladores (Galli y Marangoni, 1997), y bloques de construcción para fosfolípidos, que son cruciales para la integridad y la función de la membrana (Yamashita et al., 1997). La acilación de LCFAs en proteínas de membrana puede influir en su localización y función biológica (Konrad et al, 2014;. Vartak et al, 2014). Los LCFAs también pueden modular directamente la activación de canales de iones (Boland et al., 2009), la  función de la enzima, la transmisión sináptica (Liu et al., 2011), y la memoria (Yamada et al., 2014). Además, los LCFAs se muestran para regular la expresión de genes que implican en el metabolismo de lípidos, la diferenciación celular, el envejecimiento, el desarrollo neural y neurodegeneración (Janssen y Kiliaan, 2014). Gracias a múltiples funciones, los LCFAs han sido implicados en condiciones tales como la inflamación, la aterosclerosis, las respuestas inmunes, el cáncer, la diferenciación celular, y la tumorogénesis (Sun et al.,</w:t>
      </w:r>
      <w:r>
        <w:rPr>
          <w:spacing w:val="-7"/>
        </w:rPr>
        <w:t> </w:t>
      </w:r>
      <w:r>
        <w:rPr/>
        <w:t>2014).</w:t>
      </w:r>
    </w:p>
    <w:p>
      <w:pPr>
        <w:spacing w:after="0" w:line="360" w:lineRule="auto"/>
        <w:jc w:val="both"/>
        <w:sectPr>
          <w:pgSz w:w="12240" w:h="15840"/>
          <w:pgMar w:header="684" w:footer="1164" w:top="1380" w:bottom="1380" w:left="1440" w:right="1460"/>
        </w:sectPr>
      </w:pPr>
    </w:p>
    <w:p>
      <w:pPr>
        <w:pStyle w:val="BodyText"/>
        <w:spacing w:before="3"/>
        <w:rPr>
          <w:sz w:val="15"/>
        </w:rPr>
      </w:pPr>
      <w:r>
        <w:rPr/>
        <w:drawing>
          <wp:anchor distT="0" distB="0" distL="0" distR="0" allowOverlap="1" layoutInCell="1" locked="0" behindDoc="0" simplePos="0" relativeHeight="1312">
            <wp:simplePos x="0" y="0"/>
            <wp:positionH relativeFrom="page">
              <wp:posOffset>2195448</wp:posOffset>
            </wp:positionH>
            <wp:positionV relativeFrom="page">
              <wp:posOffset>8283829</wp:posOffset>
            </wp:positionV>
            <wp:extent cx="1620228" cy="257175"/>
            <wp:effectExtent l="0" t="0" r="0" b="0"/>
            <wp:wrapNone/>
            <wp:docPr id="13" name="image6.png" descr=""/>
            <wp:cNvGraphicFramePr>
              <a:graphicFrameLocks noChangeAspect="1"/>
            </wp:cNvGraphicFramePr>
            <a:graphic>
              <a:graphicData uri="http://schemas.openxmlformats.org/drawingml/2006/picture">
                <pic:pic>
                  <pic:nvPicPr>
                    <pic:cNvPr id="14" name="image6.png"/>
                    <pic:cNvPicPr/>
                  </pic:nvPicPr>
                  <pic:blipFill>
                    <a:blip r:embed="rId16" cstate="print"/>
                    <a:stretch>
                      <a:fillRect/>
                    </a:stretch>
                  </pic:blipFill>
                  <pic:spPr>
                    <a:xfrm>
                      <a:off x="0" y="0"/>
                      <a:ext cx="1620228" cy="257175"/>
                    </a:xfrm>
                    <a:prstGeom prst="rect">
                      <a:avLst/>
                    </a:prstGeom>
                  </pic:spPr>
                </pic:pic>
              </a:graphicData>
            </a:graphic>
          </wp:anchor>
        </w:drawing>
      </w:r>
    </w:p>
    <w:p>
      <w:pPr>
        <w:pStyle w:val="Heading3"/>
        <w:numPr>
          <w:ilvl w:val="1"/>
          <w:numId w:val="2"/>
        </w:numPr>
        <w:tabs>
          <w:tab w:pos="745" w:val="left" w:leader="none"/>
        </w:tabs>
        <w:spacing w:line="240" w:lineRule="auto" w:before="70" w:after="0"/>
        <w:ind w:left="745" w:right="0" w:hanging="486"/>
        <w:jc w:val="left"/>
        <w:rPr>
          <w:rFonts w:ascii="Times New Roman" w:hAnsi="Times New Roman"/>
        </w:rPr>
      </w:pPr>
      <w:bookmarkStart w:name="_TOC_250027" w:id="13"/>
      <w:r>
        <w:rPr>
          <w:rFonts w:ascii="Times New Roman" w:hAnsi="Times New Roman"/>
        </w:rPr>
        <w:t>Ácidos grasos</w:t>
      </w:r>
      <w:r>
        <w:rPr>
          <w:rFonts w:ascii="Times New Roman" w:hAnsi="Times New Roman"/>
          <w:spacing w:val="-17"/>
        </w:rPr>
        <w:t> </w:t>
      </w:r>
      <w:bookmarkEnd w:id="13"/>
      <w:r>
        <w:rPr>
          <w:rFonts w:ascii="Times New Roman" w:hAnsi="Times New Roman"/>
        </w:rPr>
        <w:t>insaturados.</w:t>
      </w:r>
    </w:p>
    <w:p>
      <w:pPr>
        <w:pStyle w:val="BodyText"/>
        <w:spacing w:before="10"/>
        <w:rPr>
          <w:rFonts w:ascii="Times New Roman"/>
          <w:b/>
        </w:rPr>
      </w:pPr>
    </w:p>
    <w:p>
      <w:pPr>
        <w:pStyle w:val="BodyText"/>
        <w:spacing w:line="360" w:lineRule="auto"/>
        <w:ind w:left="259" w:right="233" w:firstLine="283"/>
        <w:jc w:val="both"/>
      </w:pPr>
      <w:r>
        <w:rPr/>
        <w:t>Los ácidos grasos insaturados tienen al menos un doble enlace, mientras que los saturados no tienen. Los ácidos grasos saturados son más comunes en la fabricación de alimentos procesados ya que son menos vulnerables a la rancidez y en general más estables a temperatura ambiente. Para los humano y animales, los ácidos grasos monoinsaturados o poliinsaturados ayuda a mantener niveles más bajos de colesterol total y de lipoproteínas de baja densidad (LDL) en la sangre (Catapano et al.,</w:t>
      </w:r>
      <w:r>
        <w:rPr>
          <w:spacing w:val="-33"/>
        </w:rPr>
        <w:t> </w:t>
      </w:r>
      <w:r>
        <w:rPr/>
        <w:t>2011).</w:t>
      </w:r>
    </w:p>
    <w:p>
      <w:pPr>
        <w:pStyle w:val="BodyText"/>
        <w:spacing w:before="4"/>
        <w:rPr>
          <w:sz w:val="23"/>
        </w:rPr>
      </w:pPr>
    </w:p>
    <w:p>
      <w:pPr>
        <w:pStyle w:val="BodyText"/>
        <w:spacing w:line="360" w:lineRule="auto"/>
        <w:ind w:left="259" w:right="237" w:firstLine="283"/>
        <w:jc w:val="both"/>
      </w:pPr>
      <w:r>
        <w:rPr/>
        <w:t>Se observó que en un consumo relativamente bajo de grasa poliinsaturada se  asoció positivamente con la progresión de la aterosclerosis coronaria (Mozaffarian et al., 2004). Mientrás que en otro estudio, los ácidos grasos poliinsaturados disminuyeron el riesgo de desarrollar esclerosis lateral amiotrófica (ALS, también conocida como enfermedad de Lou Gehrig) (Veldink et al., 2007). Un Alto nivel de ácido docosahexaenoico (DHA), se asoció con un menor riesgo de cáncer de mama (Pala et al.,</w:t>
      </w:r>
      <w:r>
        <w:rPr>
          <w:spacing w:val="-4"/>
        </w:rPr>
        <w:t> </w:t>
      </w:r>
      <w:r>
        <w:rPr/>
        <w:t>2001).</w:t>
      </w:r>
    </w:p>
    <w:p>
      <w:pPr>
        <w:pStyle w:val="BodyText"/>
        <w:spacing w:before="8"/>
        <w:rPr>
          <w:sz w:val="23"/>
        </w:rPr>
      </w:pPr>
    </w:p>
    <w:p>
      <w:pPr>
        <w:spacing w:before="1"/>
        <w:ind w:left="543" w:right="0" w:firstLine="0"/>
        <w:jc w:val="left"/>
        <w:rPr>
          <w:sz w:val="22"/>
        </w:rPr>
      </w:pPr>
      <w:r>
        <w:rPr>
          <w:b/>
          <w:sz w:val="22"/>
        </w:rPr>
        <w:t>Tabla 1</w:t>
      </w:r>
      <w:r>
        <w:rPr>
          <w:sz w:val="22"/>
        </w:rPr>
        <w:t>. Los ejemplos de ácidos grasos insaturados que existían o puedan existir en rumen</w:t>
      </w:r>
    </w:p>
    <w:p>
      <w:pPr>
        <w:pStyle w:val="BodyText"/>
        <w:spacing w:before="11"/>
        <w:rPr>
          <w:sz w:val="10"/>
        </w:rPr>
      </w:pPr>
    </w:p>
    <w:tbl>
      <w:tblPr>
        <w:tblW w:w="0" w:type="auto"/>
        <w:jc w:val="left"/>
        <w:tblInd w:w="149" w:type="dxa"/>
        <w:tblBorders>
          <w:top w:val="single" w:sz="6" w:space="0" w:color="AAAAAA"/>
          <w:left w:val="single" w:sz="6" w:space="0" w:color="AAAAAA"/>
          <w:bottom w:val="single" w:sz="6" w:space="0" w:color="AAAAAA"/>
          <w:right w:val="single" w:sz="6" w:space="0" w:color="AAAAAA"/>
          <w:insideH w:val="single" w:sz="6" w:space="0" w:color="AAAAAA"/>
          <w:insideV w:val="single" w:sz="6" w:space="0" w:color="AAAAAA"/>
        </w:tblBorders>
        <w:tblLayout w:type="fixed"/>
        <w:tblCellMar>
          <w:top w:w="0" w:type="dxa"/>
          <w:left w:w="0" w:type="dxa"/>
          <w:bottom w:w="0" w:type="dxa"/>
          <w:right w:w="0" w:type="dxa"/>
        </w:tblCellMar>
        <w:tblLook w:val="01E0"/>
      </w:tblPr>
      <w:tblGrid>
        <w:gridCol w:w="1842"/>
        <w:gridCol w:w="2555"/>
        <w:gridCol w:w="1839"/>
        <w:gridCol w:w="1277"/>
        <w:gridCol w:w="996"/>
      </w:tblGrid>
      <w:tr>
        <w:trPr>
          <w:trHeight w:val="425" w:hRule="exact"/>
        </w:trPr>
        <w:tc>
          <w:tcPr>
            <w:tcW w:w="8509" w:type="dxa"/>
            <w:gridSpan w:val="5"/>
            <w:tcBorders>
              <w:top w:val="single" w:sz="12" w:space="0" w:color="000000"/>
              <w:left w:val="nil"/>
              <w:right w:val="nil"/>
            </w:tcBorders>
            <w:shd w:val="clear" w:color="auto" w:fill="F1F1F1"/>
          </w:tcPr>
          <w:p>
            <w:pPr>
              <w:pStyle w:val="TableParagraph"/>
              <w:spacing w:before="143"/>
              <w:ind w:left="1282"/>
              <w:rPr>
                <w:rFonts w:ascii="Arial"/>
                <w:b/>
                <w:sz w:val="18"/>
              </w:rPr>
            </w:pPr>
            <w:r>
              <w:rPr>
                <w:rFonts w:ascii="Arial"/>
                <w:b/>
                <w:sz w:val="18"/>
              </w:rPr>
              <w:t>Examples of Unsaturated Fatty Acids in Rumen bacteria or protozoan</w:t>
            </w:r>
          </w:p>
        </w:tc>
      </w:tr>
      <w:tr>
        <w:trPr>
          <w:trHeight w:val="720" w:hRule="exact"/>
        </w:trPr>
        <w:tc>
          <w:tcPr>
            <w:tcW w:w="1842" w:type="dxa"/>
            <w:tcBorders>
              <w:left w:val="nil"/>
            </w:tcBorders>
            <w:shd w:val="clear" w:color="auto" w:fill="F1F1F1"/>
          </w:tcPr>
          <w:p>
            <w:pPr>
              <w:pStyle w:val="TableParagraph"/>
              <w:spacing w:before="11"/>
              <w:rPr>
                <w:rFonts w:ascii="Cambria"/>
                <w:sz w:val="24"/>
              </w:rPr>
            </w:pPr>
          </w:p>
          <w:p>
            <w:pPr>
              <w:pStyle w:val="TableParagraph"/>
              <w:ind w:left="95"/>
              <w:rPr>
                <w:rFonts w:ascii="Arial"/>
                <w:b/>
                <w:sz w:val="18"/>
              </w:rPr>
            </w:pPr>
            <w:r>
              <w:rPr>
                <w:rFonts w:ascii="Arial"/>
                <w:b/>
                <w:sz w:val="18"/>
              </w:rPr>
              <w:t>Name</w:t>
            </w:r>
          </w:p>
        </w:tc>
        <w:tc>
          <w:tcPr>
            <w:tcW w:w="2555" w:type="dxa"/>
            <w:shd w:val="clear" w:color="auto" w:fill="F1F1F1"/>
          </w:tcPr>
          <w:p>
            <w:pPr>
              <w:pStyle w:val="TableParagraph"/>
              <w:spacing w:before="11"/>
              <w:rPr>
                <w:rFonts w:ascii="Cambria"/>
                <w:sz w:val="24"/>
              </w:rPr>
            </w:pPr>
          </w:p>
          <w:p>
            <w:pPr>
              <w:pStyle w:val="TableParagraph"/>
              <w:ind w:left="91"/>
              <w:rPr>
                <w:rFonts w:ascii="Arial"/>
                <w:b/>
                <w:sz w:val="18"/>
              </w:rPr>
            </w:pPr>
            <w:r>
              <w:rPr>
                <w:rFonts w:ascii="Arial"/>
                <w:b/>
                <w:sz w:val="18"/>
              </w:rPr>
              <w:t>Chemical structure</w:t>
            </w:r>
          </w:p>
        </w:tc>
        <w:tc>
          <w:tcPr>
            <w:tcW w:w="1839" w:type="dxa"/>
            <w:shd w:val="clear" w:color="auto" w:fill="F1F1F1"/>
          </w:tcPr>
          <w:p>
            <w:pPr>
              <w:pStyle w:val="TableParagraph"/>
              <w:spacing w:before="7"/>
              <w:rPr>
                <w:rFonts w:ascii="Cambria"/>
                <w:sz w:val="24"/>
              </w:rPr>
            </w:pPr>
          </w:p>
          <w:p>
            <w:pPr>
              <w:pStyle w:val="TableParagraph"/>
              <w:ind w:left="91"/>
              <w:rPr>
                <w:rFonts w:ascii="Arial" w:hAnsi="Arial"/>
                <w:b/>
                <w:i/>
                <w:sz w:val="12"/>
              </w:rPr>
            </w:pPr>
            <w:r>
              <w:rPr>
                <w:rFonts w:ascii="Arial" w:hAnsi="Arial"/>
                <w:b/>
                <w:i/>
                <w:sz w:val="18"/>
              </w:rPr>
              <w:t>cis </w:t>
            </w:r>
            <w:r>
              <w:rPr>
                <w:rFonts w:ascii="Arial" w:hAnsi="Arial"/>
                <w:b/>
                <w:sz w:val="18"/>
              </w:rPr>
              <w:t>or </w:t>
            </w:r>
            <w:r>
              <w:rPr>
                <w:rFonts w:ascii="Arial" w:hAnsi="Arial"/>
                <w:b/>
                <w:i/>
                <w:sz w:val="18"/>
              </w:rPr>
              <w:t>trans</w:t>
            </w:r>
            <w:r>
              <w:rPr>
                <w:rFonts w:ascii="Arial" w:hAnsi="Arial"/>
                <w:b/>
                <w:sz w:val="18"/>
              </w:rPr>
              <w:t>-Δ</w:t>
            </w:r>
            <w:r>
              <w:rPr>
                <w:rFonts w:ascii="Arial" w:hAnsi="Arial"/>
                <w:b/>
                <w:i/>
                <w:position w:val="6"/>
                <w:sz w:val="12"/>
              </w:rPr>
              <w:t>x</w:t>
            </w:r>
          </w:p>
        </w:tc>
        <w:tc>
          <w:tcPr>
            <w:tcW w:w="1277" w:type="dxa"/>
            <w:shd w:val="clear" w:color="auto" w:fill="F1F1F1"/>
          </w:tcPr>
          <w:p>
            <w:pPr>
              <w:pStyle w:val="TableParagraph"/>
              <w:spacing w:line="355" w:lineRule="auto" w:before="138"/>
              <w:ind w:left="95" w:right="97"/>
              <w:rPr>
                <w:rFonts w:ascii="Arial"/>
                <w:b/>
                <w:i/>
                <w:sz w:val="18"/>
              </w:rPr>
            </w:pPr>
            <w:r>
              <w:rPr>
                <w:rFonts w:ascii="Arial"/>
                <w:b/>
                <w:i/>
                <w:sz w:val="18"/>
              </w:rPr>
              <w:t>Unsaturated </w:t>
            </w:r>
            <w:r>
              <w:rPr>
                <w:rFonts w:ascii="Arial"/>
                <w:b/>
                <w:i/>
                <w:sz w:val="18"/>
              </w:rPr>
              <w:t>degree</w:t>
            </w:r>
          </w:p>
        </w:tc>
        <w:tc>
          <w:tcPr>
            <w:tcW w:w="996" w:type="dxa"/>
            <w:tcBorders>
              <w:right w:val="nil"/>
            </w:tcBorders>
            <w:shd w:val="clear" w:color="auto" w:fill="F1F1F1"/>
          </w:tcPr>
          <w:p>
            <w:pPr>
              <w:pStyle w:val="TableParagraph"/>
              <w:spacing w:before="6"/>
              <w:rPr>
                <w:rFonts w:ascii="Cambria"/>
                <w:sz w:val="24"/>
              </w:rPr>
            </w:pPr>
          </w:p>
          <w:p>
            <w:pPr>
              <w:pStyle w:val="TableParagraph"/>
              <w:ind w:left="92"/>
              <w:rPr>
                <w:rFonts w:ascii="Arial" w:hAnsi="Arial"/>
                <w:b/>
                <w:i/>
                <w:sz w:val="18"/>
              </w:rPr>
            </w:pPr>
            <w:r>
              <w:rPr>
                <w:position w:val="-3"/>
              </w:rPr>
              <w:drawing>
                <wp:inline distT="0" distB="0" distL="0" distR="0">
                  <wp:extent cx="94166" cy="133350"/>
                  <wp:effectExtent l="0" t="0" r="0" b="0"/>
                  <wp:docPr id="15" name="image7.png" descr=""/>
                  <wp:cNvGraphicFramePr>
                    <a:graphicFrameLocks noChangeAspect="1"/>
                  </wp:cNvGraphicFramePr>
                  <a:graphic>
                    <a:graphicData uri="http://schemas.openxmlformats.org/drawingml/2006/picture">
                      <pic:pic>
                        <pic:nvPicPr>
                          <pic:cNvPr id="16" name="image7.png"/>
                          <pic:cNvPicPr/>
                        </pic:nvPicPr>
                        <pic:blipFill>
                          <a:blip r:embed="rId17" cstate="print"/>
                          <a:stretch>
                            <a:fillRect/>
                          </a:stretch>
                        </pic:blipFill>
                        <pic:spPr>
                          <a:xfrm>
                            <a:off x="0" y="0"/>
                            <a:ext cx="94166" cy="133350"/>
                          </a:xfrm>
                          <a:prstGeom prst="rect">
                            <a:avLst/>
                          </a:prstGeom>
                        </pic:spPr>
                      </pic:pic>
                    </a:graphicData>
                  </a:graphic>
                </wp:inline>
              </w:drawing>
            </w:r>
            <w:r>
              <w:rPr>
                <w:position w:val="-3"/>
              </w:rPr>
            </w:r>
            <w:r>
              <w:rPr>
                <w:rFonts w:ascii="Arial" w:hAnsi="Arial"/>
                <w:b/>
                <w:sz w:val="18"/>
              </w:rPr>
              <w:t>−</w:t>
            </w:r>
            <w:r>
              <w:rPr>
                <w:rFonts w:ascii="Arial" w:hAnsi="Arial"/>
                <w:b/>
                <w:i/>
                <w:sz w:val="18"/>
              </w:rPr>
              <w:t>x</w:t>
            </w:r>
          </w:p>
        </w:tc>
      </w:tr>
      <w:tr>
        <w:trPr>
          <w:trHeight w:val="634" w:hRule="exact"/>
        </w:trPr>
        <w:tc>
          <w:tcPr>
            <w:tcW w:w="1842" w:type="dxa"/>
            <w:tcBorders>
              <w:left w:val="nil"/>
            </w:tcBorders>
            <w:shd w:val="clear" w:color="auto" w:fill="F8F8F8"/>
          </w:tcPr>
          <w:p>
            <w:pPr>
              <w:pStyle w:val="TableParagraph"/>
              <w:spacing w:before="3"/>
              <w:rPr>
                <w:rFonts w:ascii="Cambria"/>
                <w:sz w:val="21"/>
              </w:rPr>
            </w:pPr>
          </w:p>
          <w:p>
            <w:pPr>
              <w:pStyle w:val="TableParagraph"/>
              <w:ind w:left="95"/>
              <w:rPr>
                <w:sz w:val="18"/>
              </w:rPr>
            </w:pPr>
            <w:hyperlink r:id="rId18">
              <w:r>
                <w:rPr>
                  <w:sz w:val="18"/>
                </w:rPr>
                <w:t>Myristoleic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778900" cy="335279"/>
                  <wp:effectExtent l="0" t="0" r="0" b="0"/>
                  <wp:docPr id="17" name="image8.png" descr=""/>
                  <wp:cNvGraphicFramePr>
                    <a:graphicFrameLocks noChangeAspect="1"/>
                  </wp:cNvGraphicFramePr>
                  <a:graphic>
                    <a:graphicData uri="http://schemas.openxmlformats.org/drawingml/2006/picture">
                      <pic:pic>
                        <pic:nvPicPr>
                          <pic:cNvPr id="18" name="image8.png"/>
                          <pic:cNvPicPr/>
                        </pic:nvPicPr>
                        <pic:blipFill>
                          <a:blip r:embed="rId19" cstate="print"/>
                          <a:stretch>
                            <a:fillRect/>
                          </a:stretch>
                        </pic:blipFill>
                        <pic:spPr>
                          <a:xfrm>
                            <a:off x="0" y="0"/>
                            <a:ext cx="778900" cy="335279"/>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10"/>
              <w:rPr>
                <w:rFonts w:ascii="Cambria"/>
                <w:sz w:val="20"/>
              </w:rPr>
            </w:pPr>
          </w:p>
          <w:p>
            <w:pPr>
              <w:pStyle w:val="TableParagraph"/>
              <w:ind w:left="91"/>
              <w:rPr>
                <w:rFonts w:ascii="Arial" w:hAnsi="Arial"/>
                <w:sz w:val="12"/>
              </w:rPr>
            </w:pPr>
            <w:r>
              <w:rPr>
                <w:rFonts w:ascii="Arial" w:hAnsi="Arial"/>
                <w:i/>
                <w:sz w:val="18"/>
              </w:rPr>
              <w:t>cis</w:t>
            </w:r>
            <w:r>
              <w:rPr>
                <w:rFonts w:ascii="Arial" w:hAnsi="Arial"/>
                <w:sz w:val="18"/>
              </w:rPr>
              <w:t>-Δ</w:t>
            </w:r>
            <w:r>
              <w:rPr>
                <w:rFonts w:ascii="Arial" w:hAnsi="Arial"/>
                <w:position w:val="6"/>
                <w:sz w:val="12"/>
              </w:rPr>
              <w:t>9</w:t>
            </w:r>
          </w:p>
        </w:tc>
        <w:tc>
          <w:tcPr>
            <w:tcW w:w="1277" w:type="dxa"/>
            <w:shd w:val="clear" w:color="auto" w:fill="F8F8F8"/>
          </w:tcPr>
          <w:p>
            <w:pPr>
              <w:pStyle w:val="TableParagraph"/>
              <w:spacing w:before="2"/>
              <w:rPr>
                <w:rFonts w:ascii="Cambria"/>
                <w:sz w:val="21"/>
              </w:rPr>
            </w:pPr>
          </w:p>
          <w:p>
            <w:pPr>
              <w:pStyle w:val="TableParagraph"/>
              <w:ind w:left="95" w:right="97"/>
              <w:rPr>
                <w:rFonts w:ascii="Arial"/>
                <w:sz w:val="18"/>
              </w:rPr>
            </w:pPr>
            <w:r>
              <w:rPr>
                <w:rFonts w:ascii="Arial"/>
                <w:sz w:val="18"/>
              </w:rPr>
              <w:t>14:1</w:t>
            </w:r>
          </w:p>
        </w:tc>
        <w:tc>
          <w:tcPr>
            <w:tcW w:w="996" w:type="dxa"/>
            <w:tcBorders>
              <w:right w:val="nil"/>
            </w:tcBorders>
            <w:shd w:val="clear" w:color="auto" w:fill="F8F8F8"/>
          </w:tcPr>
          <w:p>
            <w:pPr>
              <w:pStyle w:val="TableParagraph"/>
              <w:spacing w:before="2"/>
              <w:rPr>
                <w:rFonts w:ascii="Cambria"/>
                <w:sz w:val="21"/>
              </w:rPr>
            </w:pPr>
          </w:p>
          <w:p>
            <w:pPr>
              <w:pStyle w:val="TableParagraph"/>
              <w:ind w:left="95"/>
              <w:rPr>
                <w:rFonts w:ascii="Arial" w:hAnsi="Arial"/>
                <w:sz w:val="18"/>
              </w:rPr>
            </w:pPr>
            <w:r>
              <w:rPr>
                <w:rFonts w:ascii="Arial" w:hAnsi="Arial"/>
                <w:i/>
                <w:sz w:val="18"/>
              </w:rPr>
              <w:t>ω</w:t>
            </w:r>
            <w:r>
              <w:rPr>
                <w:rFonts w:ascii="Arial" w:hAnsi="Arial"/>
                <w:sz w:val="18"/>
              </w:rPr>
              <w:t>−5</w:t>
            </w:r>
          </w:p>
        </w:tc>
      </w:tr>
      <w:tr>
        <w:trPr>
          <w:trHeight w:val="562" w:hRule="exact"/>
        </w:trPr>
        <w:tc>
          <w:tcPr>
            <w:tcW w:w="1842" w:type="dxa"/>
            <w:tcBorders>
              <w:left w:val="nil"/>
            </w:tcBorders>
            <w:shd w:val="clear" w:color="auto" w:fill="F8F8F8"/>
          </w:tcPr>
          <w:p>
            <w:pPr>
              <w:pStyle w:val="TableParagraph"/>
              <w:rPr>
                <w:rFonts w:ascii="Cambria"/>
                <w:sz w:val="18"/>
              </w:rPr>
            </w:pPr>
          </w:p>
          <w:p>
            <w:pPr>
              <w:pStyle w:val="TableParagraph"/>
              <w:ind w:left="95"/>
              <w:rPr>
                <w:sz w:val="18"/>
              </w:rPr>
            </w:pPr>
            <w:hyperlink r:id="rId20">
              <w:r>
                <w:rPr>
                  <w:sz w:val="18"/>
                </w:rPr>
                <w:t>Palmitoleic acid</w:t>
              </w:r>
            </w:hyperlink>
          </w:p>
        </w:tc>
        <w:tc>
          <w:tcPr>
            <w:tcW w:w="2555" w:type="dxa"/>
            <w:shd w:val="clear" w:color="auto" w:fill="F8F8F8"/>
          </w:tcPr>
          <w:p>
            <w:pPr>
              <w:pStyle w:val="TableParagraph"/>
              <w:spacing w:before="10"/>
              <w:rPr>
                <w:rFonts w:ascii="Cambria"/>
                <w:sz w:val="3"/>
              </w:rPr>
            </w:pPr>
          </w:p>
          <w:p>
            <w:pPr>
              <w:pStyle w:val="TableParagraph"/>
              <w:ind w:left="89"/>
              <w:rPr>
                <w:rFonts w:ascii="Cambria"/>
                <w:sz w:val="20"/>
              </w:rPr>
            </w:pPr>
            <w:r>
              <w:rPr>
                <w:rFonts w:ascii="Cambria"/>
                <w:sz w:val="20"/>
              </w:rPr>
              <w:drawing>
                <wp:inline distT="0" distB="0" distL="0" distR="0">
                  <wp:extent cx="929585" cy="283463"/>
                  <wp:effectExtent l="0" t="0" r="0" b="0"/>
                  <wp:docPr id="19" name="image9.png" descr=""/>
                  <wp:cNvGraphicFramePr>
                    <a:graphicFrameLocks noChangeAspect="1"/>
                  </wp:cNvGraphicFramePr>
                  <a:graphic>
                    <a:graphicData uri="http://schemas.openxmlformats.org/drawingml/2006/picture">
                      <pic:pic>
                        <pic:nvPicPr>
                          <pic:cNvPr id="20" name="image9.png"/>
                          <pic:cNvPicPr/>
                        </pic:nvPicPr>
                        <pic:blipFill>
                          <a:blip r:embed="rId21" cstate="print"/>
                          <a:stretch>
                            <a:fillRect/>
                          </a:stretch>
                        </pic:blipFill>
                        <pic:spPr>
                          <a:xfrm>
                            <a:off x="0" y="0"/>
                            <a:ext cx="929585" cy="283463"/>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7"/>
              <w:rPr>
                <w:rFonts w:ascii="Cambria"/>
                <w:sz w:val="17"/>
              </w:rPr>
            </w:pPr>
          </w:p>
          <w:p>
            <w:pPr>
              <w:pStyle w:val="TableParagraph"/>
              <w:ind w:left="91"/>
              <w:rPr>
                <w:rFonts w:ascii="Arial" w:hAnsi="Arial"/>
                <w:sz w:val="12"/>
              </w:rPr>
            </w:pPr>
            <w:r>
              <w:rPr>
                <w:rFonts w:ascii="Arial" w:hAnsi="Arial"/>
                <w:i/>
                <w:sz w:val="18"/>
              </w:rPr>
              <w:t>cis</w:t>
            </w:r>
            <w:r>
              <w:rPr>
                <w:rFonts w:ascii="Arial" w:hAnsi="Arial"/>
                <w:sz w:val="18"/>
              </w:rPr>
              <w:t>-Δ</w:t>
            </w:r>
            <w:r>
              <w:rPr>
                <w:rFonts w:ascii="Arial" w:hAnsi="Arial"/>
                <w:position w:val="6"/>
                <w:sz w:val="12"/>
              </w:rPr>
              <w:t>9</w:t>
            </w:r>
          </w:p>
        </w:tc>
        <w:tc>
          <w:tcPr>
            <w:tcW w:w="1277" w:type="dxa"/>
            <w:shd w:val="clear" w:color="auto" w:fill="F8F8F8"/>
          </w:tcPr>
          <w:p>
            <w:pPr>
              <w:pStyle w:val="TableParagraph"/>
              <w:spacing w:before="11"/>
              <w:rPr>
                <w:rFonts w:ascii="Cambria"/>
                <w:sz w:val="17"/>
              </w:rPr>
            </w:pPr>
          </w:p>
          <w:p>
            <w:pPr>
              <w:pStyle w:val="TableParagraph"/>
              <w:ind w:left="95" w:right="97"/>
              <w:rPr>
                <w:rFonts w:ascii="Arial"/>
                <w:sz w:val="18"/>
              </w:rPr>
            </w:pPr>
            <w:r>
              <w:rPr>
                <w:rFonts w:ascii="Arial"/>
                <w:sz w:val="18"/>
              </w:rPr>
              <w:t>16:1</w:t>
            </w:r>
          </w:p>
        </w:tc>
        <w:tc>
          <w:tcPr>
            <w:tcW w:w="996" w:type="dxa"/>
            <w:tcBorders>
              <w:right w:val="nil"/>
            </w:tcBorders>
            <w:shd w:val="clear" w:color="auto" w:fill="F8F8F8"/>
          </w:tcPr>
          <w:p>
            <w:pPr>
              <w:pStyle w:val="TableParagraph"/>
              <w:spacing w:before="11"/>
              <w:rPr>
                <w:rFonts w:ascii="Cambria"/>
                <w:sz w:val="17"/>
              </w:rPr>
            </w:pPr>
          </w:p>
          <w:p>
            <w:pPr>
              <w:pStyle w:val="TableParagraph"/>
              <w:ind w:left="95"/>
              <w:rPr>
                <w:rFonts w:ascii="Arial" w:hAnsi="Arial"/>
                <w:sz w:val="18"/>
              </w:rPr>
            </w:pPr>
            <w:r>
              <w:rPr>
                <w:rFonts w:ascii="Arial" w:hAnsi="Arial"/>
                <w:sz w:val="18"/>
              </w:rPr>
              <w:t>ω−7</w:t>
            </w:r>
          </w:p>
        </w:tc>
      </w:tr>
      <w:tr>
        <w:trPr>
          <w:trHeight w:val="557" w:hRule="exact"/>
        </w:trPr>
        <w:tc>
          <w:tcPr>
            <w:tcW w:w="1842" w:type="dxa"/>
            <w:tcBorders>
              <w:left w:val="nil"/>
            </w:tcBorders>
            <w:shd w:val="clear" w:color="auto" w:fill="F8F8F8"/>
          </w:tcPr>
          <w:p>
            <w:pPr>
              <w:pStyle w:val="TableParagraph"/>
              <w:rPr>
                <w:rFonts w:ascii="Cambria"/>
                <w:sz w:val="18"/>
              </w:rPr>
            </w:pPr>
          </w:p>
          <w:p>
            <w:pPr>
              <w:pStyle w:val="TableParagraph"/>
              <w:ind w:left="95"/>
              <w:rPr>
                <w:sz w:val="18"/>
              </w:rPr>
            </w:pPr>
            <w:hyperlink r:id="rId22">
              <w:r>
                <w:rPr>
                  <w:sz w:val="18"/>
                </w:rPr>
                <w:t>Sapienic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997913" cy="282320"/>
                  <wp:effectExtent l="0" t="0" r="0" b="0"/>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23" cstate="print"/>
                          <a:stretch>
                            <a:fillRect/>
                          </a:stretch>
                        </pic:blipFill>
                        <pic:spPr>
                          <a:xfrm>
                            <a:off x="0" y="0"/>
                            <a:ext cx="997913" cy="282320"/>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7"/>
              <w:rPr>
                <w:rFonts w:ascii="Cambria"/>
                <w:sz w:val="17"/>
              </w:rPr>
            </w:pPr>
          </w:p>
          <w:p>
            <w:pPr>
              <w:pStyle w:val="TableParagraph"/>
              <w:ind w:left="91"/>
              <w:rPr>
                <w:rFonts w:ascii="Arial" w:hAnsi="Arial"/>
                <w:sz w:val="12"/>
              </w:rPr>
            </w:pPr>
            <w:r>
              <w:rPr>
                <w:rFonts w:ascii="Arial" w:hAnsi="Arial"/>
                <w:i/>
                <w:sz w:val="18"/>
              </w:rPr>
              <w:t>cis</w:t>
            </w:r>
            <w:r>
              <w:rPr>
                <w:rFonts w:ascii="Arial" w:hAnsi="Arial"/>
                <w:sz w:val="18"/>
              </w:rPr>
              <w:t>-Δ</w:t>
            </w:r>
            <w:r>
              <w:rPr>
                <w:rFonts w:ascii="Arial" w:hAnsi="Arial"/>
                <w:position w:val="6"/>
                <w:sz w:val="12"/>
              </w:rPr>
              <w:t>6</w:t>
            </w:r>
          </w:p>
        </w:tc>
        <w:tc>
          <w:tcPr>
            <w:tcW w:w="1277" w:type="dxa"/>
            <w:shd w:val="clear" w:color="auto" w:fill="F8F8F8"/>
          </w:tcPr>
          <w:p>
            <w:pPr>
              <w:pStyle w:val="TableParagraph"/>
              <w:spacing w:before="11"/>
              <w:rPr>
                <w:rFonts w:ascii="Cambria"/>
                <w:sz w:val="17"/>
              </w:rPr>
            </w:pPr>
          </w:p>
          <w:p>
            <w:pPr>
              <w:pStyle w:val="TableParagraph"/>
              <w:ind w:left="95" w:right="97"/>
              <w:rPr>
                <w:rFonts w:ascii="Arial"/>
                <w:sz w:val="18"/>
              </w:rPr>
            </w:pPr>
            <w:r>
              <w:rPr>
                <w:rFonts w:ascii="Arial"/>
                <w:sz w:val="18"/>
              </w:rPr>
              <w:t>16:1</w:t>
            </w:r>
          </w:p>
        </w:tc>
        <w:tc>
          <w:tcPr>
            <w:tcW w:w="996" w:type="dxa"/>
            <w:tcBorders>
              <w:right w:val="nil"/>
            </w:tcBorders>
            <w:shd w:val="clear" w:color="auto" w:fill="F8F8F8"/>
          </w:tcPr>
          <w:p>
            <w:pPr>
              <w:pStyle w:val="TableParagraph"/>
              <w:spacing w:before="11"/>
              <w:rPr>
                <w:rFonts w:ascii="Cambria"/>
                <w:sz w:val="17"/>
              </w:rPr>
            </w:pPr>
          </w:p>
          <w:p>
            <w:pPr>
              <w:pStyle w:val="TableParagraph"/>
              <w:ind w:left="95"/>
              <w:rPr>
                <w:rFonts w:ascii="Arial" w:hAnsi="Arial"/>
                <w:sz w:val="18"/>
              </w:rPr>
            </w:pPr>
            <w:r>
              <w:rPr>
                <w:rFonts w:ascii="Arial" w:hAnsi="Arial"/>
                <w:sz w:val="18"/>
              </w:rPr>
              <w:t>ω−10</w:t>
            </w:r>
          </w:p>
        </w:tc>
      </w:tr>
      <w:tr>
        <w:trPr>
          <w:trHeight w:val="552" w:hRule="exact"/>
        </w:trPr>
        <w:tc>
          <w:tcPr>
            <w:tcW w:w="1842" w:type="dxa"/>
            <w:tcBorders>
              <w:left w:val="nil"/>
            </w:tcBorders>
            <w:shd w:val="clear" w:color="auto" w:fill="F8F8F8"/>
          </w:tcPr>
          <w:p>
            <w:pPr>
              <w:pStyle w:val="TableParagraph"/>
              <w:spacing w:before="7"/>
              <w:rPr>
                <w:rFonts w:ascii="Cambria"/>
                <w:sz w:val="17"/>
              </w:rPr>
            </w:pPr>
          </w:p>
          <w:p>
            <w:pPr>
              <w:pStyle w:val="TableParagraph"/>
              <w:ind w:left="95"/>
              <w:rPr>
                <w:sz w:val="18"/>
              </w:rPr>
            </w:pPr>
            <w:hyperlink r:id="rId24">
              <w:r>
                <w:rPr>
                  <w:sz w:val="18"/>
                </w:rPr>
                <w:t>Oleic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1161932" cy="278511"/>
                  <wp:effectExtent l="0" t="0" r="0" b="0"/>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25" cstate="print"/>
                          <a:stretch>
                            <a:fillRect/>
                          </a:stretch>
                        </pic:blipFill>
                        <pic:spPr>
                          <a:xfrm>
                            <a:off x="0" y="0"/>
                            <a:ext cx="1161932" cy="278511"/>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2"/>
              <w:rPr>
                <w:rFonts w:ascii="Cambria"/>
                <w:sz w:val="17"/>
              </w:rPr>
            </w:pPr>
          </w:p>
          <w:p>
            <w:pPr>
              <w:pStyle w:val="TableParagraph"/>
              <w:ind w:left="91"/>
              <w:rPr>
                <w:rFonts w:ascii="Arial" w:hAnsi="Arial"/>
                <w:sz w:val="12"/>
              </w:rPr>
            </w:pPr>
            <w:r>
              <w:rPr>
                <w:rFonts w:ascii="Arial" w:hAnsi="Arial"/>
                <w:i/>
                <w:sz w:val="18"/>
              </w:rPr>
              <w:t>cis</w:t>
            </w:r>
            <w:r>
              <w:rPr>
                <w:rFonts w:ascii="Arial" w:hAnsi="Arial"/>
                <w:sz w:val="18"/>
              </w:rPr>
              <w:t>-Δ</w:t>
            </w:r>
            <w:r>
              <w:rPr>
                <w:rFonts w:ascii="Arial" w:hAnsi="Arial"/>
                <w:position w:val="6"/>
                <w:sz w:val="12"/>
              </w:rPr>
              <w:t>9</w:t>
            </w:r>
          </w:p>
        </w:tc>
        <w:tc>
          <w:tcPr>
            <w:tcW w:w="1277" w:type="dxa"/>
            <w:shd w:val="clear" w:color="auto" w:fill="F8F8F8"/>
          </w:tcPr>
          <w:p>
            <w:pPr>
              <w:pStyle w:val="TableParagraph"/>
              <w:spacing w:before="6"/>
              <w:rPr>
                <w:rFonts w:ascii="Cambria"/>
                <w:sz w:val="17"/>
              </w:rPr>
            </w:pPr>
          </w:p>
          <w:p>
            <w:pPr>
              <w:pStyle w:val="TableParagraph"/>
              <w:ind w:left="95" w:right="97"/>
              <w:rPr>
                <w:rFonts w:ascii="Arial"/>
                <w:sz w:val="18"/>
              </w:rPr>
            </w:pPr>
            <w:r>
              <w:rPr>
                <w:rFonts w:ascii="Arial"/>
                <w:sz w:val="18"/>
              </w:rPr>
              <w:t>18:1</w:t>
            </w:r>
          </w:p>
        </w:tc>
        <w:tc>
          <w:tcPr>
            <w:tcW w:w="996" w:type="dxa"/>
            <w:tcBorders>
              <w:right w:val="nil"/>
            </w:tcBorders>
            <w:shd w:val="clear" w:color="auto" w:fill="F8F8F8"/>
          </w:tcPr>
          <w:p>
            <w:pPr>
              <w:pStyle w:val="TableParagraph"/>
              <w:spacing w:before="6"/>
              <w:rPr>
                <w:rFonts w:ascii="Cambria"/>
                <w:sz w:val="17"/>
              </w:rPr>
            </w:pPr>
          </w:p>
          <w:p>
            <w:pPr>
              <w:pStyle w:val="TableParagraph"/>
              <w:ind w:left="95"/>
              <w:rPr>
                <w:rFonts w:ascii="Arial" w:hAnsi="Arial"/>
                <w:sz w:val="18"/>
              </w:rPr>
            </w:pPr>
            <w:hyperlink r:id="rId26">
              <w:r>
                <w:rPr>
                  <w:rFonts w:ascii="Arial" w:hAnsi="Arial"/>
                  <w:sz w:val="18"/>
                </w:rPr>
                <w:t>ω−9</w:t>
              </w:r>
            </w:hyperlink>
          </w:p>
        </w:tc>
      </w:tr>
      <w:tr>
        <w:trPr>
          <w:trHeight w:val="495" w:hRule="exact"/>
        </w:trPr>
        <w:tc>
          <w:tcPr>
            <w:tcW w:w="1842" w:type="dxa"/>
            <w:tcBorders>
              <w:left w:val="nil"/>
            </w:tcBorders>
            <w:shd w:val="clear" w:color="auto" w:fill="F8F8F8"/>
          </w:tcPr>
          <w:p>
            <w:pPr>
              <w:pStyle w:val="TableParagraph"/>
              <w:spacing w:before="1"/>
              <w:rPr>
                <w:rFonts w:ascii="Cambria"/>
                <w:sz w:val="15"/>
              </w:rPr>
            </w:pPr>
          </w:p>
          <w:p>
            <w:pPr>
              <w:pStyle w:val="TableParagraph"/>
              <w:ind w:left="95"/>
              <w:rPr>
                <w:sz w:val="18"/>
              </w:rPr>
            </w:pPr>
            <w:hyperlink r:id="rId27">
              <w:r>
                <w:rPr>
                  <w:sz w:val="18"/>
                </w:rPr>
                <w:t>Elaidic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1467885" cy="242125"/>
                  <wp:effectExtent l="0" t="0" r="0" b="0"/>
                  <wp:docPr id="25" name="image12.png" descr=""/>
                  <wp:cNvGraphicFramePr>
                    <a:graphicFrameLocks noChangeAspect="1"/>
                  </wp:cNvGraphicFramePr>
                  <a:graphic>
                    <a:graphicData uri="http://schemas.openxmlformats.org/drawingml/2006/picture">
                      <pic:pic>
                        <pic:nvPicPr>
                          <pic:cNvPr id="26" name="image12.png"/>
                          <pic:cNvPicPr/>
                        </pic:nvPicPr>
                        <pic:blipFill>
                          <a:blip r:embed="rId28" cstate="print"/>
                          <a:stretch>
                            <a:fillRect/>
                          </a:stretch>
                        </pic:blipFill>
                        <pic:spPr>
                          <a:xfrm>
                            <a:off x="0" y="0"/>
                            <a:ext cx="1467885" cy="242125"/>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8"/>
              <w:rPr>
                <w:rFonts w:ascii="Cambria"/>
                <w:sz w:val="14"/>
              </w:rPr>
            </w:pPr>
          </w:p>
          <w:p>
            <w:pPr>
              <w:pStyle w:val="TableParagraph"/>
              <w:spacing w:before="1"/>
              <w:ind w:left="91"/>
              <w:rPr>
                <w:rFonts w:ascii="Arial" w:hAnsi="Arial"/>
                <w:sz w:val="12"/>
              </w:rPr>
            </w:pPr>
            <w:r>
              <w:rPr>
                <w:rFonts w:ascii="Arial" w:hAnsi="Arial"/>
                <w:i/>
                <w:sz w:val="18"/>
              </w:rPr>
              <w:t>trans</w:t>
            </w:r>
            <w:r>
              <w:rPr>
                <w:rFonts w:ascii="Arial" w:hAnsi="Arial"/>
                <w:sz w:val="18"/>
              </w:rPr>
              <w:t>-Δ</w:t>
            </w:r>
            <w:r>
              <w:rPr>
                <w:rFonts w:ascii="Arial" w:hAnsi="Arial"/>
                <w:position w:val="6"/>
                <w:sz w:val="12"/>
              </w:rPr>
              <w:t>9</w:t>
            </w:r>
          </w:p>
        </w:tc>
        <w:tc>
          <w:tcPr>
            <w:tcW w:w="1277" w:type="dxa"/>
            <w:shd w:val="clear" w:color="auto" w:fill="F8F8F8"/>
          </w:tcPr>
          <w:p>
            <w:pPr>
              <w:pStyle w:val="TableParagraph"/>
              <w:rPr>
                <w:rFonts w:ascii="Cambria"/>
                <w:sz w:val="15"/>
              </w:rPr>
            </w:pPr>
          </w:p>
          <w:p>
            <w:pPr>
              <w:pStyle w:val="TableParagraph"/>
              <w:spacing w:before="1"/>
              <w:ind w:left="95" w:right="97"/>
              <w:rPr>
                <w:rFonts w:ascii="Arial"/>
                <w:sz w:val="18"/>
              </w:rPr>
            </w:pPr>
            <w:r>
              <w:rPr>
                <w:rFonts w:ascii="Arial"/>
                <w:sz w:val="18"/>
              </w:rPr>
              <w:t>18:1</w:t>
            </w:r>
          </w:p>
        </w:tc>
        <w:tc>
          <w:tcPr>
            <w:tcW w:w="996" w:type="dxa"/>
            <w:tcBorders>
              <w:right w:val="nil"/>
            </w:tcBorders>
            <w:shd w:val="clear" w:color="auto" w:fill="F8F8F8"/>
          </w:tcPr>
          <w:p>
            <w:pPr>
              <w:pStyle w:val="TableParagraph"/>
              <w:rPr>
                <w:rFonts w:ascii="Cambria"/>
                <w:sz w:val="15"/>
              </w:rPr>
            </w:pPr>
          </w:p>
          <w:p>
            <w:pPr>
              <w:pStyle w:val="TableParagraph"/>
              <w:spacing w:before="1"/>
              <w:ind w:left="95"/>
              <w:rPr>
                <w:rFonts w:ascii="Arial" w:hAnsi="Arial"/>
                <w:sz w:val="18"/>
              </w:rPr>
            </w:pPr>
            <w:hyperlink r:id="rId26">
              <w:r>
                <w:rPr>
                  <w:rFonts w:ascii="Arial" w:hAnsi="Arial"/>
                  <w:sz w:val="18"/>
                </w:rPr>
                <w:t>ω−9</w:t>
              </w:r>
            </w:hyperlink>
          </w:p>
        </w:tc>
      </w:tr>
      <w:tr>
        <w:trPr>
          <w:trHeight w:val="456" w:hRule="exact"/>
        </w:trPr>
        <w:tc>
          <w:tcPr>
            <w:tcW w:w="1842" w:type="dxa"/>
            <w:tcBorders>
              <w:left w:val="nil"/>
            </w:tcBorders>
            <w:shd w:val="clear" w:color="auto" w:fill="F8F8F8"/>
          </w:tcPr>
          <w:p>
            <w:pPr>
              <w:pStyle w:val="TableParagraph"/>
              <w:spacing w:before="158"/>
              <w:ind w:left="95"/>
              <w:rPr>
                <w:sz w:val="18"/>
              </w:rPr>
            </w:pPr>
            <w:hyperlink r:id="rId29">
              <w:r>
                <w:rPr>
                  <w:sz w:val="18"/>
                </w:rPr>
                <w:t>Vaccenic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1424288" cy="219170"/>
                  <wp:effectExtent l="0" t="0" r="0" b="0"/>
                  <wp:docPr id="27" name="image13.png" descr=""/>
                  <wp:cNvGraphicFramePr>
                    <a:graphicFrameLocks noChangeAspect="1"/>
                  </wp:cNvGraphicFramePr>
                  <a:graphic>
                    <a:graphicData uri="http://schemas.openxmlformats.org/drawingml/2006/picture">
                      <pic:pic>
                        <pic:nvPicPr>
                          <pic:cNvPr id="28" name="image13.png"/>
                          <pic:cNvPicPr/>
                        </pic:nvPicPr>
                        <pic:blipFill>
                          <a:blip r:embed="rId30" cstate="print"/>
                          <a:stretch>
                            <a:fillRect/>
                          </a:stretch>
                        </pic:blipFill>
                        <pic:spPr>
                          <a:xfrm>
                            <a:off x="0" y="0"/>
                            <a:ext cx="1424288" cy="219170"/>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154"/>
              <w:ind w:left="91"/>
              <w:rPr>
                <w:rFonts w:ascii="Arial" w:hAnsi="Arial"/>
                <w:sz w:val="12"/>
              </w:rPr>
            </w:pPr>
            <w:r>
              <w:rPr>
                <w:rFonts w:ascii="Arial" w:hAnsi="Arial"/>
                <w:i/>
                <w:sz w:val="18"/>
              </w:rPr>
              <w:t>trans</w:t>
            </w:r>
            <w:r>
              <w:rPr>
                <w:rFonts w:ascii="Arial" w:hAnsi="Arial"/>
                <w:sz w:val="18"/>
              </w:rPr>
              <w:t>-Δ</w:t>
            </w:r>
            <w:r>
              <w:rPr>
                <w:rFonts w:ascii="Arial" w:hAnsi="Arial"/>
                <w:position w:val="6"/>
                <w:sz w:val="12"/>
              </w:rPr>
              <w:t>11</w:t>
            </w:r>
          </w:p>
        </w:tc>
        <w:tc>
          <w:tcPr>
            <w:tcW w:w="1277" w:type="dxa"/>
            <w:shd w:val="clear" w:color="auto" w:fill="F8F8F8"/>
          </w:tcPr>
          <w:p>
            <w:pPr>
              <w:pStyle w:val="TableParagraph"/>
              <w:spacing w:before="157"/>
              <w:ind w:left="95" w:right="97"/>
              <w:rPr>
                <w:rFonts w:ascii="Arial"/>
                <w:sz w:val="18"/>
              </w:rPr>
            </w:pPr>
            <w:r>
              <w:rPr>
                <w:rFonts w:ascii="Arial"/>
                <w:sz w:val="18"/>
              </w:rPr>
              <w:t>18:1</w:t>
            </w:r>
          </w:p>
        </w:tc>
        <w:tc>
          <w:tcPr>
            <w:tcW w:w="996" w:type="dxa"/>
            <w:tcBorders>
              <w:right w:val="nil"/>
            </w:tcBorders>
            <w:shd w:val="clear" w:color="auto" w:fill="F8F8F8"/>
          </w:tcPr>
          <w:p>
            <w:pPr>
              <w:pStyle w:val="TableParagraph"/>
              <w:spacing w:before="157"/>
              <w:ind w:left="95"/>
              <w:rPr>
                <w:rFonts w:ascii="Arial" w:hAnsi="Arial"/>
                <w:sz w:val="18"/>
              </w:rPr>
            </w:pPr>
            <w:r>
              <w:rPr>
                <w:rFonts w:ascii="Arial" w:hAnsi="Arial"/>
                <w:sz w:val="18"/>
              </w:rPr>
              <w:t>ω−7</w:t>
            </w:r>
          </w:p>
        </w:tc>
      </w:tr>
      <w:tr>
        <w:trPr>
          <w:trHeight w:val="418" w:hRule="exact"/>
        </w:trPr>
        <w:tc>
          <w:tcPr>
            <w:tcW w:w="1842" w:type="dxa"/>
            <w:tcBorders>
              <w:left w:val="nil"/>
            </w:tcBorders>
            <w:shd w:val="clear" w:color="auto" w:fill="F8F8F8"/>
          </w:tcPr>
          <w:p>
            <w:pPr>
              <w:pStyle w:val="TableParagraph"/>
              <w:spacing w:before="139"/>
              <w:ind w:left="95"/>
              <w:rPr>
                <w:sz w:val="18"/>
              </w:rPr>
            </w:pPr>
            <w:hyperlink r:id="rId31">
              <w:r>
                <w:rPr>
                  <w:sz w:val="18"/>
                </w:rPr>
                <w:t>Linoleic acid</w:t>
              </w:r>
            </w:hyperlink>
          </w:p>
        </w:tc>
        <w:tc>
          <w:tcPr>
            <w:tcW w:w="2555" w:type="dxa"/>
          </w:tcPr>
          <w:p>
            <w:pPr/>
          </w:p>
        </w:tc>
        <w:tc>
          <w:tcPr>
            <w:tcW w:w="1839" w:type="dxa"/>
            <w:shd w:val="clear" w:color="auto" w:fill="F8F8F8"/>
          </w:tcPr>
          <w:p>
            <w:pPr>
              <w:pStyle w:val="TableParagraph"/>
              <w:spacing w:before="134"/>
              <w:ind w:left="91"/>
              <w:rPr>
                <w:rFonts w:ascii="Arial" w:hAnsi="Arial"/>
                <w:sz w:val="12"/>
              </w:rPr>
            </w:pPr>
            <w:r>
              <w:rPr>
                <w:rFonts w:ascii="Arial" w:hAnsi="Arial"/>
                <w:i/>
                <w:sz w:val="18"/>
              </w:rPr>
              <w:t>cis</w:t>
            </w:r>
            <w:r>
              <w:rPr>
                <w:rFonts w:ascii="Arial" w:hAnsi="Arial"/>
                <w:sz w:val="18"/>
              </w:rPr>
              <w:t>,</w:t>
            </w:r>
            <w:r>
              <w:rPr>
                <w:rFonts w:ascii="Arial" w:hAnsi="Arial"/>
                <w:i/>
                <w:sz w:val="18"/>
              </w:rPr>
              <w:t>cis</w:t>
            </w:r>
            <w:r>
              <w:rPr>
                <w:rFonts w:ascii="Arial" w:hAnsi="Arial"/>
                <w:sz w:val="18"/>
              </w:rPr>
              <w:t>-Δ</w:t>
            </w:r>
            <w:r>
              <w:rPr>
                <w:rFonts w:ascii="Arial" w:hAnsi="Arial"/>
                <w:position w:val="6"/>
                <w:sz w:val="12"/>
              </w:rPr>
              <w:t>9</w:t>
            </w:r>
            <w:r>
              <w:rPr>
                <w:rFonts w:ascii="Arial" w:hAnsi="Arial"/>
                <w:sz w:val="18"/>
              </w:rPr>
              <w:t>,Δ</w:t>
            </w:r>
            <w:r>
              <w:rPr>
                <w:rFonts w:ascii="Arial" w:hAnsi="Arial"/>
                <w:position w:val="6"/>
                <w:sz w:val="12"/>
              </w:rPr>
              <w:t>12</w:t>
            </w:r>
          </w:p>
        </w:tc>
        <w:tc>
          <w:tcPr>
            <w:tcW w:w="1277" w:type="dxa"/>
            <w:shd w:val="clear" w:color="auto" w:fill="F8F8F8"/>
          </w:tcPr>
          <w:p>
            <w:pPr>
              <w:pStyle w:val="TableParagraph"/>
              <w:spacing w:before="138"/>
              <w:ind w:left="95" w:right="97"/>
              <w:rPr>
                <w:rFonts w:ascii="Arial"/>
                <w:sz w:val="18"/>
              </w:rPr>
            </w:pPr>
            <w:r>
              <w:rPr>
                <w:rFonts w:ascii="Arial"/>
                <w:sz w:val="18"/>
              </w:rPr>
              <w:t>18:2</w:t>
            </w:r>
          </w:p>
        </w:tc>
        <w:tc>
          <w:tcPr>
            <w:tcW w:w="996" w:type="dxa"/>
            <w:tcBorders>
              <w:right w:val="nil"/>
            </w:tcBorders>
            <w:shd w:val="clear" w:color="auto" w:fill="F8F8F8"/>
          </w:tcPr>
          <w:p>
            <w:pPr>
              <w:pStyle w:val="TableParagraph"/>
              <w:spacing w:before="138"/>
              <w:ind w:left="95"/>
              <w:rPr>
                <w:rFonts w:ascii="Arial" w:hAnsi="Arial"/>
                <w:sz w:val="18"/>
              </w:rPr>
            </w:pPr>
            <w:hyperlink r:id="rId32">
              <w:r>
                <w:rPr>
                  <w:rFonts w:ascii="Arial" w:hAnsi="Arial"/>
                  <w:sz w:val="18"/>
                </w:rPr>
                <w:t>ω−6</w:t>
              </w:r>
            </w:hyperlink>
          </w:p>
        </w:tc>
      </w:tr>
      <w:tr>
        <w:trPr>
          <w:trHeight w:val="418" w:hRule="exact"/>
        </w:trPr>
        <w:tc>
          <w:tcPr>
            <w:tcW w:w="1842" w:type="dxa"/>
            <w:tcBorders>
              <w:left w:val="nil"/>
            </w:tcBorders>
            <w:shd w:val="clear" w:color="auto" w:fill="F8F8F8"/>
          </w:tcPr>
          <w:p>
            <w:pPr>
              <w:pStyle w:val="TableParagraph"/>
              <w:spacing w:before="139"/>
              <w:ind w:left="95"/>
              <w:rPr>
                <w:sz w:val="18"/>
              </w:rPr>
            </w:pPr>
            <w:hyperlink r:id="rId33">
              <w:r>
                <w:rPr>
                  <w:sz w:val="18"/>
                </w:rPr>
                <w:t>Linoelaidic acid</w:t>
              </w:r>
            </w:hyperlink>
          </w:p>
        </w:tc>
        <w:tc>
          <w:tcPr>
            <w:tcW w:w="2555" w:type="dxa"/>
            <w:shd w:val="clear" w:color="auto" w:fill="F8F8F8"/>
          </w:tcPr>
          <w:p>
            <w:pPr>
              <w:pStyle w:val="TableParagraph"/>
              <w:spacing w:before="4"/>
              <w:rPr>
                <w:rFonts w:ascii="Cambria"/>
                <w:sz w:val="5"/>
              </w:rPr>
            </w:pPr>
          </w:p>
          <w:p>
            <w:pPr>
              <w:pStyle w:val="TableParagraph"/>
              <w:ind w:left="89"/>
              <w:rPr>
                <w:rFonts w:ascii="Cambria"/>
                <w:sz w:val="20"/>
              </w:rPr>
            </w:pPr>
            <w:r>
              <w:rPr>
                <w:rFonts w:ascii="Cambria"/>
                <w:sz w:val="20"/>
              </w:rPr>
              <w:drawing>
                <wp:inline distT="0" distB="0" distL="0" distR="0">
                  <wp:extent cx="1419659" cy="179831"/>
                  <wp:effectExtent l="0" t="0" r="0" b="0"/>
                  <wp:docPr id="29" name="image14.png" descr=""/>
                  <wp:cNvGraphicFramePr>
                    <a:graphicFrameLocks noChangeAspect="1"/>
                  </wp:cNvGraphicFramePr>
                  <a:graphic>
                    <a:graphicData uri="http://schemas.openxmlformats.org/drawingml/2006/picture">
                      <pic:pic>
                        <pic:nvPicPr>
                          <pic:cNvPr id="30" name="image14.png"/>
                          <pic:cNvPicPr/>
                        </pic:nvPicPr>
                        <pic:blipFill>
                          <a:blip r:embed="rId34" cstate="print"/>
                          <a:stretch>
                            <a:fillRect/>
                          </a:stretch>
                        </pic:blipFill>
                        <pic:spPr>
                          <a:xfrm>
                            <a:off x="0" y="0"/>
                            <a:ext cx="1419659" cy="179831"/>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134"/>
              <w:ind w:left="91"/>
              <w:rPr>
                <w:rFonts w:ascii="Arial" w:hAnsi="Arial"/>
                <w:sz w:val="12"/>
              </w:rPr>
            </w:pPr>
            <w:r>
              <w:rPr>
                <w:rFonts w:ascii="Arial" w:hAnsi="Arial"/>
                <w:i/>
                <w:sz w:val="18"/>
              </w:rPr>
              <w:t>trans</w:t>
            </w:r>
            <w:r>
              <w:rPr>
                <w:rFonts w:ascii="Arial" w:hAnsi="Arial"/>
                <w:sz w:val="18"/>
              </w:rPr>
              <w:t>,</w:t>
            </w:r>
            <w:r>
              <w:rPr>
                <w:rFonts w:ascii="Arial" w:hAnsi="Arial"/>
                <w:i/>
                <w:sz w:val="18"/>
              </w:rPr>
              <w:t>trans</w:t>
            </w:r>
            <w:r>
              <w:rPr>
                <w:rFonts w:ascii="Arial" w:hAnsi="Arial"/>
                <w:sz w:val="18"/>
              </w:rPr>
              <w:t>-Δ</w:t>
            </w:r>
            <w:r>
              <w:rPr>
                <w:rFonts w:ascii="Arial" w:hAnsi="Arial"/>
                <w:position w:val="6"/>
                <w:sz w:val="12"/>
              </w:rPr>
              <w:t>9</w:t>
            </w:r>
            <w:r>
              <w:rPr>
                <w:rFonts w:ascii="Arial" w:hAnsi="Arial"/>
                <w:sz w:val="18"/>
              </w:rPr>
              <w:t>,Δ</w:t>
            </w:r>
            <w:r>
              <w:rPr>
                <w:rFonts w:ascii="Arial" w:hAnsi="Arial"/>
                <w:position w:val="6"/>
                <w:sz w:val="12"/>
              </w:rPr>
              <w:t>12</w:t>
            </w:r>
          </w:p>
        </w:tc>
        <w:tc>
          <w:tcPr>
            <w:tcW w:w="1277" w:type="dxa"/>
            <w:shd w:val="clear" w:color="auto" w:fill="F8F8F8"/>
          </w:tcPr>
          <w:p>
            <w:pPr>
              <w:pStyle w:val="TableParagraph"/>
              <w:spacing w:before="138"/>
              <w:ind w:left="95" w:right="97"/>
              <w:rPr>
                <w:rFonts w:ascii="Arial"/>
                <w:sz w:val="18"/>
              </w:rPr>
            </w:pPr>
            <w:r>
              <w:rPr>
                <w:rFonts w:ascii="Arial"/>
                <w:sz w:val="18"/>
              </w:rPr>
              <w:t>18:2</w:t>
            </w:r>
          </w:p>
        </w:tc>
        <w:tc>
          <w:tcPr>
            <w:tcW w:w="996" w:type="dxa"/>
            <w:tcBorders>
              <w:right w:val="nil"/>
            </w:tcBorders>
            <w:shd w:val="clear" w:color="auto" w:fill="F8F8F8"/>
          </w:tcPr>
          <w:p>
            <w:pPr>
              <w:pStyle w:val="TableParagraph"/>
              <w:spacing w:before="138"/>
              <w:ind w:left="95"/>
              <w:rPr>
                <w:rFonts w:ascii="Arial" w:hAnsi="Arial"/>
                <w:sz w:val="18"/>
              </w:rPr>
            </w:pPr>
            <w:hyperlink r:id="rId32">
              <w:r>
                <w:rPr>
                  <w:rFonts w:ascii="Arial" w:hAnsi="Arial"/>
                  <w:sz w:val="18"/>
                </w:rPr>
                <w:t>ω−6</w:t>
              </w:r>
            </w:hyperlink>
          </w:p>
        </w:tc>
      </w:tr>
      <w:tr>
        <w:trPr>
          <w:trHeight w:val="452" w:hRule="exact"/>
        </w:trPr>
        <w:tc>
          <w:tcPr>
            <w:tcW w:w="1842" w:type="dxa"/>
            <w:tcBorders>
              <w:left w:val="nil"/>
            </w:tcBorders>
            <w:shd w:val="clear" w:color="auto" w:fill="F8F8F8"/>
          </w:tcPr>
          <w:p>
            <w:pPr>
              <w:pStyle w:val="TableParagraph"/>
              <w:spacing w:before="153"/>
              <w:ind w:left="95"/>
              <w:rPr>
                <w:sz w:val="18"/>
              </w:rPr>
            </w:pPr>
            <w:hyperlink r:id="rId35">
              <w:r>
                <w:rPr>
                  <w:sz w:val="18"/>
                </w:rPr>
                <w:t>α-Linolenic acid</w:t>
              </w:r>
            </w:hyperlink>
          </w:p>
        </w:tc>
        <w:tc>
          <w:tcPr>
            <w:tcW w:w="2555" w:type="dxa"/>
            <w:shd w:val="clear" w:color="auto" w:fill="F8F8F8"/>
          </w:tcPr>
          <w:p>
            <w:pPr>
              <w:pStyle w:val="TableParagraph"/>
              <w:spacing w:before="9"/>
              <w:rPr>
                <w:rFonts w:ascii="Cambria"/>
                <w:sz w:val="3"/>
              </w:rPr>
            </w:pPr>
          </w:p>
          <w:p>
            <w:pPr>
              <w:pStyle w:val="TableParagraph"/>
              <w:ind w:left="89"/>
              <w:rPr>
                <w:rFonts w:ascii="Cambria"/>
                <w:sz w:val="20"/>
              </w:rPr>
            </w:pPr>
            <w:r>
              <w:rPr>
                <w:rFonts w:ascii="Cambria"/>
                <w:sz w:val="20"/>
              </w:rPr>
              <w:drawing>
                <wp:inline distT="0" distB="0" distL="0" distR="0">
                  <wp:extent cx="1427844" cy="217169"/>
                  <wp:effectExtent l="0" t="0" r="0" b="0"/>
                  <wp:docPr id="31" name="image15.png" descr=""/>
                  <wp:cNvGraphicFramePr>
                    <a:graphicFrameLocks noChangeAspect="1"/>
                  </wp:cNvGraphicFramePr>
                  <a:graphic>
                    <a:graphicData uri="http://schemas.openxmlformats.org/drawingml/2006/picture">
                      <pic:pic>
                        <pic:nvPicPr>
                          <pic:cNvPr id="32" name="image15.png"/>
                          <pic:cNvPicPr/>
                        </pic:nvPicPr>
                        <pic:blipFill>
                          <a:blip r:embed="rId36" cstate="print"/>
                          <a:stretch>
                            <a:fillRect/>
                          </a:stretch>
                        </pic:blipFill>
                        <pic:spPr>
                          <a:xfrm>
                            <a:off x="0" y="0"/>
                            <a:ext cx="1427844" cy="217169"/>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149"/>
              <w:ind w:left="91"/>
              <w:rPr>
                <w:rFonts w:ascii="Arial" w:hAnsi="Arial"/>
                <w:sz w:val="12"/>
              </w:rPr>
            </w:pPr>
            <w:r>
              <w:rPr>
                <w:rFonts w:ascii="Arial" w:hAnsi="Arial"/>
                <w:i/>
                <w:sz w:val="18"/>
              </w:rPr>
              <w:t>cis</w:t>
            </w:r>
            <w:r>
              <w:rPr>
                <w:rFonts w:ascii="Arial" w:hAnsi="Arial"/>
                <w:sz w:val="18"/>
              </w:rPr>
              <w:t>,</w:t>
            </w:r>
            <w:r>
              <w:rPr>
                <w:rFonts w:ascii="Arial" w:hAnsi="Arial"/>
                <w:i/>
                <w:sz w:val="18"/>
              </w:rPr>
              <w:t>cis</w:t>
            </w:r>
            <w:r>
              <w:rPr>
                <w:rFonts w:ascii="Arial" w:hAnsi="Arial"/>
                <w:sz w:val="18"/>
              </w:rPr>
              <w:t>,</w:t>
            </w:r>
            <w:r>
              <w:rPr>
                <w:rFonts w:ascii="Arial" w:hAnsi="Arial"/>
                <w:i/>
                <w:sz w:val="18"/>
              </w:rPr>
              <w:t>cis</w:t>
            </w:r>
            <w:r>
              <w:rPr>
                <w:rFonts w:ascii="Arial" w:hAnsi="Arial"/>
                <w:sz w:val="18"/>
              </w:rPr>
              <w:t>-Δ</w:t>
            </w:r>
            <w:r>
              <w:rPr>
                <w:rFonts w:ascii="Arial" w:hAnsi="Arial"/>
                <w:position w:val="6"/>
                <w:sz w:val="12"/>
              </w:rPr>
              <w:t>9</w:t>
            </w:r>
            <w:r>
              <w:rPr>
                <w:rFonts w:ascii="Arial" w:hAnsi="Arial"/>
                <w:sz w:val="18"/>
              </w:rPr>
              <w:t>,Δ</w:t>
            </w:r>
            <w:r>
              <w:rPr>
                <w:rFonts w:ascii="Arial" w:hAnsi="Arial"/>
                <w:position w:val="6"/>
                <w:sz w:val="12"/>
              </w:rPr>
              <w:t>12</w:t>
            </w:r>
            <w:r>
              <w:rPr>
                <w:rFonts w:ascii="Arial" w:hAnsi="Arial"/>
                <w:sz w:val="18"/>
              </w:rPr>
              <w:t>,Δ</w:t>
            </w:r>
            <w:r>
              <w:rPr>
                <w:rFonts w:ascii="Arial" w:hAnsi="Arial"/>
                <w:position w:val="6"/>
                <w:sz w:val="12"/>
              </w:rPr>
              <w:t>15</w:t>
            </w:r>
          </w:p>
        </w:tc>
        <w:tc>
          <w:tcPr>
            <w:tcW w:w="1277" w:type="dxa"/>
            <w:shd w:val="clear" w:color="auto" w:fill="F8F8F8"/>
          </w:tcPr>
          <w:p>
            <w:pPr>
              <w:pStyle w:val="TableParagraph"/>
              <w:spacing w:before="152"/>
              <w:ind w:left="95" w:right="97"/>
              <w:rPr>
                <w:rFonts w:ascii="Arial"/>
                <w:sz w:val="18"/>
              </w:rPr>
            </w:pPr>
            <w:r>
              <w:rPr>
                <w:rFonts w:ascii="Arial"/>
                <w:sz w:val="18"/>
              </w:rPr>
              <w:t>18:3</w:t>
            </w:r>
          </w:p>
        </w:tc>
        <w:tc>
          <w:tcPr>
            <w:tcW w:w="996" w:type="dxa"/>
            <w:tcBorders>
              <w:right w:val="nil"/>
            </w:tcBorders>
            <w:shd w:val="clear" w:color="auto" w:fill="F8F8F8"/>
          </w:tcPr>
          <w:p>
            <w:pPr>
              <w:pStyle w:val="TableParagraph"/>
              <w:spacing w:before="152"/>
              <w:ind w:left="95"/>
              <w:rPr>
                <w:rFonts w:ascii="Arial" w:hAnsi="Arial"/>
                <w:sz w:val="18"/>
              </w:rPr>
            </w:pPr>
            <w:hyperlink r:id="rId37">
              <w:r>
                <w:rPr>
                  <w:rFonts w:ascii="Arial" w:hAnsi="Arial"/>
                  <w:sz w:val="18"/>
                </w:rPr>
                <w:t>ω−3</w:t>
              </w:r>
            </w:hyperlink>
          </w:p>
        </w:tc>
      </w:tr>
    </w:tbl>
    <w:p>
      <w:pPr>
        <w:spacing w:after="0"/>
        <w:rPr>
          <w:rFonts w:ascii="Arial" w:hAnsi="Arial"/>
          <w:sz w:val="18"/>
        </w:rPr>
        <w:sectPr>
          <w:pgSz w:w="12240" w:h="15840"/>
          <w:pgMar w:header="684" w:footer="1164" w:top="1380" w:bottom="1380" w:left="1440" w:right="1460"/>
        </w:sectPr>
      </w:pPr>
    </w:p>
    <w:p>
      <w:pPr>
        <w:pStyle w:val="BodyText"/>
        <w:spacing w:before="5" w:after="1"/>
        <w:rPr>
          <w:sz w:val="21"/>
        </w:rPr>
      </w:pPr>
    </w:p>
    <w:tbl>
      <w:tblPr>
        <w:tblW w:w="0" w:type="auto"/>
        <w:jc w:val="left"/>
        <w:tblInd w:w="149" w:type="dxa"/>
        <w:tblBorders>
          <w:top w:val="single" w:sz="6" w:space="0" w:color="AAAAAA"/>
          <w:left w:val="single" w:sz="6" w:space="0" w:color="AAAAAA"/>
          <w:bottom w:val="single" w:sz="6" w:space="0" w:color="AAAAAA"/>
          <w:right w:val="single" w:sz="6" w:space="0" w:color="AAAAAA"/>
          <w:insideH w:val="single" w:sz="6" w:space="0" w:color="AAAAAA"/>
          <w:insideV w:val="single" w:sz="6" w:space="0" w:color="AAAAAA"/>
        </w:tblBorders>
        <w:tblLayout w:type="fixed"/>
        <w:tblCellMar>
          <w:top w:w="0" w:type="dxa"/>
          <w:left w:w="0" w:type="dxa"/>
          <w:bottom w:w="0" w:type="dxa"/>
          <w:right w:w="0" w:type="dxa"/>
        </w:tblCellMar>
        <w:tblLook w:val="01E0"/>
      </w:tblPr>
      <w:tblGrid>
        <w:gridCol w:w="1842"/>
        <w:gridCol w:w="2555"/>
        <w:gridCol w:w="1839"/>
        <w:gridCol w:w="1277"/>
        <w:gridCol w:w="996"/>
      </w:tblGrid>
      <w:tr>
        <w:trPr>
          <w:trHeight w:val="865" w:hRule="exact"/>
        </w:trPr>
        <w:tc>
          <w:tcPr>
            <w:tcW w:w="1842" w:type="dxa"/>
            <w:tcBorders>
              <w:left w:val="nil"/>
            </w:tcBorders>
            <w:shd w:val="clear" w:color="auto" w:fill="F8F8F8"/>
          </w:tcPr>
          <w:p>
            <w:pPr>
              <w:pStyle w:val="TableParagraph"/>
              <w:rPr>
                <w:rFonts w:ascii="Cambria"/>
                <w:sz w:val="18"/>
              </w:rPr>
            </w:pPr>
          </w:p>
          <w:p>
            <w:pPr>
              <w:pStyle w:val="TableParagraph"/>
              <w:spacing w:before="153"/>
              <w:ind w:left="95"/>
              <w:rPr>
                <w:sz w:val="18"/>
              </w:rPr>
            </w:pPr>
            <w:hyperlink r:id="rId38">
              <w:r>
                <w:rPr>
                  <w:sz w:val="18"/>
                </w:rPr>
                <w:t>Arachidonic acid</w:t>
              </w:r>
            </w:hyperlink>
          </w:p>
        </w:tc>
        <w:tc>
          <w:tcPr>
            <w:tcW w:w="2555" w:type="dxa"/>
            <w:shd w:val="clear" w:color="auto" w:fill="F8F8F8"/>
          </w:tcPr>
          <w:p>
            <w:pPr>
              <w:pStyle w:val="TableParagraph"/>
              <w:rPr>
                <w:rFonts w:ascii="Cambria"/>
                <w:sz w:val="4"/>
              </w:rPr>
            </w:pPr>
          </w:p>
          <w:p>
            <w:pPr>
              <w:pStyle w:val="TableParagraph"/>
              <w:ind w:left="89"/>
              <w:rPr>
                <w:rFonts w:ascii="Cambria"/>
                <w:sz w:val="20"/>
              </w:rPr>
            </w:pPr>
            <w:r>
              <w:rPr>
                <w:rFonts w:ascii="Cambria"/>
                <w:sz w:val="20"/>
              </w:rPr>
              <w:drawing>
                <wp:inline distT="0" distB="0" distL="0" distR="0">
                  <wp:extent cx="540215" cy="479202"/>
                  <wp:effectExtent l="0" t="0" r="0" b="0"/>
                  <wp:docPr id="33" name="image16.png" descr=""/>
                  <wp:cNvGraphicFramePr>
                    <a:graphicFrameLocks noChangeAspect="1"/>
                  </wp:cNvGraphicFramePr>
                  <a:graphic>
                    <a:graphicData uri="http://schemas.openxmlformats.org/drawingml/2006/picture">
                      <pic:pic>
                        <pic:nvPicPr>
                          <pic:cNvPr id="34" name="image16.png"/>
                          <pic:cNvPicPr/>
                        </pic:nvPicPr>
                        <pic:blipFill>
                          <a:blip r:embed="rId39" cstate="print"/>
                          <a:stretch>
                            <a:fillRect/>
                          </a:stretch>
                        </pic:blipFill>
                        <pic:spPr>
                          <a:xfrm>
                            <a:off x="0" y="0"/>
                            <a:ext cx="540215" cy="479202"/>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11"/>
              <w:rPr>
                <w:rFonts w:ascii="Cambria"/>
                <w:sz w:val="17"/>
              </w:rPr>
            </w:pPr>
          </w:p>
          <w:p>
            <w:pPr>
              <w:pStyle w:val="TableParagraph"/>
              <w:ind w:left="91"/>
              <w:rPr>
                <w:rFonts w:ascii="Arial"/>
                <w:sz w:val="18"/>
              </w:rPr>
            </w:pP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p>
          <w:p>
            <w:pPr>
              <w:pStyle w:val="TableParagraph"/>
              <w:spacing w:before="94"/>
              <w:ind w:left="91"/>
              <w:rPr>
                <w:rFonts w:ascii="Arial" w:hAnsi="Arial"/>
                <w:sz w:val="12"/>
              </w:rPr>
            </w:pPr>
            <w:r>
              <w:rPr>
                <w:rFonts w:ascii="Arial" w:hAnsi="Arial"/>
                <w:position w:val="-5"/>
                <w:sz w:val="18"/>
              </w:rPr>
              <w:t>Δ</w:t>
            </w:r>
            <w:r>
              <w:rPr>
                <w:rFonts w:ascii="Arial" w:hAnsi="Arial"/>
                <w:sz w:val="12"/>
              </w:rPr>
              <w:t>5</w:t>
            </w:r>
            <w:r>
              <w:rPr>
                <w:rFonts w:ascii="Arial" w:hAnsi="Arial"/>
                <w:position w:val="-5"/>
                <w:sz w:val="18"/>
              </w:rPr>
              <w:t>Δ</w:t>
            </w:r>
            <w:r>
              <w:rPr>
                <w:rFonts w:ascii="Arial" w:hAnsi="Arial"/>
                <w:sz w:val="12"/>
              </w:rPr>
              <w:t>8</w:t>
            </w:r>
            <w:r>
              <w:rPr>
                <w:rFonts w:ascii="Arial" w:hAnsi="Arial"/>
                <w:position w:val="-5"/>
                <w:sz w:val="18"/>
              </w:rPr>
              <w:t>,Δ</w:t>
            </w:r>
            <w:r>
              <w:rPr>
                <w:rFonts w:ascii="Arial" w:hAnsi="Arial"/>
                <w:sz w:val="12"/>
              </w:rPr>
              <w:t>11</w:t>
            </w:r>
            <w:r>
              <w:rPr>
                <w:rFonts w:ascii="Arial" w:hAnsi="Arial"/>
                <w:position w:val="-5"/>
                <w:sz w:val="18"/>
              </w:rPr>
              <w:t>,Δ</w:t>
            </w:r>
            <w:r>
              <w:rPr>
                <w:rFonts w:ascii="Arial" w:hAnsi="Arial"/>
                <w:sz w:val="12"/>
              </w:rPr>
              <w:t>14</w:t>
            </w:r>
          </w:p>
        </w:tc>
        <w:tc>
          <w:tcPr>
            <w:tcW w:w="1277" w:type="dxa"/>
            <w:shd w:val="clear" w:color="auto" w:fill="F8F8F8"/>
          </w:tcPr>
          <w:p>
            <w:pPr>
              <w:pStyle w:val="TableParagraph"/>
              <w:rPr>
                <w:rFonts w:ascii="Cambria"/>
                <w:sz w:val="18"/>
              </w:rPr>
            </w:pPr>
          </w:p>
          <w:p>
            <w:pPr>
              <w:pStyle w:val="TableParagraph"/>
              <w:spacing w:before="153"/>
              <w:ind w:left="95" w:right="97"/>
              <w:rPr>
                <w:rFonts w:ascii="Arial"/>
                <w:sz w:val="18"/>
              </w:rPr>
            </w:pPr>
            <w:r>
              <w:rPr>
                <w:rFonts w:ascii="Arial"/>
                <w:sz w:val="18"/>
              </w:rPr>
              <w:t>20:4</w:t>
            </w:r>
          </w:p>
        </w:tc>
        <w:tc>
          <w:tcPr>
            <w:tcW w:w="996" w:type="dxa"/>
            <w:tcBorders>
              <w:right w:val="nil"/>
            </w:tcBorders>
            <w:shd w:val="clear" w:color="auto" w:fill="F8F8F8"/>
          </w:tcPr>
          <w:p>
            <w:pPr>
              <w:pStyle w:val="TableParagraph"/>
              <w:rPr>
                <w:rFonts w:ascii="Cambria"/>
                <w:sz w:val="18"/>
              </w:rPr>
            </w:pPr>
          </w:p>
          <w:p>
            <w:pPr>
              <w:pStyle w:val="TableParagraph"/>
              <w:spacing w:before="153"/>
              <w:ind w:left="95"/>
              <w:rPr>
                <w:rFonts w:ascii="Arial" w:hAnsi="Arial"/>
                <w:sz w:val="18"/>
              </w:rPr>
            </w:pPr>
            <w:hyperlink r:id="rId32">
              <w:r>
                <w:rPr>
                  <w:rFonts w:ascii="Arial" w:hAnsi="Arial"/>
                  <w:sz w:val="18"/>
                </w:rPr>
                <w:t>ω−6</w:t>
              </w:r>
            </w:hyperlink>
          </w:p>
        </w:tc>
      </w:tr>
      <w:tr>
        <w:trPr>
          <w:trHeight w:val="720" w:hRule="exact"/>
        </w:trPr>
        <w:tc>
          <w:tcPr>
            <w:tcW w:w="1842" w:type="dxa"/>
            <w:tcBorders>
              <w:left w:val="nil"/>
            </w:tcBorders>
            <w:shd w:val="clear" w:color="auto" w:fill="F8F8F8"/>
          </w:tcPr>
          <w:p>
            <w:pPr>
              <w:pStyle w:val="TableParagraph"/>
              <w:spacing w:before="11"/>
              <w:rPr>
                <w:rFonts w:ascii="Cambria"/>
                <w:sz w:val="24"/>
              </w:rPr>
            </w:pPr>
          </w:p>
          <w:p>
            <w:pPr>
              <w:pStyle w:val="TableParagraph"/>
              <w:ind w:left="95"/>
              <w:rPr>
                <w:sz w:val="18"/>
              </w:rPr>
            </w:pPr>
            <w:hyperlink r:id="rId40">
              <w:r>
                <w:rPr>
                  <w:sz w:val="18"/>
                </w:rPr>
                <w:t>Eicosapentaenoic acid</w:t>
              </w:r>
            </w:hyperlink>
          </w:p>
        </w:tc>
        <w:tc>
          <w:tcPr>
            <w:tcW w:w="2555" w:type="dxa"/>
            <w:shd w:val="clear" w:color="auto" w:fill="F8F8F8"/>
          </w:tcPr>
          <w:p>
            <w:pPr>
              <w:pStyle w:val="TableParagraph"/>
              <w:spacing w:before="2"/>
              <w:rPr>
                <w:rFonts w:ascii="Cambria"/>
                <w:sz w:val="17"/>
              </w:rPr>
            </w:pPr>
          </w:p>
          <w:p>
            <w:pPr>
              <w:pStyle w:val="TableParagraph"/>
              <w:ind w:left="89" w:right="-21"/>
              <w:rPr>
                <w:rFonts w:ascii="Cambria"/>
                <w:sz w:val="20"/>
              </w:rPr>
            </w:pPr>
            <w:r>
              <w:rPr>
                <w:rFonts w:ascii="Cambria"/>
                <w:sz w:val="20"/>
              </w:rPr>
              <w:drawing>
                <wp:inline distT="0" distB="0" distL="0" distR="0">
                  <wp:extent cx="1543921" cy="195262"/>
                  <wp:effectExtent l="0" t="0" r="0" b="0"/>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41" cstate="print"/>
                          <a:stretch>
                            <a:fillRect/>
                          </a:stretch>
                        </pic:blipFill>
                        <pic:spPr>
                          <a:xfrm>
                            <a:off x="0" y="0"/>
                            <a:ext cx="1543921" cy="195262"/>
                          </a:xfrm>
                          <a:prstGeom prst="rect">
                            <a:avLst/>
                          </a:prstGeom>
                        </pic:spPr>
                      </pic:pic>
                    </a:graphicData>
                  </a:graphic>
                </wp:inline>
              </w:drawing>
            </w:r>
            <w:r>
              <w:rPr>
                <w:rFonts w:ascii="Cambria"/>
                <w:sz w:val="20"/>
              </w:rPr>
            </w:r>
          </w:p>
          <w:p>
            <w:pPr>
              <w:pStyle w:val="TableParagraph"/>
              <w:spacing w:before="8"/>
              <w:rPr>
                <w:rFonts w:ascii="Cambria"/>
                <w:sz w:val="16"/>
              </w:rPr>
            </w:pPr>
          </w:p>
        </w:tc>
        <w:tc>
          <w:tcPr>
            <w:tcW w:w="1839" w:type="dxa"/>
            <w:shd w:val="clear" w:color="auto" w:fill="F8F8F8"/>
          </w:tcPr>
          <w:p>
            <w:pPr>
              <w:pStyle w:val="TableParagraph"/>
              <w:spacing w:before="138"/>
              <w:ind w:left="91"/>
              <w:rPr>
                <w:rFonts w:ascii="Arial"/>
                <w:sz w:val="18"/>
              </w:rPr>
            </w:pP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p>
          <w:p>
            <w:pPr>
              <w:pStyle w:val="TableParagraph"/>
              <w:spacing w:before="96"/>
              <w:ind w:left="91"/>
              <w:rPr>
                <w:rFonts w:ascii="Arial" w:hAnsi="Arial"/>
                <w:sz w:val="12"/>
              </w:rPr>
            </w:pPr>
            <w:r>
              <w:rPr>
                <w:rFonts w:ascii="Arial" w:hAnsi="Arial"/>
                <w:sz w:val="18"/>
              </w:rPr>
              <w:t>Δ</w:t>
            </w:r>
            <w:r>
              <w:rPr>
                <w:rFonts w:ascii="Arial" w:hAnsi="Arial"/>
                <w:position w:val="6"/>
                <w:sz w:val="12"/>
              </w:rPr>
              <w:t>5</w:t>
            </w:r>
            <w:r>
              <w:rPr>
                <w:rFonts w:ascii="Arial" w:hAnsi="Arial"/>
                <w:sz w:val="18"/>
              </w:rPr>
              <w:t>,Δ</w:t>
            </w:r>
            <w:r>
              <w:rPr>
                <w:rFonts w:ascii="Arial" w:hAnsi="Arial"/>
                <w:position w:val="6"/>
                <w:sz w:val="12"/>
              </w:rPr>
              <w:t>8</w:t>
            </w:r>
            <w:r>
              <w:rPr>
                <w:rFonts w:ascii="Arial" w:hAnsi="Arial"/>
                <w:sz w:val="18"/>
              </w:rPr>
              <w:t>,Δ</w:t>
            </w:r>
            <w:r>
              <w:rPr>
                <w:rFonts w:ascii="Arial" w:hAnsi="Arial"/>
                <w:position w:val="6"/>
                <w:sz w:val="12"/>
              </w:rPr>
              <w:t>11</w:t>
            </w:r>
            <w:r>
              <w:rPr>
                <w:rFonts w:ascii="Arial" w:hAnsi="Arial"/>
                <w:sz w:val="18"/>
              </w:rPr>
              <w:t>,Δ</w:t>
            </w:r>
            <w:r>
              <w:rPr>
                <w:rFonts w:ascii="Arial" w:hAnsi="Arial"/>
                <w:position w:val="6"/>
                <w:sz w:val="12"/>
              </w:rPr>
              <w:t>14</w:t>
            </w:r>
            <w:r>
              <w:rPr>
                <w:rFonts w:ascii="Arial" w:hAnsi="Arial"/>
                <w:sz w:val="18"/>
              </w:rPr>
              <w:t>,Δ</w:t>
            </w:r>
            <w:r>
              <w:rPr>
                <w:rFonts w:ascii="Arial" w:hAnsi="Arial"/>
                <w:position w:val="6"/>
                <w:sz w:val="12"/>
              </w:rPr>
              <w:t>17</w:t>
            </w:r>
          </w:p>
        </w:tc>
        <w:tc>
          <w:tcPr>
            <w:tcW w:w="1277" w:type="dxa"/>
            <w:shd w:val="clear" w:color="auto" w:fill="F8F8F8"/>
          </w:tcPr>
          <w:p>
            <w:pPr>
              <w:pStyle w:val="TableParagraph"/>
              <w:spacing w:before="10"/>
              <w:rPr>
                <w:rFonts w:ascii="Cambria"/>
                <w:sz w:val="24"/>
              </w:rPr>
            </w:pPr>
          </w:p>
          <w:p>
            <w:pPr>
              <w:pStyle w:val="TableParagraph"/>
              <w:ind w:left="95" w:right="97"/>
              <w:rPr>
                <w:rFonts w:ascii="Arial"/>
                <w:sz w:val="18"/>
              </w:rPr>
            </w:pPr>
            <w:r>
              <w:rPr>
                <w:rFonts w:ascii="Arial"/>
                <w:sz w:val="18"/>
              </w:rPr>
              <w:t>20:5</w:t>
            </w:r>
          </w:p>
        </w:tc>
        <w:tc>
          <w:tcPr>
            <w:tcW w:w="996" w:type="dxa"/>
            <w:tcBorders>
              <w:right w:val="nil"/>
            </w:tcBorders>
            <w:shd w:val="clear" w:color="auto" w:fill="F8F8F8"/>
          </w:tcPr>
          <w:p>
            <w:pPr>
              <w:pStyle w:val="TableParagraph"/>
              <w:spacing w:before="10"/>
              <w:rPr>
                <w:rFonts w:ascii="Cambria"/>
                <w:sz w:val="24"/>
              </w:rPr>
            </w:pPr>
          </w:p>
          <w:p>
            <w:pPr>
              <w:pStyle w:val="TableParagraph"/>
              <w:ind w:left="95"/>
              <w:rPr>
                <w:rFonts w:ascii="Arial" w:hAnsi="Arial"/>
                <w:sz w:val="18"/>
              </w:rPr>
            </w:pPr>
            <w:hyperlink r:id="rId37">
              <w:r>
                <w:rPr>
                  <w:rFonts w:ascii="Arial" w:hAnsi="Arial"/>
                  <w:sz w:val="18"/>
                </w:rPr>
                <w:t>ω−3</w:t>
              </w:r>
            </w:hyperlink>
          </w:p>
        </w:tc>
      </w:tr>
      <w:tr>
        <w:trPr>
          <w:trHeight w:val="696" w:hRule="exact"/>
        </w:trPr>
        <w:tc>
          <w:tcPr>
            <w:tcW w:w="1842" w:type="dxa"/>
            <w:tcBorders>
              <w:left w:val="nil"/>
            </w:tcBorders>
            <w:shd w:val="clear" w:color="auto" w:fill="F8F8F8"/>
          </w:tcPr>
          <w:p>
            <w:pPr>
              <w:pStyle w:val="TableParagraph"/>
              <w:spacing w:before="8"/>
              <w:rPr>
                <w:rFonts w:ascii="Cambria"/>
                <w:sz w:val="23"/>
              </w:rPr>
            </w:pPr>
          </w:p>
          <w:p>
            <w:pPr>
              <w:pStyle w:val="TableParagraph"/>
              <w:ind w:left="95"/>
              <w:rPr>
                <w:sz w:val="18"/>
              </w:rPr>
            </w:pPr>
            <w:hyperlink r:id="rId42">
              <w:r>
                <w:rPr>
                  <w:sz w:val="18"/>
                </w:rPr>
                <w:t>Erucic acid</w:t>
              </w:r>
            </w:hyperlink>
          </w:p>
        </w:tc>
        <w:tc>
          <w:tcPr>
            <w:tcW w:w="2555" w:type="dxa"/>
            <w:shd w:val="clear" w:color="auto" w:fill="F8F8F8"/>
          </w:tcPr>
          <w:p>
            <w:pPr>
              <w:pStyle w:val="TableParagraph"/>
              <w:spacing w:before="4"/>
              <w:rPr>
                <w:rFonts w:ascii="Cambria"/>
                <w:sz w:val="4"/>
              </w:rPr>
            </w:pPr>
          </w:p>
          <w:p>
            <w:pPr>
              <w:pStyle w:val="TableParagraph"/>
              <w:ind w:left="89"/>
              <w:rPr>
                <w:rFonts w:ascii="Cambria"/>
                <w:sz w:val="20"/>
              </w:rPr>
            </w:pPr>
            <w:r>
              <w:rPr>
                <w:rFonts w:ascii="Cambria"/>
                <w:sz w:val="20"/>
              </w:rPr>
              <w:drawing>
                <wp:inline distT="0" distB="0" distL="0" distR="0">
                  <wp:extent cx="1436668" cy="371475"/>
                  <wp:effectExtent l="0" t="0" r="0" b="0"/>
                  <wp:docPr id="37" name="image18.png" descr=""/>
                  <wp:cNvGraphicFramePr>
                    <a:graphicFrameLocks noChangeAspect="1"/>
                  </wp:cNvGraphicFramePr>
                  <a:graphic>
                    <a:graphicData uri="http://schemas.openxmlformats.org/drawingml/2006/picture">
                      <pic:pic>
                        <pic:nvPicPr>
                          <pic:cNvPr id="38" name="image18.png"/>
                          <pic:cNvPicPr/>
                        </pic:nvPicPr>
                        <pic:blipFill>
                          <a:blip r:embed="rId43" cstate="print"/>
                          <a:stretch>
                            <a:fillRect/>
                          </a:stretch>
                        </pic:blipFill>
                        <pic:spPr>
                          <a:xfrm>
                            <a:off x="0" y="0"/>
                            <a:ext cx="1436668" cy="371475"/>
                          </a:xfrm>
                          <a:prstGeom prst="rect">
                            <a:avLst/>
                          </a:prstGeom>
                        </pic:spPr>
                      </pic:pic>
                    </a:graphicData>
                  </a:graphic>
                </wp:inline>
              </w:drawing>
            </w:r>
            <w:r>
              <w:rPr>
                <w:rFonts w:ascii="Cambria"/>
                <w:sz w:val="20"/>
              </w:rPr>
            </w:r>
          </w:p>
        </w:tc>
        <w:tc>
          <w:tcPr>
            <w:tcW w:w="1839" w:type="dxa"/>
            <w:shd w:val="clear" w:color="auto" w:fill="F8F8F8"/>
          </w:tcPr>
          <w:p>
            <w:pPr>
              <w:pStyle w:val="TableParagraph"/>
              <w:spacing w:before="4"/>
              <w:rPr>
                <w:rFonts w:ascii="Cambria"/>
                <w:sz w:val="23"/>
              </w:rPr>
            </w:pPr>
          </w:p>
          <w:p>
            <w:pPr>
              <w:pStyle w:val="TableParagraph"/>
              <w:ind w:left="91"/>
              <w:rPr>
                <w:rFonts w:ascii="Arial" w:hAnsi="Arial"/>
                <w:sz w:val="12"/>
              </w:rPr>
            </w:pPr>
            <w:r>
              <w:rPr>
                <w:rFonts w:ascii="Arial" w:hAnsi="Arial"/>
                <w:i/>
                <w:sz w:val="18"/>
              </w:rPr>
              <w:t>cis</w:t>
            </w:r>
            <w:r>
              <w:rPr>
                <w:rFonts w:ascii="Arial" w:hAnsi="Arial"/>
                <w:sz w:val="18"/>
              </w:rPr>
              <w:t>-Δ</w:t>
            </w:r>
            <w:r>
              <w:rPr>
                <w:rFonts w:ascii="Arial" w:hAnsi="Arial"/>
                <w:position w:val="6"/>
                <w:sz w:val="12"/>
              </w:rPr>
              <w:t>13</w:t>
            </w:r>
          </w:p>
        </w:tc>
        <w:tc>
          <w:tcPr>
            <w:tcW w:w="1277" w:type="dxa"/>
            <w:shd w:val="clear" w:color="auto" w:fill="F8F8F8"/>
          </w:tcPr>
          <w:p>
            <w:pPr>
              <w:pStyle w:val="TableParagraph"/>
              <w:spacing w:before="7"/>
              <w:rPr>
                <w:rFonts w:ascii="Cambria"/>
                <w:sz w:val="23"/>
              </w:rPr>
            </w:pPr>
          </w:p>
          <w:p>
            <w:pPr>
              <w:pStyle w:val="TableParagraph"/>
              <w:spacing w:before="1"/>
              <w:ind w:left="95" w:right="97"/>
              <w:rPr>
                <w:rFonts w:ascii="Arial"/>
                <w:sz w:val="18"/>
              </w:rPr>
            </w:pPr>
            <w:r>
              <w:rPr>
                <w:rFonts w:ascii="Arial"/>
                <w:sz w:val="18"/>
              </w:rPr>
              <w:t>22:1</w:t>
            </w:r>
          </w:p>
        </w:tc>
        <w:tc>
          <w:tcPr>
            <w:tcW w:w="996" w:type="dxa"/>
            <w:tcBorders>
              <w:right w:val="nil"/>
            </w:tcBorders>
            <w:shd w:val="clear" w:color="auto" w:fill="F8F8F8"/>
          </w:tcPr>
          <w:p>
            <w:pPr>
              <w:pStyle w:val="TableParagraph"/>
              <w:spacing w:before="7"/>
              <w:rPr>
                <w:rFonts w:ascii="Cambria"/>
                <w:sz w:val="23"/>
              </w:rPr>
            </w:pPr>
          </w:p>
          <w:p>
            <w:pPr>
              <w:pStyle w:val="TableParagraph"/>
              <w:spacing w:before="1"/>
              <w:ind w:left="95"/>
              <w:rPr>
                <w:rFonts w:ascii="Arial" w:hAnsi="Arial"/>
                <w:sz w:val="18"/>
              </w:rPr>
            </w:pPr>
            <w:hyperlink r:id="rId26">
              <w:r>
                <w:rPr>
                  <w:rFonts w:ascii="Arial" w:hAnsi="Arial"/>
                  <w:sz w:val="18"/>
                </w:rPr>
                <w:t>ω−9</w:t>
              </w:r>
            </w:hyperlink>
          </w:p>
        </w:tc>
      </w:tr>
      <w:tr>
        <w:trPr>
          <w:trHeight w:val="728" w:hRule="exact"/>
        </w:trPr>
        <w:tc>
          <w:tcPr>
            <w:tcW w:w="1842" w:type="dxa"/>
            <w:tcBorders>
              <w:left w:val="nil"/>
              <w:bottom w:val="single" w:sz="12" w:space="0" w:color="000000"/>
            </w:tcBorders>
            <w:shd w:val="clear" w:color="auto" w:fill="F8F8F8"/>
          </w:tcPr>
          <w:p>
            <w:pPr>
              <w:pStyle w:val="TableParagraph"/>
              <w:rPr>
                <w:rFonts w:ascii="Cambria"/>
                <w:sz w:val="25"/>
              </w:rPr>
            </w:pPr>
          </w:p>
          <w:p>
            <w:pPr>
              <w:pStyle w:val="TableParagraph"/>
              <w:ind w:left="95"/>
              <w:rPr>
                <w:sz w:val="18"/>
              </w:rPr>
            </w:pPr>
            <w:hyperlink r:id="rId44">
              <w:r>
                <w:rPr>
                  <w:sz w:val="18"/>
                </w:rPr>
                <w:t>Docosahexaenoic acid</w:t>
              </w:r>
            </w:hyperlink>
          </w:p>
        </w:tc>
        <w:tc>
          <w:tcPr>
            <w:tcW w:w="2555" w:type="dxa"/>
            <w:tcBorders>
              <w:bottom w:val="single" w:sz="12" w:space="0" w:color="000000"/>
            </w:tcBorders>
            <w:shd w:val="clear" w:color="auto" w:fill="F8F8F8"/>
          </w:tcPr>
          <w:p>
            <w:pPr>
              <w:pStyle w:val="TableParagraph"/>
              <w:spacing w:before="11"/>
              <w:rPr>
                <w:rFonts w:ascii="Cambria"/>
                <w:sz w:val="3"/>
              </w:rPr>
            </w:pPr>
          </w:p>
          <w:p>
            <w:pPr>
              <w:pStyle w:val="TableParagraph"/>
              <w:ind w:left="89"/>
              <w:rPr>
                <w:rFonts w:ascii="Cambria"/>
                <w:sz w:val="20"/>
              </w:rPr>
            </w:pPr>
            <w:r>
              <w:rPr>
                <w:rFonts w:ascii="Cambria"/>
                <w:sz w:val="20"/>
              </w:rPr>
              <w:drawing>
                <wp:inline distT="0" distB="0" distL="0" distR="0">
                  <wp:extent cx="1165610" cy="386619"/>
                  <wp:effectExtent l="0" t="0" r="0" b="0"/>
                  <wp:docPr id="39" name="image19.png" descr=""/>
                  <wp:cNvGraphicFramePr>
                    <a:graphicFrameLocks noChangeAspect="1"/>
                  </wp:cNvGraphicFramePr>
                  <a:graphic>
                    <a:graphicData uri="http://schemas.openxmlformats.org/drawingml/2006/picture">
                      <pic:pic>
                        <pic:nvPicPr>
                          <pic:cNvPr id="40" name="image19.png"/>
                          <pic:cNvPicPr/>
                        </pic:nvPicPr>
                        <pic:blipFill>
                          <a:blip r:embed="rId45" cstate="print"/>
                          <a:stretch>
                            <a:fillRect/>
                          </a:stretch>
                        </pic:blipFill>
                        <pic:spPr>
                          <a:xfrm>
                            <a:off x="0" y="0"/>
                            <a:ext cx="1165610" cy="386619"/>
                          </a:xfrm>
                          <a:prstGeom prst="rect">
                            <a:avLst/>
                          </a:prstGeom>
                        </pic:spPr>
                      </pic:pic>
                    </a:graphicData>
                  </a:graphic>
                </wp:inline>
              </w:drawing>
            </w:r>
            <w:r>
              <w:rPr>
                <w:rFonts w:ascii="Cambria"/>
                <w:sz w:val="20"/>
              </w:rPr>
            </w:r>
          </w:p>
        </w:tc>
        <w:tc>
          <w:tcPr>
            <w:tcW w:w="1839" w:type="dxa"/>
            <w:tcBorders>
              <w:bottom w:val="single" w:sz="12" w:space="0" w:color="000000"/>
            </w:tcBorders>
            <w:shd w:val="clear" w:color="auto" w:fill="F8F8F8"/>
          </w:tcPr>
          <w:p>
            <w:pPr>
              <w:pStyle w:val="TableParagraph"/>
              <w:spacing w:before="138"/>
              <w:ind w:left="91"/>
              <w:rPr>
                <w:rFonts w:ascii="Arial"/>
                <w:sz w:val="18"/>
              </w:rPr>
            </w:pP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r>
              <w:rPr>
                <w:rFonts w:ascii="Arial"/>
                <w:i/>
                <w:sz w:val="18"/>
              </w:rPr>
              <w:t>cis</w:t>
            </w:r>
            <w:r>
              <w:rPr>
                <w:rFonts w:ascii="Arial"/>
                <w:sz w:val="18"/>
              </w:rPr>
              <w:t>-</w:t>
            </w:r>
          </w:p>
          <w:p>
            <w:pPr>
              <w:pStyle w:val="TableParagraph"/>
              <w:spacing w:before="96"/>
              <w:ind w:left="91"/>
              <w:rPr>
                <w:rFonts w:ascii="Arial" w:hAnsi="Arial"/>
                <w:sz w:val="12"/>
              </w:rPr>
            </w:pPr>
            <w:r>
              <w:rPr>
                <w:rFonts w:ascii="Arial" w:hAnsi="Arial"/>
                <w:sz w:val="18"/>
              </w:rPr>
              <w:t>Δ</w:t>
            </w:r>
            <w:r>
              <w:rPr>
                <w:rFonts w:ascii="Arial" w:hAnsi="Arial"/>
                <w:position w:val="6"/>
                <w:sz w:val="12"/>
              </w:rPr>
              <w:t>4</w:t>
            </w:r>
            <w:r>
              <w:rPr>
                <w:rFonts w:ascii="Arial" w:hAnsi="Arial"/>
                <w:sz w:val="18"/>
              </w:rPr>
              <w:t>,Δ</w:t>
            </w:r>
            <w:r>
              <w:rPr>
                <w:rFonts w:ascii="Arial" w:hAnsi="Arial"/>
                <w:position w:val="6"/>
                <w:sz w:val="12"/>
              </w:rPr>
              <w:t>7</w:t>
            </w:r>
            <w:r>
              <w:rPr>
                <w:rFonts w:ascii="Arial" w:hAnsi="Arial"/>
                <w:sz w:val="18"/>
              </w:rPr>
              <w:t>,Δ</w:t>
            </w:r>
            <w:r>
              <w:rPr>
                <w:rFonts w:ascii="Arial" w:hAnsi="Arial"/>
                <w:position w:val="6"/>
                <w:sz w:val="12"/>
              </w:rPr>
              <w:t>10</w:t>
            </w:r>
            <w:r>
              <w:rPr>
                <w:rFonts w:ascii="Arial" w:hAnsi="Arial"/>
                <w:sz w:val="18"/>
              </w:rPr>
              <w:t>,Δ</w:t>
            </w:r>
            <w:r>
              <w:rPr>
                <w:rFonts w:ascii="Arial" w:hAnsi="Arial"/>
                <w:position w:val="6"/>
                <w:sz w:val="12"/>
              </w:rPr>
              <w:t>13</w:t>
            </w:r>
            <w:r>
              <w:rPr>
                <w:rFonts w:ascii="Arial" w:hAnsi="Arial"/>
                <w:sz w:val="18"/>
              </w:rPr>
              <w:t>,Δ</w:t>
            </w:r>
            <w:r>
              <w:rPr>
                <w:rFonts w:ascii="Arial" w:hAnsi="Arial"/>
                <w:position w:val="6"/>
                <w:sz w:val="12"/>
              </w:rPr>
              <w:t>16</w:t>
            </w:r>
            <w:r>
              <w:rPr>
                <w:rFonts w:ascii="Arial" w:hAnsi="Arial"/>
                <w:sz w:val="18"/>
              </w:rPr>
              <w:t>,Δ</w:t>
            </w:r>
            <w:r>
              <w:rPr>
                <w:rFonts w:ascii="Arial" w:hAnsi="Arial"/>
                <w:position w:val="6"/>
                <w:sz w:val="12"/>
              </w:rPr>
              <w:t>19</w:t>
            </w:r>
          </w:p>
        </w:tc>
        <w:tc>
          <w:tcPr>
            <w:tcW w:w="1277" w:type="dxa"/>
            <w:tcBorders>
              <w:bottom w:val="single" w:sz="12" w:space="0" w:color="000000"/>
            </w:tcBorders>
            <w:shd w:val="clear" w:color="auto" w:fill="F8F8F8"/>
          </w:tcPr>
          <w:p>
            <w:pPr>
              <w:pStyle w:val="TableParagraph"/>
              <w:spacing w:before="11"/>
              <w:rPr>
                <w:rFonts w:ascii="Cambria"/>
                <w:sz w:val="24"/>
              </w:rPr>
            </w:pPr>
          </w:p>
          <w:p>
            <w:pPr>
              <w:pStyle w:val="TableParagraph"/>
              <w:ind w:left="95" w:right="97"/>
              <w:rPr>
                <w:rFonts w:ascii="Arial"/>
                <w:sz w:val="18"/>
              </w:rPr>
            </w:pPr>
            <w:r>
              <w:rPr>
                <w:rFonts w:ascii="Arial"/>
                <w:sz w:val="18"/>
              </w:rPr>
              <w:t>22:6</w:t>
            </w:r>
          </w:p>
        </w:tc>
        <w:tc>
          <w:tcPr>
            <w:tcW w:w="996" w:type="dxa"/>
            <w:tcBorders>
              <w:bottom w:val="single" w:sz="12" w:space="0" w:color="000000"/>
              <w:right w:val="nil"/>
            </w:tcBorders>
            <w:shd w:val="clear" w:color="auto" w:fill="F8F8F8"/>
          </w:tcPr>
          <w:p>
            <w:pPr>
              <w:pStyle w:val="TableParagraph"/>
              <w:spacing w:before="11"/>
              <w:rPr>
                <w:rFonts w:ascii="Cambria"/>
                <w:sz w:val="24"/>
              </w:rPr>
            </w:pPr>
          </w:p>
          <w:p>
            <w:pPr>
              <w:pStyle w:val="TableParagraph"/>
              <w:ind w:left="95"/>
              <w:rPr>
                <w:rFonts w:ascii="Arial" w:hAnsi="Arial"/>
                <w:sz w:val="18"/>
              </w:rPr>
            </w:pPr>
            <w:hyperlink r:id="rId37">
              <w:r>
                <w:rPr>
                  <w:rFonts w:ascii="Arial" w:hAnsi="Arial"/>
                  <w:sz w:val="18"/>
                </w:rPr>
                <w:t>ω−3</w:t>
              </w:r>
            </w:hyperlink>
          </w:p>
        </w:tc>
      </w:tr>
    </w:tbl>
    <w:p>
      <w:pPr>
        <w:pStyle w:val="BodyText"/>
        <w:spacing w:before="11"/>
        <w:rPr>
          <w:sz w:val="17"/>
        </w:rPr>
      </w:pPr>
    </w:p>
    <w:p>
      <w:pPr>
        <w:pStyle w:val="Heading3"/>
        <w:numPr>
          <w:ilvl w:val="1"/>
          <w:numId w:val="2"/>
        </w:numPr>
        <w:tabs>
          <w:tab w:pos="683" w:val="left" w:leader="none"/>
        </w:tabs>
        <w:spacing w:line="240" w:lineRule="auto" w:before="69" w:after="0"/>
        <w:ind w:left="682" w:right="0" w:hanging="423"/>
        <w:jc w:val="left"/>
        <w:rPr>
          <w:rFonts w:ascii="Times New Roman" w:hAnsi="Times New Roman"/>
        </w:rPr>
      </w:pPr>
      <w:bookmarkStart w:name="_TOC_250026" w:id="14"/>
      <w:r>
        <w:rPr>
          <w:rFonts w:ascii="Times New Roman" w:hAnsi="Times New Roman"/>
        </w:rPr>
        <w:t>Ácidos grasos Omega 3 y Omega</w:t>
      </w:r>
      <w:r>
        <w:rPr>
          <w:rFonts w:ascii="Times New Roman" w:hAnsi="Times New Roman"/>
          <w:spacing w:val="-4"/>
        </w:rPr>
        <w:t> </w:t>
      </w:r>
      <w:bookmarkEnd w:id="14"/>
      <w:r>
        <w:rPr>
          <w:rFonts w:ascii="Times New Roman" w:hAnsi="Times New Roman"/>
        </w:rPr>
        <w:t>6.</w:t>
      </w:r>
    </w:p>
    <w:p>
      <w:pPr>
        <w:pStyle w:val="BodyText"/>
        <w:spacing w:before="5"/>
        <w:rPr>
          <w:rFonts w:ascii="Times New Roman"/>
          <w:b/>
        </w:rPr>
      </w:pPr>
    </w:p>
    <w:p>
      <w:pPr>
        <w:pStyle w:val="BodyText"/>
        <w:spacing w:line="360" w:lineRule="auto"/>
        <w:ind w:left="259" w:right="241" w:firstLine="283"/>
        <w:jc w:val="both"/>
      </w:pPr>
      <w:r>
        <w:rPr/>
        <w:t>Los ácidos grasos también se pueden clasificar en ácidos grasos esenciales y no esenciales dependiendo de las funciones para animales o humanos. Los ácidos grasos esenciales, son los que los humanos y otros animales deben ingerir porque el cuerpo los necesita para un estado saludable, pero no puede sintetizarlos o no puede proporcionar la cantidad suficiente de otros sustratos. Hay dos series de ácidos grasos esenciales: uno tiene un doble enlace de tres átomos de carbono eliminado del extremo metilo (omega-3); el otro tiene un doble enlace seis átomos de carbono eliminado del extremo metilo (Omega-6) (Blasbalg et al, 2011).</w:t>
      </w:r>
    </w:p>
    <w:p>
      <w:pPr>
        <w:pStyle w:val="BodyText"/>
        <w:spacing w:before="2"/>
        <w:rPr>
          <w:sz w:val="23"/>
        </w:rPr>
      </w:pPr>
    </w:p>
    <w:p>
      <w:pPr>
        <w:pStyle w:val="ListParagraph"/>
        <w:numPr>
          <w:ilvl w:val="2"/>
          <w:numId w:val="2"/>
        </w:numPr>
        <w:tabs>
          <w:tab w:pos="765" w:val="left" w:leader="none"/>
        </w:tabs>
        <w:spacing w:line="240" w:lineRule="auto" w:before="1" w:after="0"/>
        <w:ind w:left="764" w:right="0" w:hanging="505"/>
        <w:jc w:val="left"/>
        <w:rPr>
          <w:rFonts w:ascii="Times New Roman" w:hAnsi="Times New Roman"/>
          <w:b/>
          <w:sz w:val="20"/>
        </w:rPr>
      </w:pPr>
      <w:r>
        <w:rPr>
          <w:rFonts w:ascii="Times New Roman" w:hAnsi="Times New Roman"/>
          <w:b/>
          <w:sz w:val="20"/>
        </w:rPr>
        <w:t>Ácidos grasos omega</w:t>
      </w:r>
      <w:r>
        <w:rPr>
          <w:rFonts w:ascii="Times New Roman" w:hAnsi="Times New Roman"/>
          <w:b/>
          <w:spacing w:val="-6"/>
          <w:sz w:val="20"/>
        </w:rPr>
        <w:t> </w:t>
      </w:r>
      <w:r>
        <w:rPr>
          <w:rFonts w:ascii="Times New Roman" w:hAnsi="Times New Roman"/>
          <w:b/>
          <w:sz w:val="20"/>
        </w:rPr>
        <w:t>3.</w:t>
      </w:r>
    </w:p>
    <w:p>
      <w:pPr>
        <w:pStyle w:val="BodyText"/>
        <w:spacing w:before="9"/>
        <w:rPr>
          <w:rFonts w:ascii="Times New Roman"/>
          <w:b/>
        </w:rPr>
      </w:pPr>
    </w:p>
    <w:p>
      <w:pPr>
        <w:pStyle w:val="BodyText"/>
        <w:spacing w:line="360" w:lineRule="auto"/>
        <w:ind w:left="259" w:right="236" w:firstLine="341"/>
        <w:jc w:val="both"/>
      </w:pPr>
      <w:r>
        <w:rPr/>
        <w:t>Los ácidos grasos omega-3 (ω-3) son ácidos grasos esenciales poliinsaturados (PUFAs) con el primer doble enlace (C=C) situado en el tercer átomo de carbono  desde el final de la cadena de carbono. Existen dos clases de ácidos grasos </w:t>
      </w:r>
      <w:r>
        <w:rPr>
          <w:spacing w:val="2"/>
        </w:rPr>
        <w:t>ω-3 </w:t>
      </w:r>
      <w:r>
        <w:rPr/>
        <w:t>(Hu y Manson, 2012). La primer clase de ellos es el ácido α-linolénico (ALA), que es un ácido graso esencial derivado de fuentes vegetales, aceites, por ejemplo, la linaza, arándano, perilla y nogales, etc. La segunda clase son los ácidos grasos de cadena larga, ácido eicosapentaenoico (EPA) y ácido docosahexaenoico (DHA), que se deriva principalmente de peces abisales y aceite de huevo. Con los métodos de metanálisis (Bucher et al, 2002; Burdge y Calder, 2006; Kwak et al, 2012; Rizos et al, 2012; Blasbalg et al, 2011), se han observado las contribuciones que tienen los ácidos grasos ω-3,    tanto    el    ácido    linolénico-α    como    </w:t>
      </w:r>
      <w:r>
        <w:rPr>
          <w:spacing w:val="-2"/>
        </w:rPr>
        <w:t>EPA    </w:t>
      </w:r>
      <w:r>
        <w:rPr/>
        <w:t>o    DHA,    en    las </w:t>
      </w:r>
      <w:r>
        <w:rPr>
          <w:spacing w:val="32"/>
        </w:rPr>
        <w:t> </w:t>
      </w:r>
      <w:r>
        <w:rPr/>
        <w:t>enfermedades</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4" w:lineRule="auto" w:before="66"/>
        <w:ind w:left="259"/>
      </w:pPr>
      <w:r>
        <w:rPr/>
        <w:t>cardiovasculares y cerebrovasculares inflamación, aterosclerosis, o la proliferación tumoral (Aldai et al., 2005).</w:t>
      </w:r>
    </w:p>
    <w:p>
      <w:pPr>
        <w:pStyle w:val="BodyText"/>
        <w:spacing w:before="11"/>
        <w:rPr>
          <w:sz w:val="22"/>
        </w:rPr>
      </w:pPr>
    </w:p>
    <w:p>
      <w:pPr>
        <w:pStyle w:val="BodyText"/>
        <w:ind w:left="1378"/>
      </w:pPr>
      <w:r>
        <w:rPr>
          <w:b/>
        </w:rPr>
        <w:t>Tabla 2</w:t>
      </w:r>
      <w:r>
        <w:rPr/>
        <w:t>. Las listas de los ácidos grasos Omega-3 en la naturaleza</w:t>
      </w:r>
    </w:p>
    <w:p>
      <w:pPr>
        <w:pStyle w:val="BodyText"/>
        <w:spacing w:before="5"/>
        <w:rPr>
          <w:sz w:val="22"/>
        </w:rPr>
      </w:pPr>
    </w:p>
    <w:tbl>
      <w:tblPr>
        <w:tblW w:w="0" w:type="auto"/>
        <w:jc w:val="left"/>
        <w:tblInd w:w="149" w:type="dxa"/>
        <w:tblBorders>
          <w:top w:val="dotted" w:sz="4" w:space="0" w:color="AAAAAA"/>
          <w:left w:val="dotted" w:sz="4" w:space="0" w:color="AAAAAA"/>
          <w:bottom w:val="dotted" w:sz="4" w:space="0" w:color="AAAAAA"/>
          <w:right w:val="dotted" w:sz="4" w:space="0" w:color="AAAAAA"/>
          <w:insideH w:val="dotted" w:sz="4" w:space="0" w:color="AAAAAA"/>
          <w:insideV w:val="dotted" w:sz="4" w:space="0" w:color="AAAAAA"/>
        </w:tblBorders>
        <w:tblLayout w:type="fixed"/>
        <w:tblCellMar>
          <w:top w:w="0" w:type="dxa"/>
          <w:left w:w="0" w:type="dxa"/>
          <w:bottom w:w="0" w:type="dxa"/>
          <w:right w:w="0" w:type="dxa"/>
        </w:tblCellMar>
        <w:tblLook w:val="01E0"/>
      </w:tblPr>
      <w:tblGrid>
        <w:gridCol w:w="2262"/>
        <w:gridCol w:w="994"/>
        <w:gridCol w:w="2410"/>
        <w:gridCol w:w="2829"/>
      </w:tblGrid>
      <w:tr>
        <w:trPr>
          <w:trHeight w:val="732" w:hRule="exact"/>
        </w:trPr>
        <w:tc>
          <w:tcPr>
            <w:tcW w:w="2262" w:type="dxa"/>
            <w:tcBorders>
              <w:top w:val="single" w:sz="12" w:space="0" w:color="000000"/>
              <w:left w:val="nil"/>
              <w:bottom w:val="single" w:sz="6" w:space="0" w:color="AAAAAA"/>
              <w:right w:val="single" w:sz="6" w:space="0" w:color="AAAAAA"/>
            </w:tcBorders>
            <w:shd w:val="clear" w:color="auto" w:fill="F1F1F1"/>
          </w:tcPr>
          <w:p>
            <w:pPr>
              <w:pStyle w:val="TableParagraph"/>
              <w:spacing w:before="4"/>
              <w:rPr>
                <w:rFonts w:ascii="Cambria"/>
                <w:sz w:val="25"/>
              </w:rPr>
            </w:pPr>
          </w:p>
          <w:p>
            <w:pPr>
              <w:pStyle w:val="TableParagraph"/>
              <w:ind w:left="95"/>
              <w:rPr>
                <w:b/>
                <w:sz w:val="18"/>
              </w:rPr>
            </w:pPr>
            <w:r>
              <w:rPr>
                <w:b/>
                <w:sz w:val="18"/>
              </w:rPr>
              <w:t>Common name</w:t>
            </w:r>
          </w:p>
        </w:tc>
        <w:tc>
          <w:tcPr>
            <w:tcW w:w="994" w:type="dxa"/>
            <w:tcBorders>
              <w:top w:val="single" w:sz="12" w:space="0" w:color="000000"/>
              <w:left w:val="single" w:sz="6" w:space="0" w:color="AAAAAA"/>
              <w:bottom w:val="single" w:sz="6" w:space="0" w:color="AAAAAA"/>
              <w:right w:val="single" w:sz="6" w:space="0" w:color="AAAAAA"/>
            </w:tcBorders>
            <w:shd w:val="clear" w:color="auto" w:fill="F1F1F1"/>
          </w:tcPr>
          <w:p>
            <w:pPr>
              <w:pStyle w:val="TableParagraph"/>
              <w:spacing w:line="350" w:lineRule="auto" w:before="148"/>
              <w:ind w:left="88" w:right="451"/>
              <w:rPr>
                <w:b/>
                <w:sz w:val="18"/>
              </w:rPr>
            </w:pPr>
            <w:r>
              <w:rPr>
                <w:b/>
                <w:sz w:val="18"/>
              </w:rPr>
              <w:t>Lipid name</w:t>
            </w:r>
          </w:p>
        </w:tc>
        <w:tc>
          <w:tcPr>
            <w:tcW w:w="2410" w:type="dxa"/>
            <w:tcBorders>
              <w:top w:val="single" w:sz="12" w:space="0" w:color="000000"/>
              <w:left w:val="single" w:sz="6" w:space="0" w:color="AAAAAA"/>
              <w:bottom w:val="single" w:sz="6" w:space="0" w:color="AAAAAA"/>
              <w:right w:val="single" w:sz="4" w:space="0" w:color="000000"/>
            </w:tcBorders>
            <w:shd w:val="clear" w:color="auto" w:fill="F1F1F1"/>
          </w:tcPr>
          <w:p>
            <w:pPr>
              <w:pStyle w:val="TableParagraph"/>
              <w:spacing w:before="4"/>
              <w:rPr>
                <w:rFonts w:ascii="Cambria"/>
                <w:sz w:val="25"/>
              </w:rPr>
            </w:pPr>
          </w:p>
          <w:p>
            <w:pPr>
              <w:pStyle w:val="TableParagraph"/>
              <w:ind w:left="88"/>
              <w:rPr>
                <w:b/>
                <w:sz w:val="18"/>
              </w:rPr>
            </w:pPr>
            <w:r>
              <w:rPr>
                <w:b/>
                <w:sz w:val="18"/>
              </w:rPr>
              <w:t>Chemical name</w:t>
            </w:r>
          </w:p>
        </w:tc>
        <w:tc>
          <w:tcPr>
            <w:tcW w:w="2829" w:type="dxa"/>
            <w:tcBorders>
              <w:top w:val="single" w:sz="12" w:space="0" w:color="000000"/>
              <w:left w:val="single" w:sz="4" w:space="0" w:color="000000"/>
              <w:bottom w:val="single" w:sz="6" w:space="0" w:color="AAAAAA"/>
              <w:right w:val="nil"/>
            </w:tcBorders>
            <w:shd w:val="clear" w:color="auto" w:fill="F1F1F1"/>
          </w:tcPr>
          <w:p>
            <w:pPr>
              <w:pStyle w:val="TableParagraph"/>
              <w:spacing w:before="4"/>
              <w:rPr>
                <w:rFonts w:ascii="Cambria"/>
                <w:sz w:val="25"/>
              </w:rPr>
            </w:pPr>
          </w:p>
          <w:p>
            <w:pPr>
              <w:pStyle w:val="TableParagraph"/>
              <w:ind w:left="9"/>
              <w:rPr>
                <w:b/>
                <w:sz w:val="18"/>
              </w:rPr>
            </w:pPr>
            <w:r>
              <w:rPr>
                <w:b/>
                <w:sz w:val="18"/>
              </w:rPr>
              <w:t>Chemical Structure</w:t>
            </w:r>
          </w:p>
        </w:tc>
      </w:tr>
      <w:tr>
        <w:trPr>
          <w:trHeight w:val="828" w:hRule="exact"/>
        </w:trPr>
        <w:tc>
          <w:tcPr>
            <w:tcW w:w="2262" w:type="dxa"/>
            <w:tcBorders>
              <w:top w:val="single" w:sz="6" w:space="0" w:color="AAAAAA"/>
              <w:left w:val="nil"/>
              <w:right w:val="single" w:sz="4" w:space="0" w:color="AAAAAA"/>
            </w:tcBorders>
            <w:shd w:val="clear" w:color="auto" w:fill="F8F8F8"/>
          </w:tcPr>
          <w:p>
            <w:pPr>
              <w:pStyle w:val="TableParagraph"/>
              <w:spacing w:before="4"/>
              <w:rPr>
                <w:rFonts w:ascii="Cambria"/>
                <w:sz w:val="16"/>
              </w:rPr>
            </w:pPr>
          </w:p>
          <w:p>
            <w:pPr>
              <w:pStyle w:val="TableParagraph"/>
              <w:spacing w:line="355" w:lineRule="auto" w:before="1"/>
              <w:ind w:left="95" w:right="537"/>
              <w:rPr>
                <w:sz w:val="18"/>
              </w:rPr>
            </w:pPr>
            <w:hyperlink r:id="rId46">
              <w:r>
                <w:rPr>
                  <w:sz w:val="18"/>
                </w:rPr>
                <w:t>Hexadecatrienoic acid</w:t>
              </w:r>
            </w:hyperlink>
            <w:r>
              <w:rPr>
                <w:sz w:val="18"/>
              </w:rPr>
              <w:t> (HTA)</w:t>
            </w:r>
          </w:p>
        </w:tc>
        <w:tc>
          <w:tcPr>
            <w:tcW w:w="994" w:type="dxa"/>
            <w:tcBorders>
              <w:top w:val="single" w:sz="6" w:space="0" w:color="AAAAAA"/>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35"/>
              <w:ind w:left="74" w:right="107"/>
              <w:jc w:val="center"/>
              <w:rPr>
                <w:sz w:val="18"/>
              </w:rPr>
            </w:pPr>
            <w:r>
              <w:rPr>
                <w:sz w:val="18"/>
              </w:rPr>
              <w:t>16:3 (</w:t>
            </w:r>
            <w:r>
              <w:rPr>
                <w:i/>
                <w:sz w:val="18"/>
              </w:rPr>
              <w:t>ω</w:t>
            </w:r>
            <w:r>
              <w:rPr>
                <w:sz w:val="18"/>
              </w:rPr>
              <w:t>-3)</w:t>
            </w:r>
          </w:p>
        </w:tc>
        <w:tc>
          <w:tcPr>
            <w:tcW w:w="2410" w:type="dxa"/>
            <w:tcBorders>
              <w:top w:val="single" w:sz="6" w:space="0" w:color="AAAAAA"/>
              <w:left w:val="single" w:sz="4" w:space="0" w:color="AAAAAA"/>
              <w:right w:val="single" w:sz="4" w:space="0" w:color="AAAAAA"/>
            </w:tcBorders>
            <w:shd w:val="clear" w:color="auto" w:fill="F8F8F8"/>
          </w:tcPr>
          <w:p>
            <w:pPr>
              <w:pStyle w:val="TableParagraph"/>
              <w:spacing w:before="4"/>
              <w:rPr>
                <w:rFonts w:ascii="Cambria"/>
                <w:sz w:val="16"/>
              </w:rPr>
            </w:pPr>
          </w:p>
          <w:p>
            <w:pPr>
              <w:pStyle w:val="TableParagraph"/>
              <w:spacing w:line="355" w:lineRule="auto" w:before="1"/>
              <w:ind w:left="91" w:right="725"/>
              <w:rPr>
                <w:sz w:val="18"/>
              </w:rPr>
            </w:pPr>
            <w:r>
              <w:rPr>
                <w:i/>
                <w:sz w:val="18"/>
              </w:rPr>
              <w:t>all</w:t>
            </w:r>
            <w:r>
              <w:rPr>
                <w:sz w:val="18"/>
              </w:rPr>
              <w:t>-</w:t>
            </w:r>
            <w:r>
              <w:rPr>
                <w:i/>
                <w:sz w:val="18"/>
              </w:rPr>
              <w:t>cis</w:t>
            </w:r>
            <w:r>
              <w:rPr>
                <w:sz w:val="18"/>
              </w:rPr>
              <w:t>-7,10,13- hexadecatrienoic acid</w:t>
            </w:r>
          </w:p>
        </w:tc>
        <w:tc>
          <w:tcPr>
            <w:tcW w:w="2829" w:type="dxa"/>
            <w:tcBorders>
              <w:top w:val="single" w:sz="6" w:space="0" w:color="AAAAAA"/>
              <w:left w:val="single" w:sz="4" w:space="0" w:color="AAAAAA"/>
              <w:right w:val="nil"/>
            </w:tcBorders>
            <w:shd w:val="clear" w:color="auto" w:fill="F8F8F8"/>
          </w:tcPr>
          <w:p>
            <w:pPr>
              <w:pStyle w:val="TableParagraph"/>
              <w:spacing w:before="11"/>
              <w:rPr>
                <w:rFonts w:ascii="Cambria"/>
                <w:sz w:val="3"/>
              </w:rPr>
            </w:pPr>
          </w:p>
          <w:p>
            <w:pPr>
              <w:pStyle w:val="TableParagraph"/>
              <w:ind w:left="7"/>
              <w:rPr>
                <w:rFonts w:ascii="Cambria"/>
                <w:sz w:val="20"/>
              </w:rPr>
            </w:pPr>
            <w:r>
              <w:rPr>
                <w:rFonts w:ascii="Cambria"/>
                <w:sz w:val="20"/>
              </w:rPr>
              <w:drawing>
                <wp:inline distT="0" distB="0" distL="0" distR="0">
                  <wp:extent cx="1371600" cy="457200"/>
                  <wp:effectExtent l="0" t="0" r="0" b="0"/>
                  <wp:docPr id="41" name="image20.png" descr=""/>
                  <wp:cNvGraphicFramePr>
                    <a:graphicFrameLocks noChangeAspect="1"/>
                  </wp:cNvGraphicFramePr>
                  <a:graphic>
                    <a:graphicData uri="http://schemas.openxmlformats.org/drawingml/2006/picture">
                      <pic:pic>
                        <pic:nvPicPr>
                          <pic:cNvPr id="42" name="image20.png"/>
                          <pic:cNvPicPr/>
                        </pic:nvPicPr>
                        <pic:blipFill>
                          <a:blip r:embed="rId47" cstate="print"/>
                          <a:stretch>
                            <a:fillRect/>
                          </a:stretch>
                        </pic:blipFill>
                        <pic:spPr>
                          <a:xfrm>
                            <a:off x="0" y="0"/>
                            <a:ext cx="1371600" cy="457200"/>
                          </a:xfrm>
                          <a:prstGeom prst="rect">
                            <a:avLst/>
                          </a:prstGeom>
                        </pic:spPr>
                      </pic:pic>
                    </a:graphicData>
                  </a:graphic>
                </wp:inline>
              </w:drawing>
            </w:r>
            <w:r>
              <w:rPr>
                <w:rFonts w:ascii="Cambria"/>
                <w:sz w:val="20"/>
              </w:rPr>
            </w:r>
          </w:p>
        </w:tc>
      </w:tr>
      <w:tr>
        <w:trPr>
          <w:trHeight w:val="715" w:hRule="exact"/>
        </w:trPr>
        <w:tc>
          <w:tcPr>
            <w:tcW w:w="2262" w:type="dxa"/>
            <w:tcBorders>
              <w:left w:val="nil"/>
              <w:right w:val="single" w:sz="4" w:space="0" w:color="AAAAAA"/>
            </w:tcBorders>
            <w:shd w:val="clear" w:color="auto" w:fill="F8F8F8"/>
          </w:tcPr>
          <w:p>
            <w:pPr>
              <w:pStyle w:val="TableParagraph"/>
              <w:spacing w:before="11"/>
              <w:rPr>
                <w:rFonts w:ascii="Cambria"/>
                <w:sz w:val="24"/>
              </w:rPr>
            </w:pPr>
          </w:p>
          <w:p>
            <w:pPr>
              <w:pStyle w:val="TableParagraph"/>
              <w:ind w:left="95"/>
              <w:rPr>
                <w:sz w:val="18"/>
              </w:rPr>
            </w:pPr>
            <w:hyperlink r:id="rId35">
              <w:r>
                <w:rPr>
                  <w:sz w:val="18"/>
                </w:rPr>
                <w:t>α-Linolenic acid</w:t>
              </w:r>
            </w:hyperlink>
            <w:r>
              <w:rPr>
                <w:sz w:val="18"/>
              </w:rPr>
              <w:t> (ALA)</w:t>
            </w:r>
          </w:p>
        </w:tc>
        <w:tc>
          <w:tcPr>
            <w:tcW w:w="994" w:type="dxa"/>
            <w:tcBorders>
              <w:left w:val="single" w:sz="4" w:space="0" w:color="AAAAAA"/>
              <w:right w:val="single" w:sz="4" w:space="0" w:color="AAAAAA"/>
            </w:tcBorders>
            <w:shd w:val="clear" w:color="auto" w:fill="F8F8F8"/>
          </w:tcPr>
          <w:p>
            <w:pPr>
              <w:pStyle w:val="TableParagraph"/>
              <w:spacing w:before="11"/>
              <w:rPr>
                <w:rFonts w:ascii="Cambria"/>
                <w:sz w:val="24"/>
              </w:rPr>
            </w:pPr>
          </w:p>
          <w:p>
            <w:pPr>
              <w:pStyle w:val="TableParagraph"/>
              <w:ind w:left="74" w:right="107"/>
              <w:jc w:val="center"/>
              <w:rPr>
                <w:sz w:val="18"/>
              </w:rPr>
            </w:pPr>
            <w:r>
              <w:rPr>
                <w:sz w:val="18"/>
              </w:rPr>
              <w:t>18:3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line="350" w:lineRule="auto" w:before="139"/>
              <w:ind w:left="91" w:right="765"/>
              <w:rPr>
                <w:sz w:val="18"/>
              </w:rPr>
            </w:pPr>
            <w:r>
              <w:rPr>
                <w:i/>
                <w:sz w:val="18"/>
              </w:rPr>
              <w:t>all</w:t>
            </w:r>
            <w:r>
              <w:rPr>
                <w:sz w:val="18"/>
              </w:rPr>
              <w:t>-</w:t>
            </w:r>
            <w:r>
              <w:rPr>
                <w:i/>
                <w:sz w:val="18"/>
              </w:rPr>
              <w:t>cis</w:t>
            </w:r>
            <w:r>
              <w:rPr>
                <w:sz w:val="18"/>
              </w:rPr>
              <w:t>-9,12,15- octadecatrienoic acid</w:t>
            </w:r>
          </w:p>
        </w:tc>
        <w:tc>
          <w:tcPr>
            <w:tcW w:w="2829" w:type="dxa"/>
            <w:tcBorders>
              <w:left w:val="single" w:sz="4" w:space="0" w:color="AAAAAA"/>
              <w:right w:val="nil"/>
            </w:tcBorders>
            <w:shd w:val="clear" w:color="auto" w:fill="F8F8F8"/>
          </w:tcPr>
          <w:p>
            <w:pPr>
              <w:pStyle w:val="TableParagraph"/>
              <w:spacing w:before="4" w:after="1"/>
              <w:rPr>
                <w:rFonts w:ascii="Cambria"/>
                <w:sz w:val="15"/>
              </w:rPr>
            </w:pPr>
          </w:p>
          <w:p>
            <w:pPr>
              <w:pStyle w:val="TableParagraph"/>
              <w:ind w:left="7"/>
              <w:rPr>
                <w:rFonts w:ascii="Cambria"/>
                <w:sz w:val="20"/>
              </w:rPr>
            </w:pPr>
            <w:r>
              <w:rPr>
                <w:rFonts w:ascii="Cambria"/>
                <w:sz w:val="20"/>
              </w:rPr>
              <w:drawing>
                <wp:inline distT="0" distB="0" distL="0" distR="0">
                  <wp:extent cx="1427208" cy="217170"/>
                  <wp:effectExtent l="0" t="0" r="0" b="0"/>
                  <wp:docPr id="43" name="image15.png" descr=""/>
                  <wp:cNvGraphicFramePr>
                    <a:graphicFrameLocks noChangeAspect="1"/>
                  </wp:cNvGraphicFramePr>
                  <a:graphic>
                    <a:graphicData uri="http://schemas.openxmlformats.org/drawingml/2006/picture">
                      <pic:pic>
                        <pic:nvPicPr>
                          <pic:cNvPr id="44" name="image15.png"/>
                          <pic:cNvPicPr/>
                        </pic:nvPicPr>
                        <pic:blipFill>
                          <a:blip r:embed="rId36" cstate="print"/>
                          <a:stretch>
                            <a:fillRect/>
                          </a:stretch>
                        </pic:blipFill>
                        <pic:spPr>
                          <a:xfrm>
                            <a:off x="0" y="0"/>
                            <a:ext cx="1427208" cy="217170"/>
                          </a:xfrm>
                          <a:prstGeom prst="rect">
                            <a:avLst/>
                          </a:prstGeom>
                        </pic:spPr>
                      </pic:pic>
                    </a:graphicData>
                  </a:graphic>
                </wp:inline>
              </w:drawing>
            </w:r>
            <w:r>
              <w:rPr>
                <w:rFonts w:ascii="Cambria"/>
                <w:sz w:val="20"/>
              </w:rPr>
            </w:r>
          </w:p>
          <w:p>
            <w:pPr>
              <w:pStyle w:val="TableParagraph"/>
              <w:spacing w:before="7"/>
              <w:rPr>
                <w:rFonts w:ascii="Cambria"/>
                <w:sz w:val="15"/>
              </w:rPr>
            </w:pPr>
          </w:p>
        </w:tc>
      </w:tr>
      <w:tr>
        <w:trPr>
          <w:trHeight w:val="793" w:hRule="exact"/>
        </w:trPr>
        <w:tc>
          <w:tcPr>
            <w:tcW w:w="2262" w:type="dxa"/>
            <w:tcBorders>
              <w:left w:val="nil"/>
              <w:right w:val="single" w:sz="4" w:space="0" w:color="AAAAAA"/>
            </w:tcBorders>
            <w:shd w:val="clear" w:color="auto" w:fill="F8F8F8"/>
          </w:tcPr>
          <w:p>
            <w:pPr>
              <w:pStyle w:val="TableParagraph"/>
              <w:rPr>
                <w:rFonts w:ascii="Cambria"/>
                <w:sz w:val="18"/>
              </w:rPr>
            </w:pPr>
          </w:p>
          <w:p>
            <w:pPr>
              <w:pStyle w:val="TableParagraph"/>
              <w:spacing w:before="116"/>
              <w:ind w:left="95"/>
              <w:rPr>
                <w:sz w:val="18"/>
              </w:rPr>
            </w:pPr>
            <w:hyperlink r:id="rId48">
              <w:r>
                <w:rPr>
                  <w:sz w:val="18"/>
                </w:rPr>
                <w:t>Stearidonic acid</w:t>
              </w:r>
            </w:hyperlink>
            <w:r>
              <w:rPr>
                <w:sz w:val="18"/>
              </w:rPr>
              <w:t> (SDA)</w:t>
            </w:r>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16"/>
              <w:ind w:left="74" w:right="107"/>
              <w:jc w:val="center"/>
              <w:rPr>
                <w:sz w:val="18"/>
              </w:rPr>
            </w:pPr>
            <w:r>
              <w:rPr>
                <w:sz w:val="18"/>
              </w:rPr>
              <w:t>18:4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2"/>
              <w:rPr>
                <w:rFonts w:ascii="Cambria"/>
                <w:sz w:val="15"/>
              </w:rPr>
            </w:pPr>
          </w:p>
          <w:p>
            <w:pPr>
              <w:pStyle w:val="TableParagraph"/>
              <w:spacing w:line="350" w:lineRule="auto"/>
              <w:ind w:left="91" w:right="606"/>
              <w:rPr>
                <w:sz w:val="18"/>
              </w:rPr>
            </w:pPr>
            <w:r>
              <w:rPr>
                <w:i/>
                <w:sz w:val="18"/>
              </w:rPr>
              <w:t>all</w:t>
            </w:r>
            <w:r>
              <w:rPr>
                <w:sz w:val="18"/>
              </w:rPr>
              <w:t>-</w:t>
            </w:r>
            <w:r>
              <w:rPr>
                <w:i/>
                <w:sz w:val="18"/>
              </w:rPr>
              <w:t>cis</w:t>
            </w:r>
            <w:r>
              <w:rPr>
                <w:sz w:val="18"/>
              </w:rPr>
              <w:t>-6,9,12,15- octadecatetraenoic acid</w:t>
            </w:r>
          </w:p>
        </w:tc>
        <w:tc>
          <w:tcPr>
            <w:tcW w:w="2829" w:type="dxa"/>
            <w:tcBorders>
              <w:left w:val="single" w:sz="4" w:space="0" w:color="AAAAAA"/>
              <w:right w:val="nil"/>
            </w:tcBorders>
            <w:shd w:val="clear" w:color="auto" w:fill="F8F8F8"/>
          </w:tcPr>
          <w:p>
            <w:pPr>
              <w:pStyle w:val="TableParagraph"/>
              <w:spacing w:before="11"/>
              <w:rPr>
                <w:rFonts w:ascii="Cambria"/>
                <w:sz w:val="3"/>
              </w:rPr>
            </w:pPr>
          </w:p>
          <w:p>
            <w:pPr>
              <w:pStyle w:val="TableParagraph"/>
              <w:ind w:left="7"/>
              <w:rPr>
                <w:rFonts w:ascii="Cambria"/>
                <w:sz w:val="20"/>
              </w:rPr>
            </w:pPr>
            <w:r>
              <w:rPr>
                <w:rFonts w:ascii="Cambria"/>
                <w:sz w:val="20"/>
              </w:rPr>
              <w:drawing>
                <wp:inline distT="0" distB="0" distL="0" distR="0">
                  <wp:extent cx="1322114" cy="428625"/>
                  <wp:effectExtent l="0" t="0" r="0" b="0"/>
                  <wp:docPr id="45" name="image21.png" descr=""/>
                  <wp:cNvGraphicFramePr>
                    <a:graphicFrameLocks noChangeAspect="1"/>
                  </wp:cNvGraphicFramePr>
                  <a:graphic>
                    <a:graphicData uri="http://schemas.openxmlformats.org/drawingml/2006/picture">
                      <pic:pic>
                        <pic:nvPicPr>
                          <pic:cNvPr id="46" name="image21.png"/>
                          <pic:cNvPicPr/>
                        </pic:nvPicPr>
                        <pic:blipFill>
                          <a:blip r:embed="rId49" cstate="print"/>
                          <a:stretch>
                            <a:fillRect/>
                          </a:stretch>
                        </pic:blipFill>
                        <pic:spPr>
                          <a:xfrm>
                            <a:off x="0" y="0"/>
                            <a:ext cx="1322114" cy="428625"/>
                          </a:xfrm>
                          <a:prstGeom prst="rect">
                            <a:avLst/>
                          </a:prstGeom>
                        </pic:spPr>
                      </pic:pic>
                    </a:graphicData>
                  </a:graphic>
                </wp:inline>
              </w:drawing>
            </w:r>
            <w:r>
              <w:rPr>
                <w:rFonts w:ascii="Cambria"/>
                <w:sz w:val="20"/>
              </w:rPr>
            </w:r>
          </w:p>
        </w:tc>
      </w:tr>
      <w:tr>
        <w:trPr>
          <w:trHeight w:val="850" w:hRule="exact"/>
        </w:trPr>
        <w:tc>
          <w:tcPr>
            <w:tcW w:w="2262" w:type="dxa"/>
            <w:tcBorders>
              <w:left w:val="nil"/>
              <w:right w:val="single" w:sz="4" w:space="0" w:color="AAAAAA"/>
            </w:tcBorders>
            <w:shd w:val="clear" w:color="auto" w:fill="F8F8F8"/>
          </w:tcPr>
          <w:p>
            <w:pPr>
              <w:pStyle w:val="TableParagraph"/>
              <w:rPr>
                <w:rFonts w:ascii="Cambria"/>
                <w:sz w:val="18"/>
              </w:rPr>
            </w:pPr>
          </w:p>
          <w:p>
            <w:pPr>
              <w:pStyle w:val="TableParagraph"/>
              <w:spacing w:before="149"/>
              <w:ind w:left="95"/>
              <w:rPr>
                <w:sz w:val="18"/>
              </w:rPr>
            </w:pPr>
            <w:hyperlink r:id="rId50">
              <w:r>
                <w:rPr>
                  <w:sz w:val="18"/>
                </w:rPr>
                <w:t>Eicosatrienoic acid</w:t>
              </w:r>
            </w:hyperlink>
            <w:r>
              <w:rPr>
                <w:sz w:val="18"/>
              </w:rPr>
              <w:t> (ETE)</w:t>
            </w:r>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49"/>
              <w:ind w:left="74" w:right="107"/>
              <w:jc w:val="center"/>
              <w:rPr>
                <w:sz w:val="18"/>
              </w:rPr>
            </w:pPr>
            <w:r>
              <w:rPr>
                <w:sz w:val="18"/>
              </w:rPr>
              <w:t>20:3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7"/>
              <w:rPr>
                <w:rFonts w:ascii="Cambria"/>
                <w:sz w:val="17"/>
              </w:rPr>
            </w:pPr>
          </w:p>
          <w:p>
            <w:pPr>
              <w:pStyle w:val="TableParagraph"/>
              <w:spacing w:line="350" w:lineRule="auto"/>
              <w:ind w:left="91" w:right="90"/>
              <w:rPr>
                <w:sz w:val="18"/>
              </w:rPr>
            </w:pPr>
            <w:r>
              <w:rPr>
                <w:i/>
                <w:sz w:val="18"/>
              </w:rPr>
              <w:t>all</w:t>
            </w:r>
            <w:r>
              <w:rPr>
                <w:sz w:val="18"/>
              </w:rPr>
              <w:t>-</w:t>
            </w:r>
            <w:r>
              <w:rPr>
                <w:i/>
                <w:sz w:val="18"/>
              </w:rPr>
              <w:t>cis</w:t>
            </w:r>
            <w:r>
              <w:rPr>
                <w:sz w:val="18"/>
              </w:rPr>
              <w:t>-11,14,17-eicosatrienoic acid</w:t>
            </w:r>
          </w:p>
        </w:tc>
        <w:tc>
          <w:tcPr>
            <w:tcW w:w="2829" w:type="dxa"/>
            <w:tcBorders>
              <w:left w:val="single" w:sz="4" w:space="0" w:color="AAAAAA"/>
              <w:right w:val="nil"/>
            </w:tcBorders>
            <w:shd w:val="clear" w:color="auto" w:fill="F8F8F8"/>
          </w:tcPr>
          <w:p>
            <w:pPr>
              <w:pStyle w:val="TableParagraph"/>
              <w:spacing w:before="5"/>
              <w:rPr>
                <w:rFonts w:ascii="Cambria"/>
                <w:sz w:val="3"/>
              </w:rPr>
            </w:pPr>
          </w:p>
          <w:p>
            <w:pPr>
              <w:pStyle w:val="TableParagraph"/>
              <w:ind w:left="7"/>
              <w:rPr>
                <w:rFonts w:ascii="Cambria"/>
                <w:sz w:val="20"/>
              </w:rPr>
            </w:pPr>
            <w:r>
              <w:rPr>
                <w:rFonts w:ascii="Cambria"/>
                <w:sz w:val="20"/>
              </w:rPr>
              <w:drawing>
                <wp:inline distT="0" distB="0" distL="0" distR="0">
                  <wp:extent cx="1288698" cy="485775"/>
                  <wp:effectExtent l="0" t="0" r="0" b="0"/>
                  <wp:docPr id="47" name="image22.png" descr=""/>
                  <wp:cNvGraphicFramePr>
                    <a:graphicFrameLocks noChangeAspect="1"/>
                  </wp:cNvGraphicFramePr>
                  <a:graphic>
                    <a:graphicData uri="http://schemas.openxmlformats.org/drawingml/2006/picture">
                      <pic:pic>
                        <pic:nvPicPr>
                          <pic:cNvPr id="48" name="image22.png"/>
                          <pic:cNvPicPr/>
                        </pic:nvPicPr>
                        <pic:blipFill>
                          <a:blip r:embed="rId51" cstate="print"/>
                          <a:stretch>
                            <a:fillRect/>
                          </a:stretch>
                        </pic:blipFill>
                        <pic:spPr>
                          <a:xfrm>
                            <a:off x="0" y="0"/>
                            <a:ext cx="1288698" cy="485775"/>
                          </a:xfrm>
                          <a:prstGeom prst="rect">
                            <a:avLst/>
                          </a:prstGeom>
                        </pic:spPr>
                      </pic:pic>
                    </a:graphicData>
                  </a:graphic>
                </wp:inline>
              </w:drawing>
            </w:r>
            <w:r>
              <w:rPr>
                <w:rFonts w:ascii="Cambria"/>
                <w:sz w:val="20"/>
              </w:rPr>
            </w:r>
          </w:p>
        </w:tc>
      </w:tr>
      <w:tr>
        <w:trPr>
          <w:trHeight w:val="716" w:hRule="exact"/>
        </w:trPr>
        <w:tc>
          <w:tcPr>
            <w:tcW w:w="2262" w:type="dxa"/>
            <w:tcBorders>
              <w:left w:val="nil"/>
              <w:right w:val="single" w:sz="4" w:space="0" w:color="AAAAAA"/>
            </w:tcBorders>
            <w:shd w:val="clear" w:color="auto" w:fill="F8F8F8"/>
          </w:tcPr>
          <w:p>
            <w:pPr>
              <w:pStyle w:val="TableParagraph"/>
              <w:spacing w:line="355" w:lineRule="auto" w:before="139"/>
              <w:ind w:left="95" w:right="537"/>
              <w:rPr>
                <w:sz w:val="18"/>
              </w:rPr>
            </w:pPr>
            <w:hyperlink r:id="rId40">
              <w:r>
                <w:rPr>
                  <w:sz w:val="18"/>
                </w:rPr>
                <w:t>Eicosapentaenoic acid</w:t>
              </w:r>
            </w:hyperlink>
            <w:r>
              <w:rPr>
                <w:sz w:val="18"/>
              </w:rPr>
              <w:t> (EPA)</w:t>
            </w:r>
          </w:p>
        </w:tc>
        <w:tc>
          <w:tcPr>
            <w:tcW w:w="994" w:type="dxa"/>
            <w:tcBorders>
              <w:left w:val="single" w:sz="4" w:space="0" w:color="AAAAAA"/>
              <w:right w:val="single" w:sz="4" w:space="0" w:color="AAAAAA"/>
            </w:tcBorders>
            <w:shd w:val="clear" w:color="auto" w:fill="F8F8F8"/>
          </w:tcPr>
          <w:p>
            <w:pPr>
              <w:pStyle w:val="TableParagraph"/>
              <w:rPr>
                <w:rFonts w:ascii="Cambria"/>
                <w:sz w:val="25"/>
              </w:rPr>
            </w:pPr>
          </w:p>
          <w:p>
            <w:pPr>
              <w:pStyle w:val="TableParagraph"/>
              <w:ind w:left="74" w:right="107"/>
              <w:jc w:val="center"/>
              <w:rPr>
                <w:sz w:val="18"/>
              </w:rPr>
            </w:pPr>
            <w:r>
              <w:rPr>
                <w:sz w:val="18"/>
              </w:rPr>
              <w:t>20:5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139"/>
              <w:ind w:left="91" w:right="725"/>
              <w:rPr>
                <w:sz w:val="18"/>
              </w:rPr>
            </w:pPr>
            <w:r>
              <w:rPr>
                <w:i/>
                <w:sz w:val="18"/>
              </w:rPr>
              <w:t>all</w:t>
            </w:r>
            <w:r>
              <w:rPr>
                <w:sz w:val="18"/>
              </w:rPr>
              <w:t>-</w:t>
            </w:r>
            <w:r>
              <w:rPr>
                <w:i/>
                <w:sz w:val="18"/>
              </w:rPr>
              <w:t>cis</w:t>
            </w:r>
            <w:r>
              <w:rPr>
                <w:sz w:val="18"/>
              </w:rPr>
              <w:t>-5,8,11,14,17-</w:t>
            </w:r>
          </w:p>
          <w:p>
            <w:pPr>
              <w:pStyle w:val="TableParagraph"/>
              <w:spacing w:before="100"/>
              <w:ind w:left="91" w:right="606"/>
              <w:rPr>
                <w:sz w:val="18"/>
              </w:rPr>
            </w:pPr>
            <w:r>
              <w:rPr>
                <w:sz w:val="18"/>
              </w:rPr>
              <w:t>eicosapentaenoic acid</w:t>
            </w:r>
          </w:p>
        </w:tc>
        <w:tc>
          <w:tcPr>
            <w:tcW w:w="2829" w:type="dxa"/>
            <w:tcBorders>
              <w:left w:val="single" w:sz="4" w:space="0" w:color="AAAAAA"/>
              <w:right w:val="nil"/>
            </w:tcBorders>
            <w:shd w:val="clear" w:color="auto" w:fill="F8F8F8"/>
          </w:tcPr>
          <w:p>
            <w:pPr>
              <w:pStyle w:val="TableParagraph"/>
              <w:spacing w:before="5"/>
              <w:rPr>
                <w:rFonts w:ascii="Cambria"/>
                <w:sz w:val="17"/>
              </w:rPr>
            </w:pPr>
          </w:p>
          <w:p>
            <w:pPr>
              <w:pStyle w:val="TableParagraph"/>
              <w:ind w:left="7"/>
              <w:rPr>
                <w:rFonts w:ascii="Cambria"/>
                <w:sz w:val="20"/>
              </w:rPr>
            </w:pPr>
            <w:r>
              <w:rPr>
                <w:rFonts w:ascii="Cambria"/>
                <w:sz w:val="20"/>
              </w:rPr>
              <w:drawing>
                <wp:inline distT="0" distB="0" distL="0" distR="0">
                  <wp:extent cx="1559112" cy="191357"/>
                  <wp:effectExtent l="0" t="0" r="0" b="0"/>
                  <wp:docPr id="49" name="image23.png" descr=""/>
                  <wp:cNvGraphicFramePr>
                    <a:graphicFrameLocks noChangeAspect="1"/>
                  </wp:cNvGraphicFramePr>
                  <a:graphic>
                    <a:graphicData uri="http://schemas.openxmlformats.org/drawingml/2006/picture">
                      <pic:pic>
                        <pic:nvPicPr>
                          <pic:cNvPr id="50" name="image23.png"/>
                          <pic:cNvPicPr/>
                        </pic:nvPicPr>
                        <pic:blipFill>
                          <a:blip r:embed="rId52" cstate="print"/>
                          <a:stretch>
                            <a:fillRect/>
                          </a:stretch>
                        </pic:blipFill>
                        <pic:spPr>
                          <a:xfrm>
                            <a:off x="0" y="0"/>
                            <a:ext cx="1559112" cy="191357"/>
                          </a:xfrm>
                          <a:prstGeom prst="rect">
                            <a:avLst/>
                          </a:prstGeom>
                        </pic:spPr>
                      </pic:pic>
                    </a:graphicData>
                  </a:graphic>
                </wp:inline>
              </w:drawing>
            </w:r>
            <w:r>
              <w:rPr>
                <w:rFonts w:ascii="Cambria"/>
                <w:sz w:val="20"/>
              </w:rPr>
            </w:r>
          </w:p>
          <w:p>
            <w:pPr>
              <w:pStyle w:val="TableParagraph"/>
              <w:rPr>
                <w:rFonts w:ascii="Cambria"/>
                <w:sz w:val="17"/>
              </w:rPr>
            </w:pPr>
          </w:p>
        </w:tc>
      </w:tr>
      <w:tr>
        <w:trPr>
          <w:trHeight w:val="845" w:hRule="exact"/>
        </w:trPr>
        <w:tc>
          <w:tcPr>
            <w:tcW w:w="2262" w:type="dxa"/>
            <w:tcBorders>
              <w:left w:val="nil"/>
              <w:right w:val="single" w:sz="4" w:space="0" w:color="AAAAAA"/>
            </w:tcBorders>
            <w:shd w:val="clear" w:color="auto" w:fill="F8F8F8"/>
          </w:tcPr>
          <w:p>
            <w:pPr>
              <w:pStyle w:val="TableParagraph"/>
              <w:spacing w:before="7"/>
              <w:rPr>
                <w:rFonts w:ascii="Cambria"/>
                <w:sz w:val="17"/>
              </w:rPr>
            </w:pPr>
          </w:p>
          <w:p>
            <w:pPr>
              <w:pStyle w:val="TableParagraph"/>
              <w:spacing w:line="350" w:lineRule="auto"/>
              <w:ind w:left="95" w:right="267"/>
              <w:rPr>
                <w:sz w:val="18"/>
              </w:rPr>
            </w:pPr>
            <w:hyperlink r:id="rId53">
              <w:r>
                <w:rPr>
                  <w:sz w:val="18"/>
                </w:rPr>
                <w:t>Heneicosapentaenoic acid</w:t>
              </w:r>
            </w:hyperlink>
            <w:r>
              <w:rPr>
                <w:sz w:val="18"/>
              </w:rPr>
              <w:t> (HPA)</w:t>
            </w:r>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49"/>
              <w:ind w:left="74" w:right="107"/>
              <w:jc w:val="center"/>
              <w:rPr>
                <w:sz w:val="18"/>
              </w:rPr>
            </w:pPr>
            <w:r>
              <w:rPr>
                <w:sz w:val="18"/>
              </w:rPr>
              <w:t>21:5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7"/>
              <w:rPr>
                <w:rFonts w:ascii="Cambria"/>
                <w:sz w:val="17"/>
              </w:rPr>
            </w:pPr>
          </w:p>
          <w:p>
            <w:pPr>
              <w:pStyle w:val="TableParagraph"/>
              <w:ind w:left="91" w:right="725"/>
              <w:rPr>
                <w:sz w:val="18"/>
              </w:rPr>
            </w:pPr>
            <w:r>
              <w:rPr>
                <w:i/>
                <w:sz w:val="18"/>
              </w:rPr>
              <w:t>all-cis</w:t>
            </w:r>
            <w:r>
              <w:rPr>
                <w:sz w:val="18"/>
              </w:rPr>
              <w:t>-6,9,12,15,18-</w:t>
            </w:r>
          </w:p>
          <w:p>
            <w:pPr>
              <w:pStyle w:val="TableParagraph"/>
              <w:spacing w:before="95"/>
              <w:ind w:left="91" w:right="90"/>
              <w:rPr>
                <w:sz w:val="18"/>
              </w:rPr>
            </w:pPr>
            <w:r>
              <w:rPr>
                <w:sz w:val="18"/>
              </w:rPr>
              <w:t>heneicosapentaenoic acid</w:t>
            </w:r>
          </w:p>
        </w:tc>
        <w:tc>
          <w:tcPr>
            <w:tcW w:w="2829" w:type="dxa"/>
            <w:tcBorders>
              <w:left w:val="single" w:sz="4" w:space="0" w:color="AAAAAA"/>
              <w:right w:val="nil"/>
            </w:tcBorders>
            <w:shd w:val="clear" w:color="auto" w:fill="F8F8F8"/>
          </w:tcPr>
          <w:p>
            <w:pPr>
              <w:pStyle w:val="TableParagraph"/>
              <w:spacing w:before="10"/>
              <w:rPr>
                <w:rFonts w:ascii="Cambria"/>
                <w:sz w:val="3"/>
              </w:rPr>
            </w:pPr>
          </w:p>
          <w:p>
            <w:pPr>
              <w:pStyle w:val="TableParagraph"/>
              <w:ind w:left="7"/>
              <w:rPr>
                <w:rFonts w:ascii="Cambria"/>
                <w:sz w:val="20"/>
              </w:rPr>
            </w:pPr>
            <w:r>
              <w:rPr>
                <w:rFonts w:ascii="Cambria"/>
                <w:sz w:val="20"/>
              </w:rPr>
              <w:drawing>
                <wp:inline distT="0" distB="0" distL="0" distR="0">
                  <wp:extent cx="1389541" cy="457200"/>
                  <wp:effectExtent l="0" t="0" r="0" b="0"/>
                  <wp:docPr id="51" name="image24.png" descr=""/>
                  <wp:cNvGraphicFramePr>
                    <a:graphicFrameLocks noChangeAspect="1"/>
                  </wp:cNvGraphicFramePr>
                  <a:graphic>
                    <a:graphicData uri="http://schemas.openxmlformats.org/drawingml/2006/picture">
                      <pic:pic>
                        <pic:nvPicPr>
                          <pic:cNvPr id="52" name="image24.png"/>
                          <pic:cNvPicPr/>
                        </pic:nvPicPr>
                        <pic:blipFill>
                          <a:blip r:embed="rId54" cstate="print"/>
                          <a:stretch>
                            <a:fillRect/>
                          </a:stretch>
                        </pic:blipFill>
                        <pic:spPr>
                          <a:xfrm>
                            <a:off x="0" y="0"/>
                            <a:ext cx="1389541" cy="457200"/>
                          </a:xfrm>
                          <a:prstGeom prst="rect">
                            <a:avLst/>
                          </a:prstGeom>
                        </pic:spPr>
                      </pic:pic>
                    </a:graphicData>
                  </a:graphic>
                </wp:inline>
              </w:drawing>
            </w:r>
            <w:r>
              <w:rPr>
                <w:rFonts w:ascii="Cambria"/>
                <w:sz w:val="20"/>
              </w:rPr>
            </w:r>
          </w:p>
        </w:tc>
      </w:tr>
      <w:tr>
        <w:trPr>
          <w:trHeight w:val="716" w:hRule="exact"/>
        </w:trPr>
        <w:tc>
          <w:tcPr>
            <w:tcW w:w="2262" w:type="dxa"/>
            <w:tcBorders>
              <w:left w:val="nil"/>
              <w:right w:val="single" w:sz="4" w:space="0" w:color="AAAAAA"/>
            </w:tcBorders>
            <w:shd w:val="clear" w:color="auto" w:fill="F8F8F8"/>
          </w:tcPr>
          <w:p>
            <w:pPr>
              <w:pStyle w:val="TableParagraph"/>
              <w:spacing w:line="357" w:lineRule="auto" w:before="139"/>
              <w:ind w:left="95" w:right="477"/>
              <w:rPr>
                <w:sz w:val="18"/>
              </w:rPr>
            </w:pPr>
            <w:hyperlink r:id="rId55">
              <w:r>
                <w:rPr>
                  <w:sz w:val="18"/>
                </w:rPr>
                <w:t>Docosapentaenoic acid</w:t>
              </w:r>
            </w:hyperlink>
            <w:r>
              <w:rPr>
                <w:sz w:val="18"/>
              </w:rPr>
              <w:t> (DPA)</w:t>
            </w:r>
          </w:p>
        </w:tc>
        <w:tc>
          <w:tcPr>
            <w:tcW w:w="994" w:type="dxa"/>
            <w:tcBorders>
              <w:left w:val="single" w:sz="4" w:space="0" w:color="AAAAAA"/>
              <w:right w:val="single" w:sz="4" w:space="0" w:color="AAAAAA"/>
            </w:tcBorders>
            <w:shd w:val="clear" w:color="auto" w:fill="F8F8F8"/>
          </w:tcPr>
          <w:p>
            <w:pPr>
              <w:pStyle w:val="TableParagraph"/>
              <w:rPr>
                <w:rFonts w:ascii="Cambria"/>
                <w:sz w:val="25"/>
              </w:rPr>
            </w:pPr>
          </w:p>
          <w:p>
            <w:pPr>
              <w:pStyle w:val="TableParagraph"/>
              <w:ind w:left="74" w:right="107"/>
              <w:jc w:val="center"/>
              <w:rPr>
                <w:sz w:val="18"/>
              </w:rPr>
            </w:pPr>
            <w:r>
              <w:rPr>
                <w:sz w:val="18"/>
              </w:rPr>
              <w:t>22:5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139"/>
              <w:ind w:left="91" w:right="606"/>
              <w:rPr>
                <w:sz w:val="18"/>
              </w:rPr>
            </w:pPr>
            <w:r>
              <w:rPr>
                <w:i/>
                <w:sz w:val="18"/>
              </w:rPr>
              <w:t>all</w:t>
            </w:r>
            <w:r>
              <w:rPr>
                <w:sz w:val="18"/>
              </w:rPr>
              <w:t>-</w:t>
            </w:r>
            <w:r>
              <w:rPr>
                <w:i/>
                <w:sz w:val="18"/>
              </w:rPr>
              <w:t>cis</w:t>
            </w:r>
            <w:r>
              <w:rPr>
                <w:sz w:val="18"/>
              </w:rPr>
              <w:t>-7,10,13,16,19-</w:t>
            </w:r>
          </w:p>
          <w:p>
            <w:pPr>
              <w:pStyle w:val="TableParagraph"/>
              <w:spacing w:before="100"/>
              <w:ind w:left="91" w:right="606"/>
              <w:rPr>
                <w:sz w:val="18"/>
              </w:rPr>
            </w:pPr>
            <w:r>
              <w:rPr>
                <w:sz w:val="18"/>
              </w:rPr>
              <w:t>docosapentaenoic acid</w:t>
            </w:r>
          </w:p>
        </w:tc>
        <w:tc>
          <w:tcPr>
            <w:tcW w:w="2829" w:type="dxa"/>
            <w:tcBorders>
              <w:left w:val="single" w:sz="4" w:space="0" w:color="AAAAAA"/>
              <w:right w:val="nil"/>
            </w:tcBorders>
            <w:shd w:val="clear" w:color="auto" w:fill="F8F8F8"/>
          </w:tcPr>
          <w:p>
            <w:pPr>
              <w:pStyle w:val="TableParagraph"/>
              <w:spacing w:before="9"/>
              <w:rPr>
                <w:rFonts w:ascii="Cambria"/>
                <w:sz w:val="15"/>
              </w:rPr>
            </w:pPr>
          </w:p>
          <w:p>
            <w:pPr>
              <w:pStyle w:val="TableParagraph"/>
              <w:ind w:left="7"/>
              <w:rPr>
                <w:rFonts w:ascii="Cambria"/>
                <w:sz w:val="20"/>
              </w:rPr>
            </w:pPr>
            <w:r>
              <w:rPr>
                <w:rFonts w:ascii="Cambria"/>
                <w:sz w:val="20"/>
              </w:rPr>
              <w:drawing>
                <wp:inline distT="0" distB="0" distL="0" distR="0">
                  <wp:extent cx="1645018" cy="210883"/>
                  <wp:effectExtent l="0" t="0" r="0" b="0"/>
                  <wp:docPr id="53" name="image25.png" descr=""/>
                  <wp:cNvGraphicFramePr>
                    <a:graphicFrameLocks noChangeAspect="1"/>
                  </wp:cNvGraphicFramePr>
                  <a:graphic>
                    <a:graphicData uri="http://schemas.openxmlformats.org/drawingml/2006/picture">
                      <pic:pic>
                        <pic:nvPicPr>
                          <pic:cNvPr id="54" name="image25.png"/>
                          <pic:cNvPicPr/>
                        </pic:nvPicPr>
                        <pic:blipFill>
                          <a:blip r:embed="rId56" cstate="print"/>
                          <a:stretch>
                            <a:fillRect/>
                          </a:stretch>
                        </pic:blipFill>
                        <pic:spPr>
                          <a:xfrm>
                            <a:off x="0" y="0"/>
                            <a:ext cx="1645018" cy="210883"/>
                          </a:xfrm>
                          <a:prstGeom prst="rect">
                            <a:avLst/>
                          </a:prstGeom>
                        </pic:spPr>
                      </pic:pic>
                    </a:graphicData>
                  </a:graphic>
                </wp:inline>
              </w:drawing>
            </w:r>
            <w:r>
              <w:rPr>
                <w:rFonts w:ascii="Cambria"/>
                <w:sz w:val="20"/>
              </w:rPr>
            </w:r>
          </w:p>
          <w:p>
            <w:pPr>
              <w:pStyle w:val="TableParagraph"/>
              <w:rPr>
                <w:rFonts w:ascii="Cambria"/>
                <w:sz w:val="16"/>
              </w:rPr>
            </w:pPr>
          </w:p>
        </w:tc>
      </w:tr>
      <w:tr>
        <w:trPr>
          <w:trHeight w:val="874" w:hRule="exact"/>
        </w:trPr>
        <w:tc>
          <w:tcPr>
            <w:tcW w:w="2262" w:type="dxa"/>
            <w:tcBorders>
              <w:left w:val="nil"/>
              <w:right w:val="single" w:sz="4" w:space="0" w:color="AAAAAA"/>
            </w:tcBorders>
            <w:shd w:val="clear" w:color="auto" w:fill="F8F8F8"/>
          </w:tcPr>
          <w:p>
            <w:pPr>
              <w:pStyle w:val="TableParagraph"/>
              <w:spacing w:before="9"/>
              <w:rPr>
                <w:rFonts w:ascii="Cambria"/>
                <w:sz w:val="18"/>
              </w:rPr>
            </w:pPr>
          </w:p>
          <w:p>
            <w:pPr>
              <w:pStyle w:val="TableParagraph"/>
              <w:spacing w:line="350" w:lineRule="auto"/>
              <w:ind w:left="95" w:right="527"/>
              <w:rPr>
                <w:sz w:val="18"/>
              </w:rPr>
            </w:pPr>
            <w:hyperlink r:id="rId44">
              <w:r>
                <w:rPr>
                  <w:sz w:val="18"/>
                </w:rPr>
                <w:t>Docosahexaenoic acid</w:t>
              </w:r>
            </w:hyperlink>
            <w:r>
              <w:rPr>
                <w:sz w:val="18"/>
              </w:rPr>
              <w:t> (DHA)</w:t>
            </w:r>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0"/>
              <w:rPr>
                <w:rFonts w:ascii="Cambria"/>
                <w:sz w:val="13"/>
              </w:rPr>
            </w:pPr>
          </w:p>
          <w:p>
            <w:pPr>
              <w:pStyle w:val="TableParagraph"/>
              <w:spacing w:before="1"/>
              <w:ind w:left="74" w:right="107"/>
              <w:jc w:val="center"/>
              <w:rPr>
                <w:sz w:val="18"/>
              </w:rPr>
            </w:pPr>
            <w:r>
              <w:rPr>
                <w:sz w:val="18"/>
              </w:rPr>
              <w:t>22:6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9"/>
              <w:rPr>
                <w:rFonts w:ascii="Cambria"/>
                <w:sz w:val="18"/>
              </w:rPr>
            </w:pPr>
          </w:p>
          <w:p>
            <w:pPr>
              <w:pStyle w:val="TableParagraph"/>
              <w:ind w:left="91" w:right="90"/>
              <w:rPr>
                <w:sz w:val="18"/>
              </w:rPr>
            </w:pPr>
            <w:r>
              <w:rPr>
                <w:i/>
                <w:sz w:val="18"/>
              </w:rPr>
              <w:t>all</w:t>
            </w:r>
            <w:r>
              <w:rPr>
                <w:sz w:val="18"/>
              </w:rPr>
              <w:t>-</w:t>
            </w:r>
            <w:r>
              <w:rPr>
                <w:i/>
                <w:sz w:val="18"/>
              </w:rPr>
              <w:t>cis</w:t>
            </w:r>
            <w:r>
              <w:rPr>
                <w:sz w:val="18"/>
              </w:rPr>
              <w:t>-4,7,10,13,16,19-</w:t>
            </w:r>
          </w:p>
          <w:p>
            <w:pPr>
              <w:pStyle w:val="TableParagraph"/>
              <w:spacing w:before="95"/>
              <w:ind w:left="91" w:right="606"/>
              <w:rPr>
                <w:sz w:val="18"/>
              </w:rPr>
            </w:pPr>
            <w:r>
              <w:rPr>
                <w:sz w:val="18"/>
              </w:rPr>
              <w:t>docosahexaenoic acid</w:t>
            </w:r>
          </w:p>
        </w:tc>
        <w:tc>
          <w:tcPr>
            <w:tcW w:w="2829" w:type="dxa"/>
            <w:tcBorders>
              <w:left w:val="single" w:sz="4" w:space="0" w:color="AAAAAA"/>
              <w:right w:val="nil"/>
            </w:tcBorders>
            <w:shd w:val="clear" w:color="auto" w:fill="F8F8F8"/>
          </w:tcPr>
          <w:p>
            <w:pPr>
              <w:pStyle w:val="TableParagraph"/>
              <w:spacing w:before="10"/>
              <w:rPr>
                <w:rFonts w:ascii="Cambria"/>
                <w:sz w:val="3"/>
              </w:rPr>
            </w:pPr>
          </w:p>
          <w:p>
            <w:pPr>
              <w:pStyle w:val="TableParagraph"/>
              <w:ind w:left="7"/>
              <w:rPr>
                <w:rFonts w:ascii="Cambria"/>
                <w:sz w:val="20"/>
              </w:rPr>
            </w:pPr>
            <w:r>
              <w:rPr>
                <w:rFonts w:ascii="Cambria"/>
                <w:sz w:val="20"/>
              </w:rPr>
              <w:drawing>
                <wp:inline distT="0" distB="0" distL="0" distR="0">
                  <wp:extent cx="1479979" cy="490347"/>
                  <wp:effectExtent l="0" t="0" r="0" b="0"/>
                  <wp:docPr id="55" name="image19.png" descr=""/>
                  <wp:cNvGraphicFramePr>
                    <a:graphicFrameLocks noChangeAspect="1"/>
                  </wp:cNvGraphicFramePr>
                  <a:graphic>
                    <a:graphicData uri="http://schemas.openxmlformats.org/drawingml/2006/picture">
                      <pic:pic>
                        <pic:nvPicPr>
                          <pic:cNvPr id="56" name="image19.png"/>
                          <pic:cNvPicPr/>
                        </pic:nvPicPr>
                        <pic:blipFill>
                          <a:blip r:embed="rId45" cstate="print"/>
                          <a:stretch>
                            <a:fillRect/>
                          </a:stretch>
                        </pic:blipFill>
                        <pic:spPr>
                          <a:xfrm>
                            <a:off x="0" y="0"/>
                            <a:ext cx="1479979" cy="490347"/>
                          </a:xfrm>
                          <a:prstGeom prst="rect">
                            <a:avLst/>
                          </a:prstGeom>
                        </pic:spPr>
                      </pic:pic>
                    </a:graphicData>
                  </a:graphic>
                </wp:inline>
              </w:drawing>
            </w:r>
            <w:r>
              <w:rPr>
                <w:rFonts w:ascii="Cambria"/>
                <w:sz w:val="20"/>
              </w:rPr>
            </w:r>
          </w:p>
        </w:tc>
      </w:tr>
      <w:tr>
        <w:trPr>
          <w:trHeight w:val="855" w:hRule="exact"/>
        </w:trPr>
        <w:tc>
          <w:tcPr>
            <w:tcW w:w="2262" w:type="dxa"/>
            <w:tcBorders>
              <w:left w:val="nil"/>
              <w:right w:val="single" w:sz="4" w:space="0" w:color="AAAAAA"/>
            </w:tcBorders>
            <w:shd w:val="clear" w:color="auto" w:fill="F8F8F8"/>
          </w:tcPr>
          <w:p>
            <w:pPr>
              <w:pStyle w:val="TableParagraph"/>
              <w:rPr>
                <w:rFonts w:ascii="Cambria"/>
                <w:sz w:val="18"/>
              </w:rPr>
            </w:pPr>
          </w:p>
          <w:p>
            <w:pPr>
              <w:pStyle w:val="TableParagraph"/>
              <w:spacing w:before="149"/>
              <w:ind w:left="95"/>
              <w:rPr>
                <w:sz w:val="18"/>
              </w:rPr>
            </w:pPr>
            <w:hyperlink r:id="rId57">
              <w:r>
                <w:rPr>
                  <w:sz w:val="18"/>
                </w:rPr>
                <w:t>Tetracosapentaenoic acid</w:t>
              </w:r>
            </w:hyperlink>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149"/>
              <w:ind w:left="74" w:right="107"/>
              <w:jc w:val="center"/>
              <w:rPr>
                <w:sz w:val="18"/>
              </w:rPr>
            </w:pPr>
            <w:r>
              <w:rPr>
                <w:sz w:val="18"/>
              </w:rPr>
              <w:t>24:5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7"/>
              <w:rPr>
                <w:rFonts w:ascii="Cambria"/>
                <w:sz w:val="17"/>
              </w:rPr>
            </w:pPr>
          </w:p>
          <w:p>
            <w:pPr>
              <w:pStyle w:val="TableParagraph"/>
              <w:ind w:left="91" w:right="606"/>
              <w:rPr>
                <w:sz w:val="18"/>
              </w:rPr>
            </w:pPr>
            <w:r>
              <w:rPr>
                <w:i/>
                <w:sz w:val="18"/>
              </w:rPr>
              <w:t>all</w:t>
            </w:r>
            <w:r>
              <w:rPr>
                <w:sz w:val="18"/>
              </w:rPr>
              <w:t>-</w:t>
            </w:r>
            <w:r>
              <w:rPr>
                <w:i/>
                <w:sz w:val="18"/>
              </w:rPr>
              <w:t>cis</w:t>
            </w:r>
            <w:r>
              <w:rPr>
                <w:sz w:val="18"/>
              </w:rPr>
              <w:t>-9,12,15,18,21-</w:t>
            </w:r>
          </w:p>
          <w:p>
            <w:pPr>
              <w:pStyle w:val="TableParagraph"/>
              <w:spacing w:before="101"/>
              <w:ind w:left="91" w:right="90"/>
              <w:rPr>
                <w:sz w:val="18"/>
              </w:rPr>
            </w:pPr>
            <w:r>
              <w:rPr>
                <w:sz w:val="18"/>
              </w:rPr>
              <w:t>tetracosapentaenoic acid</w:t>
            </w:r>
          </w:p>
        </w:tc>
        <w:tc>
          <w:tcPr>
            <w:tcW w:w="2829" w:type="dxa"/>
            <w:tcBorders>
              <w:left w:val="single" w:sz="4" w:space="0" w:color="AAAAAA"/>
              <w:right w:val="nil"/>
            </w:tcBorders>
            <w:shd w:val="clear" w:color="auto" w:fill="F8F8F8"/>
          </w:tcPr>
          <w:p>
            <w:pPr>
              <w:pStyle w:val="TableParagraph"/>
              <w:spacing w:before="9"/>
              <w:rPr>
                <w:rFonts w:ascii="Cambria"/>
                <w:sz w:val="3"/>
              </w:rPr>
            </w:pPr>
          </w:p>
          <w:p>
            <w:pPr>
              <w:pStyle w:val="TableParagraph"/>
              <w:ind w:left="7"/>
              <w:rPr>
                <w:rFonts w:ascii="Cambria"/>
                <w:sz w:val="20"/>
              </w:rPr>
            </w:pPr>
            <w:r>
              <w:rPr>
                <w:rFonts w:ascii="Cambria"/>
                <w:sz w:val="20"/>
              </w:rPr>
              <w:drawing>
                <wp:inline distT="0" distB="0" distL="0" distR="0">
                  <wp:extent cx="1304263" cy="485775"/>
                  <wp:effectExtent l="0" t="0" r="0" b="0"/>
                  <wp:docPr id="57" name="image26.png" descr=""/>
                  <wp:cNvGraphicFramePr>
                    <a:graphicFrameLocks noChangeAspect="1"/>
                  </wp:cNvGraphicFramePr>
                  <a:graphic>
                    <a:graphicData uri="http://schemas.openxmlformats.org/drawingml/2006/picture">
                      <pic:pic>
                        <pic:nvPicPr>
                          <pic:cNvPr id="58" name="image26.png"/>
                          <pic:cNvPicPr/>
                        </pic:nvPicPr>
                        <pic:blipFill>
                          <a:blip r:embed="rId58" cstate="print"/>
                          <a:stretch>
                            <a:fillRect/>
                          </a:stretch>
                        </pic:blipFill>
                        <pic:spPr>
                          <a:xfrm>
                            <a:off x="0" y="0"/>
                            <a:ext cx="1304263" cy="485775"/>
                          </a:xfrm>
                          <a:prstGeom prst="rect">
                            <a:avLst/>
                          </a:prstGeom>
                        </pic:spPr>
                      </pic:pic>
                    </a:graphicData>
                  </a:graphic>
                </wp:inline>
              </w:drawing>
            </w:r>
            <w:r>
              <w:rPr>
                <w:rFonts w:ascii="Cambria"/>
                <w:sz w:val="20"/>
              </w:rPr>
            </w:r>
          </w:p>
        </w:tc>
      </w:tr>
      <w:tr>
        <w:trPr>
          <w:trHeight w:val="888" w:hRule="exact"/>
        </w:trPr>
        <w:tc>
          <w:tcPr>
            <w:tcW w:w="2262" w:type="dxa"/>
            <w:tcBorders>
              <w:left w:val="nil"/>
              <w:right w:val="single" w:sz="4" w:space="0" w:color="AAAAAA"/>
            </w:tcBorders>
            <w:shd w:val="clear" w:color="auto" w:fill="F8F8F8"/>
          </w:tcPr>
          <w:p>
            <w:pPr>
              <w:pStyle w:val="TableParagraph"/>
              <w:spacing w:before="2"/>
              <w:rPr>
                <w:rFonts w:ascii="Cambria"/>
                <w:sz w:val="19"/>
              </w:rPr>
            </w:pPr>
          </w:p>
          <w:p>
            <w:pPr>
              <w:pStyle w:val="TableParagraph"/>
              <w:spacing w:line="350" w:lineRule="auto" w:before="1"/>
              <w:ind w:left="95" w:right="368"/>
              <w:rPr>
                <w:sz w:val="18"/>
              </w:rPr>
            </w:pPr>
            <w:hyperlink r:id="rId59">
              <w:r>
                <w:rPr>
                  <w:sz w:val="18"/>
                </w:rPr>
                <w:t>Tetracosahexaenoic acid</w:t>
              </w:r>
            </w:hyperlink>
            <w:r>
              <w:rPr>
                <w:sz w:val="18"/>
              </w:rPr>
              <w:t> (Nisinic acid)</w:t>
            </w:r>
          </w:p>
        </w:tc>
        <w:tc>
          <w:tcPr>
            <w:tcW w:w="994" w:type="dxa"/>
            <w:tcBorders>
              <w:left w:val="single" w:sz="4" w:space="0" w:color="AAAAAA"/>
              <w:right w:val="single" w:sz="4" w:space="0" w:color="AAAAAA"/>
            </w:tcBorders>
            <w:shd w:val="clear" w:color="auto" w:fill="F8F8F8"/>
          </w:tcPr>
          <w:p>
            <w:pPr>
              <w:pStyle w:val="TableParagraph"/>
              <w:rPr>
                <w:rFonts w:ascii="Cambria"/>
                <w:sz w:val="18"/>
              </w:rPr>
            </w:pPr>
          </w:p>
          <w:p>
            <w:pPr>
              <w:pStyle w:val="TableParagraph"/>
              <w:spacing w:before="4"/>
              <w:rPr>
                <w:rFonts w:ascii="Cambria"/>
                <w:sz w:val="14"/>
              </w:rPr>
            </w:pPr>
          </w:p>
          <w:p>
            <w:pPr>
              <w:pStyle w:val="TableParagraph"/>
              <w:ind w:left="74" w:right="107"/>
              <w:jc w:val="center"/>
              <w:rPr>
                <w:sz w:val="18"/>
              </w:rPr>
            </w:pPr>
            <w:r>
              <w:rPr>
                <w:sz w:val="18"/>
              </w:rPr>
              <w:t>24:6 (</w:t>
            </w:r>
            <w:r>
              <w:rPr>
                <w:i/>
                <w:sz w:val="18"/>
              </w:rPr>
              <w:t>ω</w:t>
            </w:r>
            <w:r>
              <w:rPr>
                <w:sz w:val="18"/>
              </w:rPr>
              <w:t>-3)</w:t>
            </w:r>
          </w:p>
        </w:tc>
        <w:tc>
          <w:tcPr>
            <w:tcW w:w="2410" w:type="dxa"/>
            <w:tcBorders>
              <w:left w:val="single" w:sz="4" w:space="0" w:color="AAAAAA"/>
              <w:right w:val="single" w:sz="4" w:space="0" w:color="AAAAAA"/>
            </w:tcBorders>
            <w:shd w:val="clear" w:color="auto" w:fill="F8F8F8"/>
          </w:tcPr>
          <w:p>
            <w:pPr>
              <w:pStyle w:val="TableParagraph"/>
              <w:spacing w:before="2"/>
              <w:rPr>
                <w:rFonts w:ascii="Cambria"/>
                <w:sz w:val="19"/>
              </w:rPr>
            </w:pPr>
          </w:p>
          <w:p>
            <w:pPr>
              <w:pStyle w:val="TableParagraph"/>
              <w:spacing w:before="1"/>
              <w:ind w:left="91" w:right="90"/>
              <w:rPr>
                <w:sz w:val="18"/>
              </w:rPr>
            </w:pPr>
            <w:r>
              <w:rPr>
                <w:i/>
                <w:sz w:val="18"/>
              </w:rPr>
              <w:t>all</w:t>
            </w:r>
            <w:r>
              <w:rPr>
                <w:sz w:val="18"/>
              </w:rPr>
              <w:t>-</w:t>
            </w:r>
            <w:r>
              <w:rPr>
                <w:i/>
                <w:sz w:val="18"/>
              </w:rPr>
              <w:t>cis</w:t>
            </w:r>
            <w:r>
              <w:rPr>
                <w:sz w:val="18"/>
              </w:rPr>
              <w:t>-6,9,12,15,18,21-</w:t>
            </w:r>
          </w:p>
          <w:p>
            <w:pPr>
              <w:pStyle w:val="TableParagraph"/>
              <w:spacing w:before="95"/>
              <w:ind w:left="91" w:right="90"/>
              <w:rPr>
                <w:sz w:val="18"/>
              </w:rPr>
            </w:pPr>
            <w:r>
              <w:rPr>
                <w:sz w:val="18"/>
              </w:rPr>
              <w:t>tetracosahexaenoic acid</w:t>
            </w:r>
          </w:p>
        </w:tc>
        <w:tc>
          <w:tcPr>
            <w:tcW w:w="2829" w:type="dxa"/>
            <w:tcBorders>
              <w:left w:val="single" w:sz="4" w:space="0" w:color="AAAAAA"/>
              <w:right w:val="nil"/>
            </w:tcBorders>
            <w:shd w:val="clear" w:color="auto" w:fill="F8F8F8"/>
          </w:tcPr>
          <w:p>
            <w:pPr>
              <w:pStyle w:val="TableParagraph"/>
              <w:spacing w:before="9"/>
              <w:rPr>
                <w:rFonts w:ascii="Cambria"/>
                <w:sz w:val="3"/>
              </w:rPr>
            </w:pPr>
          </w:p>
          <w:p>
            <w:pPr>
              <w:pStyle w:val="TableParagraph"/>
              <w:ind w:left="7"/>
              <w:rPr>
                <w:rFonts w:ascii="Cambria"/>
                <w:sz w:val="20"/>
              </w:rPr>
            </w:pPr>
            <w:r>
              <w:rPr>
                <w:rFonts w:ascii="Cambria"/>
                <w:sz w:val="20"/>
              </w:rPr>
              <w:drawing>
                <wp:inline distT="0" distB="0" distL="0" distR="0">
                  <wp:extent cx="1451734" cy="485775"/>
                  <wp:effectExtent l="0" t="0" r="0" b="0"/>
                  <wp:docPr id="59" name="image27.png" descr=""/>
                  <wp:cNvGraphicFramePr>
                    <a:graphicFrameLocks noChangeAspect="1"/>
                  </wp:cNvGraphicFramePr>
                  <a:graphic>
                    <a:graphicData uri="http://schemas.openxmlformats.org/drawingml/2006/picture">
                      <pic:pic>
                        <pic:nvPicPr>
                          <pic:cNvPr id="60" name="image27.png"/>
                          <pic:cNvPicPr/>
                        </pic:nvPicPr>
                        <pic:blipFill>
                          <a:blip r:embed="rId60" cstate="print"/>
                          <a:stretch>
                            <a:fillRect/>
                          </a:stretch>
                        </pic:blipFill>
                        <pic:spPr>
                          <a:xfrm>
                            <a:off x="0" y="0"/>
                            <a:ext cx="1451734" cy="485775"/>
                          </a:xfrm>
                          <a:prstGeom prst="rect">
                            <a:avLst/>
                          </a:prstGeom>
                        </pic:spPr>
                      </pic:pic>
                    </a:graphicData>
                  </a:graphic>
                </wp:inline>
              </w:drawing>
            </w:r>
            <w:r>
              <w:rPr>
                <w:rFonts w:ascii="Cambria"/>
                <w:sz w:val="20"/>
              </w:rPr>
            </w:r>
          </w:p>
        </w:tc>
      </w:tr>
    </w:tbl>
    <w:p>
      <w:pPr>
        <w:pStyle w:val="BodyText"/>
        <w:spacing w:before="4"/>
        <w:rPr>
          <w:sz w:val="17"/>
        </w:rPr>
      </w:pPr>
    </w:p>
    <w:p>
      <w:pPr>
        <w:pStyle w:val="ListParagraph"/>
        <w:numPr>
          <w:ilvl w:val="2"/>
          <w:numId w:val="2"/>
        </w:numPr>
        <w:tabs>
          <w:tab w:pos="765" w:val="left" w:leader="none"/>
        </w:tabs>
        <w:spacing w:line="240" w:lineRule="auto" w:before="76" w:after="0"/>
        <w:ind w:left="764" w:right="0" w:hanging="505"/>
        <w:jc w:val="left"/>
        <w:rPr>
          <w:rFonts w:ascii="Times New Roman" w:hAnsi="Times New Roman"/>
          <w:b/>
          <w:sz w:val="20"/>
        </w:rPr>
      </w:pPr>
      <w:r>
        <w:rPr>
          <w:rFonts w:ascii="Times New Roman" w:hAnsi="Times New Roman"/>
          <w:b/>
          <w:sz w:val="20"/>
        </w:rPr>
        <w:t>Ácidos grasos omega</w:t>
      </w:r>
      <w:r>
        <w:rPr>
          <w:rFonts w:ascii="Times New Roman" w:hAnsi="Times New Roman"/>
          <w:b/>
          <w:spacing w:val="-8"/>
          <w:sz w:val="20"/>
        </w:rPr>
        <w:t> </w:t>
      </w:r>
      <w:r>
        <w:rPr>
          <w:rFonts w:ascii="Times New Roman" w:hAnsi="Times New Roman"/>
          <w:b/>
          <w:sz w:val="20"/>
        </w:rPr>
        <w:t>6.</w:t>
      </w:r>
    </w:p>
    <w:p>
      <w:pPr>
        <w:pStyle w:val="BodyText"/>
        <w:spacing w:before="7"/>
        <w:rPr>
          <w:rFonts w:ascii="Times New Roman"/>
          <w:b/>
          <w:sz w:val="18"/>
        </w:rPr>
      </w:pPr>
    </w:p>
    <w:p>
      <w:pPr>
        <w:pStyle w:val="BodyText"/>
        <w:spacing w:line="360" w:lineRule="auto" w:before="66"/>
        <w:ind w:left="259" w:right="232" w:firstLine="283"/>
        <w:jc w:val="both"/>
      </w:pPr>
      <w:r>
        <w:rPr/>
        <w:t>Se han realizado investigaciones comparativas entre ω-3 (FA) y ω-6. La participación de los peroxisomas en el metabolismo de ácido graso, descrito inicialmente para los ácidos ω-3, ahora se ha demostrado también para el ω-6 FA</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43"/>
        <w:jc w:val="both"/>
      </w:pPr>
      <w:r>
        <w:rPr/>
        <w:t>(formación de 22 carbono insaturado Δ4 FA, formación de productos recién identificados de β-oxidación del ácido araquidónico, AA). Vías adicionales de conversión de AA, más allá de los eicosanoides clásicos, dan lugar a una serie de productos biológicamente activos, tales como los epóxidos, que participan en la modulación de las funciones vasculares, a través del sistema del citocromo P450, y para el AA-etanolamida, la anandamida, y ligando endógeno de los receptores de cannabinoides, a través de un proceso de fosfolipasa mediada.</w:t>
      </w:r>
    </w:p>
    <w:p>
      <w:pPr>
        <w:pStyle w:val="BodyText"/>
        <w:spacing w:before="4"/>
        <w:rPr>
          <w:sz w:val="23"/>
        </w:rPr>
      </w:pPr>
    </w:p>
    <w:p>
      <w:pPr>
        <w:pStyle w:val="BodyText"/>
        <w:spacing w:line="360" w:lineRule="auto"/>
        <w:ind w:left="259" w:right="239" w:firstLine="283"/>
        <w:jc w:val="both"/>
      </w:pPr>
      <w:r>
        <w:rPr/>
        <w:t>Como efectos funcionales de ω-6 FA, se ha observado que son reductores de lípidos, están presentes en recién nacidos, y en cooperación con ω-3 contribuyen directa o indirectamente a modular parámetros funcionales en el nivel celular, tales como la función del receptor, canales de iones, y la expresión génica. Desde un punto de vista nutricional, PUFA representa el componente biológicamente más activo de grasa de la dieta, y los ω-6 son cuantitativamente la fracción más relevante en nuestra dieta. Dado las diversas actividades de ω-6 y ω-3 PUFA, se recomienda un correcto  equilibrio entre los diversos ácidos grasos (Galli y Marangoni, 1997).</w:t>
      </w:r>
    </w:p>
    <w:p>
      <w:pPr>
        <w:pStyle w:val="BodyText"/>
        <w:spacing w:before="2"/>
        <w:rPr>
          <w:sz w:val="23"/>
        </w:rPr>
      </w:pPr>
    </w:p>
    <w:p>
      <w:pPr>
        <w:pStyle w:val="ListParagraph"/>
        <w:numPr>
          <w:ilvl w:val="2"/>
          <w:numId w:val="2"/>
        </w:numPr>
        <w:tabs>
          <w:tab w:pos="765" w:val="left" w:leader="none"/>
        </w:tabs>
        <w:spacing w:line="240" w:lineRule="auto" w:before="0" w:after="0"/>
        <w:ind w:left="764" w:right="0" w:hanging="505"/>
        <w:jc w:val="both"/>
        <w:rPr>
          <w:rFonts w:ascii="Times New Roman" w:hAnsi="Times New Roman"/>
          <w:b/>
          <w:sz w:val="20"/>
        </w:rPr>
      </w:pPr>
      <w:r>
        <w:rPr>
          <w:rFonts w:ascii="Times New Roman" w:hAnsi="Times New Roman"/>
          <w:b/>
          <w:sz w:val="20"/>
        </w:rPr>
        <w:t>Ácidos grasos omega</w:t>
      </w:r>
      <w:r>
        <w:rPr>
          <w:rFonts w:ascii="Times New Roman" w:hAnsi="Times New Roman"/>
          <w:b/>
          <w:spacing w:val="-8"/>
          <w:sz w:val="20"/>
        </w:rPr>
        <w:t> </w:t>
      </w:r>
      <w:r>
        <w:rPr>
          <w:rFonts w:ascii="Times New Roman" w:hAnsi="Times New Roman"/>
          <w:b/>
          <w:sz w:val="20"/>
        </w:rPr>
        <w:t>3/omega6.</w:t>
      </w:r>
    </w:p>
    <w:p>
      <w:pPr>
        <w:pStyle w:val="BodyText"/>
        <w:spacing w:before="9"/>
        <w:rPr>
          <w:rFonts w:ascii="Times New Roman"/>
          <w:b/>
        </w:rPr>
      </w:pPr>
    </w:p>
    <w:p>
      <w:pPr>
        <w:pStyle w:val="BodyText"/>
        <w:spacing w:line="360" w:lineRule="auto" w:before="1"/>
        <w:ind w:left="259" w:right="235" w:firstLine="283"/>
        <w:jc w:val="both"/>
      </w:pPr>
      <w:r>
        <w:rPr/>
        <w:t>La relación ω-6 / ω-3 juega un papel importante no sólo en la patogénesis de enfermedades cardiovasculares sino también en el cancer, en enfermedades inflamatorias y autoinmunes (Simopoulos, 2002, 2006; Simopoulos, 2008). Se considera que una alta relación ω-6 / ω-3 puede ser perjudicial para la salud humana, mientrás que un valor cercano a 1 es considerada protectora contra las patologías degenerativas (Simopoulos, 1999). Hess et al. (Hess et al., 2012) demostraron que la incorporación de ω-3 PUFAs en sangre de los animales y el músculo depende directamente de la dieta de alimentación de ácido graso específico.</w:t>
      </w:r>
    </w:p>
    <w:p>
      <w:pPr>
        <w:spacing w:after="0" w:line="360" w:lineRule="auto"/>
        <w:jc w:val="both"/>
        <w:sectPr>
          <w:pgSz w:w="12240" w:h="15840"/>
          <w:pgMar w:header="684" w:footer="1164" w:top="1380" w:bottom="1380" w:left="1440" w:right="1460"/>
        </w:sectPr>
      </w:pPr>
    </w:p>
    <w:p>
      <w:pPr>
        <w:pStyle w:val="BodyText"/>
        <w:spacing w:before="2"/>
        <w:rPr>
          <w:sz w:val="16"/>
        </w:rPr>
      </w:pPr>
    </w:p>
    <w:p>
      <w:pPr>
        <w:pStyle w:val="Heading2"/>
        <w:numPr>
          <w:ilvl w:val="0"/>
          <w:numId w:val="2"/>
        </w:numPr>
        <w:tabs>
          <w:tab w:pos="544" w:val="left" w:leader="none"/>
        </w:tabs>
        <w:spacing w:line="240" w:lineRule="auto" w:before="60" w:after="0"/>
        <w:ind w:left="543" w:right="0" w:hanging="284"/>
        <w:jc w:val="left"/>
        <w:rPr>
          <w:i/>
        </w:rPr>
      </w:pPr>
      <w:bookmarkStart w:name="_TOC_250025" w:id="15"/>
      <w:r>
        <w:rPr>
          <w:i/>
        </w:rPr>
        <w:t>Influencia de ácidos grasos en la fermentación</w:t>
      </w:r>
      <w:r>
        <w:rPr>
          <w:i/>
          <w:spacing w:val="-42"/>
        </w:rPr>
        <w:t> </w:t>
      </w:r>
      <w:bookmarkEnd w:id="15"/>
      <w:r>
        <w:rPr>
          <w:i/>
        </w:rPr>
        <w:t>ruminal.</w:t>
      </w:r>
    </w:p>
    <w:p>
      <w:pPr>
        <w:pStyle w:val="BodyText"/>
        <w:spacing w:before="10"/>
        <w:rPr>
          <w:b/>
          <w:i/>
          <w:sz w:val="23"/>
        </w:rPr>
      </w:pPr>
    </w:p>
    <w:p>
      <w:pPr>
        <w:pStyle w:val="ListParagraph"/>
        <w:numPr>
          <w:ilvl w:val="1"/>
          <w:numId w:val="2"/>
        </w:numPr>
        <w:tabs>
          <w:tab w:pos="683" w:val="left" w:leader="none"/>
        </w:tabs>
        <w:spacing w:line="240" w:lineRule="auto" w:before="0" w:after="0"/>
        <w:ind w:left="259" w:right="0" w:firstLine="0"/>
        <w:jc w:val="left"/>
        <w:rPr>
          <w:rFonts w:ascii="Times New Roman" w:hAnsi="Times New Roman"/>
          <w:b/>
          <w:i/>
          <w:sz w:val="24"/>
        </w:rPr>
      </w:pPr>
      <w:r>
        <w:rPr>
          <w:rFonts w:ascii="Times New Roman" w:hAnsi="Times New Roman"/>
          <w:b/>
          <w:sz w:val="24"/>
        </w:rPr>
        <w:t>Técnicas de fermentación </w:t>
      </w:r>
      <w:r>
        <w:rPr>
          <w:rFonts w:ascii="Times New Roman" w:hAnsi="Times New Roman"/>
          <w:b/>
          <w:i/>
          <w:sz w:val="24"/>
        </w:rPr>
        <w:t>in</w:t>
      </w:r>
      <w:r>
        <w:rPr>
          <w:rFonts w:ascii="Times New Roman" w:hAnsi="Times New Roman"/>
          <w:b/>
          <w:i/>
          <w:spacing w:val="-11"/>
          <w:sz w:val="24"/>
        </w:rPr>
        <w:t> </w:t>
      </w:r>
      <w:r>
        <w:rPr>
          <w:rFonts w:ascii="Times New Roman" w:hAnsi="Times New Roman"/>
          <w:b/>
          <w:i/>
          <w:sz w:val="24"/>
        </w:rPr>
        <w:t>vitro.</w:t>
      </w:r>
    </w:p>
    <w:p>
      <w:pPr>
        <w:pStyle w:val="BodyText"/>
        <w:spacing w:before="6"/>
        <w:rPr>
          <w:rFonts w:ascii="Times New Roman"/>
          <w:b/>
          <w:i/>
        </w:rPr>
      </w:pPr>
    </w:p>
    <w:p>
      <w:pPr>
        <w:pStyle w:val="BodyText"/>
        <w:spacing w:line="360" w:lineRule="auto"/>
        <w:ind w:left="259" w:right="231" w:firstLine="341"/>
        <w:jc w:val="both"/>
      </w:pPr>
      <w:r>
        <w:rPr/>
        <w:t>La técnica de fermentación </w:t>
      </w:r>
      <w:r>
        <w:rPr>
          <w:i/>
        </w:rPr>
        <w:t>in vitro </w:t>
      </w:r>
      <w:r>
        <w:rPr/>
        <w:t>ha sido considerado para simular la fermentación microbiana ruminal y así reducir de los costos experimentales y mejorar la eficiencia (Getachew et al., 2005). La producción de gas en una etapa temprana es causada principalmente por la fermentación de los componentes solubles en agua en piensos, tales como hidratos de carbono solubles, pectina y componentes de la proteína (Cone et al., 1997). La tasa de degradación se define como la tasa fraccional  de degradación (FRD) (Francia et al., 1993; France et al.,</w:t>
      </w:r>
      <w:r>
        <w:rPr>
          <w:spacing w:val="-18"/>
        </w:rPr>
        <w:t> </w:t>
      </w:r>
      <w:r>
        <w:rPr/>
        <w:t>2000).</w:t>
      </w:r>
    </w:p>
    <w:p>
      <w:pPr>
        <w:pStyle w:val="BodyText"/>
        <w:spacing w:before="9"/>
        <w:rPr>
          <w:sz w:val="23"/>
        </w:rPr>
      </w:pPr>
    </w:p>
    <w:p>
      <w:pPr>
        <w:pStyle w:val="BodyText"/>
        <w:spacing w:line="360" w:lineRule="auto"/>
        <w:ind w:left="259" w:right="231" w:firstLine="341"/>
        <w:jc w:val="both"/>
      </w:pPr>
      <w:r>
        <w:rPr/>
        <w:t>Una FRD alta puede indicar una fermentación rápida, lo que significa una mayor producción de gas en un cierto tiempo de fermentación (Wang et al., 2013). Por otra parte, la cinética dinámica de la producción de gas, así como diferentes tipos de digestibilidad de la fibra (Menke y Steingass, 1988) se han aplicado con éxito a la investigación de la digestión animal para evaluar los valores nutricionales de los forrajes bajo condiciones de fermentación microbiana ruminal (Gosselink et al, 2004a; Wulf y Südekum, 2005).</w:t>
      </w:r>
    </w:p>
    <w:p>
      <w:pPr>
        <w:pStyle w:val="BodyText"/>
        <w:spacing w:before="3"/>
        <w:rPr>
          <w:sz w:val="23"/>
        </w:rPr>
      </w:pPr>
    </w:p>
    <w:p>
      <w:pPr>
        <w:pStyle w:val="BodyText"/>
        <w:spacing w:line="362" w:lineRule="auto" w:before="1"/>
        <w:ind w:left="259" w:right="240" w:firstLine="341"/>
        <w:jc w:val="both"/>
      </w:pPr>
      <w:r>
        <w:rPr>
          <w:position w:val="2"/>
        </w:rPr>
        <w:t>Los cambios en la cinética de producción de gas, producción de CH</w:t>
      </w:r>
      <w:r>
        <w:rPr>
          <w:sz w:val="16"/>
        </w:rPr>
        <w:t>4 </w:t>
      </w:r>
      <w:r>
        <w:rPr>
          <w:position w:val="2"/>
        </w:rPr>
        <w:t>y la </w:t>
      </w:r>
      <w:r>
        <w:rPr/>
        <w:t>digestibilidad de la fibra están relacionados con la naturaleza o forma de la semilla oleaginosa, y de sus interacciones con el resto de los componentes de la dieta basal </w:t>
      </w:r>
      <w:hyperlink w:history="true" w:anchor="_bookmark7">
        <w:r>
          <w:rPr/>
          <w:t>(Lerch et al., 2012</w:t>
        </w:r>
      </w:hyperlink>
      <w:r>
        <w:rPr/>
        <w:t>).</w:t>
      </w:r>
    </w:p>
    <w:p>
      <w:pPr>
        <w:pStyle w:val="BodyText"/>
        <w:spacing w:before="1"/>
        <w:rPr>
          <w:sz w:val="23"/>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24" w:id="16"/>
      <w:r>
        <w:rPr>
          <w:rFonts w:ascii="Times New Roman" w:hAnsi="Times New Roman"/>
        </w:rPr>
        <w:t>Producción de</w:t>
      </w:r>
      <w:r>
        <w:rPr>
          <w:rFonts w:ascii="Times New Roman" w:hAnsi="Times New Roman"/>
          <w:spacing w:val="-8"/>
        </w:rPr>
        <w:t> </w:t>
      </w:r>
      <w:bookmarkEnd w:id="16"/>
      <w:r>
        <w:rPr>
          <w:rFonts w:ascii="Times New Roman" w:hAnsi="Times New Roman"/>
        </w:rPr>
        <w:t>Gas.</w:t>
      </w:r>
    </w:p>
    <w:p>
      <w:pPr>
        <w:pStyle w:val="BodyText"/>
        <w:spacing w:before="10"/>
        <w:rPr>
          <w:rFonts w:ascii="Times New Roman"/>
          <w:b/>
        </w:rPr>
      </w:pPr>
    </w:p>
    <w:p>
      <w:pPr>
        <w:pStyle w:val="BodyText"/>
        <w:spacing w:line="360" w:lineRule="auto"/>
        <w:ind w:left="259" w:right="239" w:firstLine="283"/>
        <w:jc w:val="both"/>
      </w:pPr>
      <w:r>
        <w:rPr/>
        <w:t>La fermentación ruminal </w:t>
      </w:r>
      <w:r>
        <w:rPr>
          <w:i/>
        </w:rPr>
        <w:t>in vitro</w:t>
      </w:r>
      <w:r>
        <w:rPr/>
        <w:t>, es afectada por la suplementación de lípidos exógenos, y está en función de la estructura de los ácidos grasos. Sin embargo, hay trabajos de investigación que difieren en esto, por ejemplo, el aceite de carotino no afectó a la producción de gas, mientrás que el aceite de girasol la disminuyó (Adeyemi et al., 2015).</w:t>
      </w:r>
    </w:p>
    <w:p>
      <w:pPr>
        <w:spacing w:after="0" w:line="360" w:lineRule="auto"/>
        <w:jc w:val="both"/>
        <w:sectPr>
          <w:pgSz w:w="12240" w:h="15840"/>
          <w:pgMar w:header="684" w:footer="1164" w:top="1380" w:bottom="1380" w:left="1440" w:right="1460"/>
        </w:sectPr>
      </w:pPr>
    </w:p>
    <w:p>
      <w:pPr>
        <w:pStyle w:val="BodyText"/>
        <w:spacing w:before="3"/>
        <w:rPr>
          <w:sz w:val="15"/>
        </w:rPr>
      </w:pPr>
    </w:p>
    <w:p>
      <w:pPr>
        <w:pStyle w:val="Heading3"/>
        <w:numPr>
          <w:ilvl w:val="1"/>
          <w:numId w:val="2"/>
        </w:numPr>
        <w:tabs>
          <w:tab w:pos="683" w:val="left" w:leader="none"/>
        </w:tabs>
        <w:spacing w:line="240" w:lineRule="auto" w:before="70" w:after="0"/>
        <w:ind w:left="682" w:right="0" w:hanging="423"/>
        <w:jc w:val="left"/>
        <w:rPr>
          <w:rFonts w:ascii="Times New Roman" w:hAnsi="Times New Roman"/>
        </w:rPr>
      </w:pPr>
      <w:bookmarkStart w:name="_TOC_250023" w:id="17"/>
      <w:r>
        <w:rPr>
          <w:rFonts w:ascii="Times New Roman" w:hAnsi="Times New Roman"/>
        </w:rPr>
        <w:t>Producción de</w:t>
      </w:r>
      <w:r>
        <w:rPr>
          <w:rFonts w:ascii="Times New Roman" w:hAnsi="Times New Roman"/>
          <w:spacing w:val="-7"/>
        </w:rPr>
        <w:t> </w:t>
      </w:r>
      <w:bookmarkEnd w:id="17"/>
      <w:r>
        <w:rPr>
          <w:rFonts w:ascii="Times New Roman" w:hAnsi="Times New Roman"/>
        </w:rPr>
        <w:t>Metano.</w:t>
      </w:r>
    </w:p>
    <w:p>
      <w:pPr>
        <w:pStyle w:val="BodyText"/>
        <w:spacing w:before="10"/>
        <w:rPr>
          <w:rFonts w:ascii="Times New Roman"/>
          <w:b/>
        </w:rPr>
      </w:pPr>
    </w:p>
    <w:p>
      <w:pPr>
        <w:pStyle w:val="BodyText"/>
        <w:spacing w:line="360" w:lineRule="auto"/>
        <w:ind w:left="259" w:right="235" w:firstLine="283"/>
        <w:jc w:val="both"/>
      </w:pPr>
      <w:r>
        <w:rPr/>
        <w:t>En los últimos años, las emisiones de metano han atraído cada vez más la atención de los nutriólogos y científicos del medio ambiente. Existen métodos o sustancias químicas desarrolladas para mejorar el desempeño del crecimiento de rumiantes y al mismo tiempo reducir la emisión de gases de efecto invernadero (metano) (Kumar et al, 2014; Kim et al, 2015). Por ejemplo, los aceites esenciales o ácidos grasos funcionales son el tipo de métodos eficientes para reducir las emisiones de metano del rumen (Patra y Saxena, 2010; Sallam et al, 2011; Patra y Yu, 2012, 2015). Entre los ácidos grasos ω-3 también se ha observado que pueden reducir la emisión de metano (Czerkawski et al, 1966; Rasmussen y Harrison, 2011;. Li et al, 2015). Las bacterias y los protozoarios participan en los procesos de metabolismo de fibra exógena, lípidos, proteínas. Existe una correlación entre la actividad microbiana (polaridad, la fluidez, permeabilidad, etc.) y las composiciones estructura de la membrana celular, compuesta principalmente de ácidos grasos (por ejemplo, fosfolípidos, glicolípidos y esteroles) (Czerkawski et al, 1966; Rasmussen y Harrison, 2011; Li et al, 2015.).</w:t>
      </w:r>
    </w:p>
    <w:p>
      <w:pPr>
        <w:pStyle w:val="BodyText"/>
        <w:spacing w:before="3"/>
        <w:rPr>
          <w:sz w:val="23"/>
        </w:rPr>
      </w:pPr>
    </w:p>
    <w:p>
      <w:pPr>
        <w:pStyle w:val="Heading3"/>
        <w:numPr>
          <w:ilvl w:val="1"/>
          <w:numId w:val="2"/>
        </w:numPr>
        <w:tabs>
          <w:tab w:pos="683" w:val="left" w:leader="none"/>
        </w:tabs>
        <w:spacing w:line="242" w:lineRule="auto" w:before="0" w:after="0"/>
        <w:ind w:left="259" w:right="1191" w:firstLine="0"/>
        <w:jc w:val="left"/>
        <w:rPr>
          <w:rFonts w:ascii="Times New Roman" w:hAnsi="Times New Roman"/>
        </w:rPr>
      </w:pPr>
      <w:bookmarkStart w:name="_TOC_250022" w:id="18"/>
      <w:r>
        <w:rPr>
          <w:rFonts w:ascii="Times New Roman" w:hAnsi="Times New Roman"/>
        </w:rPr>
        <w:t>Ácidos grasos de cadena </w:t>
      </w:r>
      <w:r>
        <w:rPr>
          <w:rFonts w:ascii="Times New Roman" w:hAnsi="Times New Roman"/>
          <w:spacing w:val="-3"/>
        </w:rPr>
        <w:t>larga </w:t>
      </w:r>
      <w:bookmarkEnd w:id="18"/>
      <w:r>
        <w:rPr>
          <w:rFonts w:ascii="Times New Roman" w:hAnsi="Times New Roman"/>
        </w:rPr>
        <w:t>en membranas de bacterias y protozoarios ruminales.</w:t>
      </w:r>
    </w:p>
    <w:p>
      <w:pPr>
        <w:pStyle w:val="BodyText"/>
        <w:spacing w:before="3"/>
        <w:rPr>
          <w:rFonts w:ascii="Times New Roman"/>
          <w:b/>
        </w:rPr>
      </w:pPr>
    </w:p>
    <w:p>
      <w:pPr>
        <w:pStyle w:val="BodyText"/>
        <w:spacing w:line="360" w:lineRule="auto"/>
        <w:ind w:left="259" w:right="234" w:firstLine="283"/>
        <w:jc w:val="both"/>
      </w:pPr>
      <w:r>
        <w:rPr/>
        <w:t>En los rumiantes, la microflora del rumen participa en el metabolismo de la grasa,  la carne y los productos lácteos ricos en algunos ácidos grasos funcionales (FA) componentes incluyen 9cis, ácido linoleico conjugado (11trans- Aldai et al., 2005), el ácido vaccénico (Blewett et al., 2009), ácido ruménico (Chisaguano et al., 2014), el ácido eicosapentaenoico (Gillies et al., 2012) y ácido docosahexaenoico. Una forma eficaz de mejorar los ácidos grasos funcionales se logra mediante la modificación de metabolismo microbiano ruminal por la suplementación de exógena FA con diferentes dobles enlaces o números de carbono (Mouradian et al.,</w:t>
      </w:r>
      <w:r>
        <w:rPr>
          <w:spacing w:val="-21"/>
        </w:rPr>
        <w:t> </w:t>
      </w:r>
      <w:r>
        <w:rPr/>
        <w:t>2014).</w:t>
      </w:r>
    </w:p>
    <w:p>
      <w:pPr>
        <w:pStyle w:val="BodyText"/>
        <w:spacing w:before="4"/>
        <w:rPr>
          <w:sz w:val="23"/>
        </w:rPr>
      </w:pPr>
    </w:p>
    <w:p>
      <w:pPr>
        <w:pStyle w:val="BodyText"/>
        <w:spacing w:line="360" w:lineRule="auto"/>
        <w:ind w:left="259" w:right="243" w:firstLine="283"/>
        <w:jc w:val="both"/>
      </w:pPr>
      <w:r>
        <w:rPr/>
        <w:t>Las principales vías del metabolismo de FA en rumen incluyen dos tipos, una es por la degradación o la hidrólisis de los ácidos grasos poliinsaturados (PUFA) exógenos, la otra es la síntesis de novo a partir de ácido graso de cadena corta o ácidos grasos</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4" w:lineRule="auto" w:before="66"/>
        <w:ind w:left="259" w:right="288"/>
      </w:pPr>
      <w:r>
        <w:rPr/>
        <w:t>volátiles. Sin embargo, los ácidos grasos de cadena larga se almacenan en la membrana bacteriana o</w:t>
      </w:r>
      <w:r>
        <w:rPr>
          <w:spacing w:val="-7"/>
        </w:rPr>
        <w:t> </w:t>
      </w:r>
      <w:r>
        <w:rPr/>
        <w:t>protozoarios.</w:t>
      </w:r>
    </w:p>
    <w:p>
      <w:pPr>
        <w:pStyle w:val="BodyText"/>
        <w:spacing w:before="11"/>
        <w:rPr>
          <w:sz w:val="22"/>
        </w:rPr>
      </w:pPr>
    </w:p>
    <w:p>
      <w:pPr>
        <w:pStyle w:val="BodyText"/>
        <w:spacing w:line="360" w:lineRule="auto"/>
        <w:ind w:left="259" w:right="234" w:firstLine="283"/>
        <w:jc w:val="both"/>
      </w:pPr>
      <w:r>
        <w:rPr/>
        <w:t>Ajuste de la fermentación en el rumen o vía de metabolismo de lípidos exógenos con recursos abundantes en derivado de plantas </w:t>
      </w:r>
      <w:r>
        <w:rPr>
          <w:spacing w:val="2"/>
        </w:rPr>
        <w:t>ω-3 </w:t>
      </w:r>
      <w:r>
        <w:rPr/>
        <w:t>PUFAs es un método eficaz para el enriquecimiento ω-3 PUFAs contenidos en la carne de rumiantes o de leche. Sin embargo, los complejos procesos del metabolismo o de biohidrogenación reducen significativamente los PUFAs exógenos derivación rumen. Para abordar este  problema, se postula que las composiciones de ácidos grasos en las membranas bacterianas y protozoarias cambiaron con el suministro de diferentes </w:t>
      </w:r>
      <w:r>
        <w:rPr>
          <w:spacing w:val="4"/>
        </w:rPr>
        <w:t>ω-6 </w:t>
      </w:r>
      <w:r>
        <w:rPr/>
        <w:t>/ ω-3 proporciones basadas en el ámbito de aplicación favorable y perjudicial en la dieta. Por ejemplo, Petit et al. Enrich de linaza informado de ácido linolénico proporcionado a las vacas raciones, resultó en la relación más baja </w:t>
      </w:r>
      <w:r>
        <w:rPr>
          <w:spacing w:val="4"/>
        </w:rPr>
        <w:t>ω-6 </w:t>
      </w:r>
      <w:r>
        <w:rPr/>
        <w:t>/ ω-3 en la leche en comparación con la soja micronizadas o semillas de girasol (Petit, 2002). La incorporación de ácidos grasos </w:t>
      </w:r>
      <w:r>
        <w:rPr>
          <w:spacing w:val="2"/>
        </w:rPr>
        <w:t>ω-3 </w:t>
      </w:r>
      <w:r>
        <w:rPr/>
        <w:t>de sangre animal y el músculo depende directamente del tipo de ácido graso de la dieta (Hess et al., 2012). Por otro lado, LCFAs deben ser metilado por un medio de ácido / metilación basal antes determinado por cromatografía de gases (Kramer et al., 1997; O-Rashid et al., 2007; Ichihara y Fukubayashi,</w:t>
      </w:r>
      <w:r>
        <w:rPr>
          <w:spacing w:val="-7"/>
        </w:rPr>
        <w:t> </w:t>
      </w:r>
      <w:r>
        <w:rPr/>
        <w:t>2010).</w:t>
      </w:r>
    </w:p>
    <w:p>
      <w:pPr>
        <w:pStyle w:val="BodyText"/>
      </w:pPr>
    </w:p>
    <w:p>
      <w:pPr>
        <w:pStyle w:val="BodyText"/>
      </w:pPr>
    </w:p>
    <w:p>
      <w:pPr>
        <w:pStyle w:val="BodyText"/>
        <w:spacing w:before="6"/>
        <w:rPr>
          <w:sz w:val="35"/>
        </w:rPr>
      </w:pPr>
    </w:p>
    <w:p>
      <w:pPr>
        <w:pStyle w:val="Heading2"/>
        <w:numPr>
          <w:ilvl w:val="0"/>
          <w:numId w:val="2"/>
        </w:numPr>
        <w:tabs>
          <w:tab w:pos="544" w:val="left" w:leader="none"/>
        </w:tabs>
        <w:spacing w:line="240" w:lineRule="auto" w:before="1" w:after="0"/>
        <w:ind w:left="543" w:right="0" w:hanging="284"/>
        <w:jc w:val="left"/>
        <w:rPr>
          <w:i/>
        </w:rPr>
      </w:pPr>
      <w:bookmarkStart w:name="_TOC_250021" w:id="19"/>
      <w:r>
        <w:rPr>
          <w:i/>
        </w:rPr>
        <w:t>Bases teóricas de quimioinformática y</w:t>
      </w:r>
      <w:r>
        <w:rPr>
          <w:i/>
          <w:spacing w:val="-17"/>
        </w:rPr>
        <w:t> </w:t>
      </w:r>
      <w:bookmarkEnd w:id="19"/>
      <w:r>
        <w:rPr>
          <w:i/>
        </w:rPr>
        <w:t>QSPR.</w:t>
      </w:r>
    </w:p>
    <w:p>
      <w:pPr>
        <w:pStyle w:val="BodyText"/>
        <w:spacing w:before="11"/>
        <w:rPr>
          <w:b/>
          <w:i/>
          <w:sz w:val="23"/>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20" w:id="20"/>
      <w:r>
        <w:rPr>
          <w:rFonts w:ascii="Times New Roman" w:hAnsi="Times New Roman"/>
        </w:rPr>
        <w:t>Teoría del modelo de</w:t>
      </w:r>
      <w:r>
        <w:rPr>
          <w:rFonts w:ascii="Times New Roman" w:hAnsi="Times New Roman"/>
          <w:spacing w:val="-17"/>
        </w:rPr>
        <w:t> </w:t>
      </w:r>
      <w:bookmarkEnd w:id="20"/>
      <w:r>
        <w:rPr>
          <w:rFonts w:ascii="Times New Roman" w:hAnsi="Times New Roman"/>
        </w:rPr>
        <w:t>Hansch.</w:t>
      </w:r>
    </w:p>
    <w:p>
      <w:pPr>
        <w:pStyle w:val="BodyText"/>
        <w:rPr>
          <w:rFonts w:ascii="Times New Roman"/>
          <w:b/>
        </w:rPr>
      </w:pPr>
    </w:p>
    <w:p>
      <w:pPr>
        <w:pStyle w:val="BodyText"/>
        <w:spacing w:line="360" w:lineRule="auto" w:before="1"/>
        <w:ind w:left="259" w:right="234" w:firstLine="283"/>
        <w:jc w:val="both"/>
      </w:pPr>
      <w:r>
        <w:rPr/>
        <w:t>Quimioinformática, relacionado con el aprendizaje de máquina, quimiometría y la bioinformática (Varnek y Baskin, 2011), combina los campos de trabajo científicos de la química, ciencias de la información, y las áreas de la topología, teoría de grafos química y la minería de datos en el espacio químico. Corwin Hánsch fue uno de los fundadores de Quimioinformática modernos, que se basa en la relación lipofilia- actividad. Un tipo de modelo de Hansch es la siguiente (de Hansch et al., 1965).</w:t>
      </w:r>
    </w:p>
    <w:p>
      <w:pPr>
        <w:spacing w:after="0" w:line="360" w:lineRule="auto"/>
        <w:jc w:val="both"/>
        <w:sectPr>
          <w:pgSz w:w="12240" w:h="15840"/>
          <w:pgMar w:header="684" w:footer="1164" w:top="1380" w:bottom="1380" w:left="1440" w:right="1460"/>
        </w:sectPr>
      </w:pPr>
    </w:p>
    <w:p>
      <w:pPr>
        <w:pStyle w:val="BodyText"/>
        <w:spacing w:before="10"/>
        <w:rPr>
          <w:sz w:val="12"/>
        </w:rPr>
      </w:pPr>
    </w:p>
    <w:p>
      <w:pPr>
        <w:spacing w:after="0"/>
        <w:rPr>
          <w:sz w:val="12"/>
        </w:rPr>
        <w:sectPr>
          <w:pgSz w:w="12240" w:h="15840"/>
          <w:pgMar w:header="684" w:footer="1164" w:top="1380" w:bottom="1380" w:left="1440" w:right="1460"/>
        </w:sectPr>
      </w:pPr>
    </w:p>
    <w:p>
      <w:pPr>
        <w:spacing w:line="306" w:lineRule="exact" w:before="35"/>
        <w:ind w:left="1472" w:right="-6" w:firstLine="0"/>
        <w:jc w:val="left"/>
        <w:rPr>
          <w:rFonts w:ascii="Times New Roman" w:hAnsi="Times New Roman"/>
          <w:sz w:val="17"/>
        </w:rPr>
      </w:pPr>
      <w:r>
        <w:rPr>
          <w:rFonts w:ascii="Times New Roman" w:hAnsi="Times New Roman"/>
          <w:spacing w:val="-34"/>
          <w:w w:val="112"/>
          <w:sz w:val="29"/>
        </w:rPr>
        <w:t>f</w:t>
      </w:r>
      <w:r>
        <w:rPr>
          <w:rFonts w:ascii="Times New Roman" w:hAnsi="Times New Roman"/>
          <w:spacing w:val="8"/>
          <w:w w:val="112"/>
          <w:sz w:val="29"/>
        </w:rPr>
        <w:t>(</w:t>
      </w:r>
      <w:r>
        <w:rPr>
          <w:rFonts w:ascii="Times New Roman" w:hAnsi="Times New Roman"/>
          <w:w w:val="112"/>
          <w:sz w:val="29"/>
        </w:rPr>
        <w:t>ε</w:t>
      </w:r>
      <w:r>
        <w:rPr>
          <w:rFonts w:ascii="Times New Roman" w:hAnsi="Times New Roman"/>
          <w:spacing w:val="18"/>
          <w:sz w:val="29"/>
        </w:rPr>
        <w:t> </w:t>
      </w:r>
      <w:r>
        <w:rPr>
          <w:rFonts w:ascii="Times New Roman" w:hAnsi="Times New Roman"/>
          <w:w w:val="112"/>
          <w:sz w:val="29"/>
        </w:rPr>
        <w:t>)</w:t>
      </w:r>
      <w:r>
        <w:rPr>
          <w:rFonts w:ascii="Times New Roman" w:hAnsi="Times New Roman"/>
          <w:spacing w:val="-30"/>
          <w:sz w:val="29"/>
        </w:rPr>
        <w:t> </w:t>
      </w:r>
      <w:r>
        <w:rPr>
          <w:rFonts w:ascii="Symbol" w:hAnsi="Symbol"/>
          <w:spacing w:val="33"/>
          <w:w w:val="112"/>
          <w:sz w:val="29"/>
        </w:rPr>
        <w:t></w:t>
      </w:r>
      <w:r>
        <w:rPr>
          <w:rFonts w:ascii="Times New Roman" w:hAnsi="Times New Roman"/>
          <w:w w:val="112"/>
          <w:sz w:val="29"/>
        </w:rPr>
        <w:t>a</w:t>
      </w:r>
      <w:r>
        <w:rPr>
          <w:rFonts w:ascii="Times New Roman" w:hAnsi="Times New Roman"/>
          <w:sz w:val="29"/>
        </w:rPr>
        <w:t> </w:t>
      </w:r>
      <w:r>
        <w:rPr>
          <w:rFonts w:ascii="Times New Roman" w:hAnsi="Times New Roman"/>
          <w:spacing w:val="30"/>
          <w:sz w:val="29"/>
        </w:rPr>
        <w:t> </w:t>
      </w:r>
      <w:r>
        <w:rPr>
          <w:rFonts w:ascii="Symbol" w:hAnsi="Symbol"/>
          <w:spacing w:val="27"/>
          <w:w w:val="112"/>
          <w:sz w:val="29"/>
        </w:rPr>
        <w:t></w:t>
      </w:r>
      <w:r>
        <w:rPr>
          <w:rFonts w:ascii="Times New Roman" w:hAnsi="Times New Roman"/>
          <w:w w:val="112"/>
          <w:sz w:val="29"/>
        </w:rPr>
        <w:t>a</w:t>
      </w:r>
      <w:r>
        <w:rPr>
          <w:rFonts w:ascii="Times New Roman" w:hAnsi="Times New Roman"/>
          <w:spacing w:val="9"/>
          <w:sz w:val="29"/>
        </w:rPr>
        <w:t> </w:t>
      </w:r>
      <w:r>
        <w:rPr>
          <w:rFonts w:ascii="Times New Roman" w:hAnsi="Times New Roman"/>
          <w:spacing w:val="-15"/>
          <w:w w:val="112"/>
          <w:sz w:val="29"/>
        </w:rPr>
        <w:t>·</w:t>
      </w:r>
      <w:r>
        <w:rPr>
          <w:rFonts w:ascii="Times New Roman" w:hAnsi="Times New Roman"/>
          <w:spacing w:val="-34"/>
          <w:w w:val="112"/>
          <w:sz w:val="29"/>
        </w:rPr>
        <w:t>l</w:t>
      </w:r>
      <w:r>
        <w:rPr>
          <w:rFonts w:ascii="Times New Roman" w:hAnsi="Times New Roman"/>
          <w:spacing w:val="-13"/>
          <w:w w:val="112"/>
          <w:sz w:val="29"/>
        </w:rPr>
        <w:t>o</w:t>
      </w:r>
      <w:r>
        <w:rPr>
          <w:rFonts w:ascii="Times New Roman" w:hAnsi="Times New Roman"/>
          <w:spacing w:val="-32"/>
          <w:w w:val="112"/>
          <w:sz w:val="29"/>
        </w:rPr>
        <w:t>g</w:t>
      </w:r>
      <w:r>
        <w:rPr>
          <w:rFonts w:ascii="Times New Roman" w:hAnsi="Times New Roman"/>
          <w:w w:val="112"/>
          <w:sz w:val="29"/>
        </w:rPr>
        <w:t>P</w:t>
      </w:r>
      <w:r>
        <w:rPr>
          <w:rFonts w:ascii="Times New Roman" w:hAnsi="Times New Roman"/>
          <w:sz w:val="29"/>
        </w:rPr>
        <w:t> </w:t>
      </w:r>
      <w:r>
        <w:rPr>
          <w:rFonts w:ascii="Times New Roman" w:hAnsi="Times New Roman"/>
          <w:spacing w:val="-21"/>
          <w:sz w:val="29"/>
        </w:rPr>
        <w:t> </w:t>
      </w:r>
      <w:r>
        <w:rPr>
          <w:rFonts w:ascii="Symbol" w:hAnsi="Symbol"/>
          <w:spacing w:val="27"/>
          <w:w w:val="112"/>
          <w:sz w:val="29"/>
        </w:rPr>
        <w:t></w:t>
      </w:r>
      <w:r>
        <w:rPr>
          <w:rFonts w:ascii="Times New Roman" w:hAnsi="Times New Roman"/>
          <w:w w:val="112"/>
          <w:sz w:val="29"/>
        </w:rPr>
        <w:t>a</w:t>
      </w:r>
      <w:r>
        <w:rPr>
          <w:rFonts w:ascii="Times New Roman" w:hAnsi="Times New Roman"/>
          <w:sz w:val="29"/>
        </w:rPr>
        <w:t> </w:t>
      </w:r>
      <w:r>
        <w:rPr>
          <w:rFonts w:ascii="Times New Roman" w:hAnsi="Times New Roman"/>
          <w:spacing w:val="-32"/>
          <w:sz w:val="29"/>
        </w:rPr>
        <w:t> </w:t>
      </w:r>
      <w:r>
        <w:rPr>
          <w:rFonts w:ascii="Times New Roman" w:hAnsi="Times New Roman"/>
          <w:spacing w:val="-15"/>
          <w:w w:val="112"/>
          <w:sz w:val="29"/>
        </w:rPr>
        <w:t>·</w:t>
      </w:r>
      <w:r>
        <w:rPr>
          <w:rFonts w:ascii="Times New Roman" w:hAnsi="Times New Roman"/>
          <w:spacing w:val="-13"/>
          <w:w w:val="112"/>
          <w:sz w:val="29"/>
        </w:rPr>
        <w:t>p</w:t>
      </w:r>
      <w:r>
        <w:rPr>
          <w:rFonts w:ascii="Times New Roman" w:hAnsi="Times New Roman"/>
          <w:w w:val="112"/>
          <w:sz w:val="29"/>
        </w:rPr>
        <w:t>K</w:t>
      </w:r>
      <w:r>
        <w:rPr>
          <w:rFonts w:ascii="Times New Roman" w:hAnsi="Times New Roman"/>
          <w:sz w:val="29"/>
        </w:rPr>
        <w:t> </w:t>
      </w:r>
      <w:r>
        <w:rPr>
          <w:rFonts w:ascii="Times New Roman" w:hAnsi="Times New Roman"/>
          <w:spacing w:val="16"/>
          <w:sz w:val="29"/>
        </w:rPr>
        <w:t> </w:t>
      </w:r>
      <w:r>
        <w:rPr>
          <w:rFonts w:ascii="Symbol" w:hAnsi="Symbol"/>
          <w:spacing w:val="27"/>
          <w:w w:val="112"/>
          <w:sz w:val="29"/>
        </w:rPr>
        <w:t></w:t>
      </w:r>
      <w:r>
        <w:rPr>
          <w:rFonts w:ascii="Times New Roman" w:hAnsi="Times New Roman"/>
          <w:w w:val="112"/>
          <w:sz w:val="29"/>
        </w:rPr>
        <w:t>a</w:t>
      </w:r>
      <w:r>
        <w:rPr>
          <w:rFonts w:ascii="Times New Roman" w:hAnsi="Times New Roman"/>
          <w:spacing w:val="30"/>
          <w:sz w:val="29"/>
        </w:rPr>
        <w:t> </w:t>
      </w:r>
      <w:r>
        <w:rPr>
          <w:rFonts w:ascii="Times New Roman" w:hAnsi="Times New Roman"/>
          <w:spacing w:val="-15"/>
          <w:w w:val="112"/>
          <w:sz w:val="29"/>
        </w:rPr>
        <w:t>·</w:t>
      </w:r>
      <w:r>
        <w:rPr>
          <w:rFonts w:ascii="Times New Roman" w:hAnsi="Times New Roman"/>
          <w:spacing w:val="-27"/>
          <w:w w:val="112"/>
          <w:sz w:val="29"/>
        </w:rPr>
        <w:t>M</w:t>
      </w:r>
      <w:r>
        <w:rPr>
          <w:rFonts w:ascii="Times New Roman" w:hAnsi="Times New Roman"/>
          <w:w w:val="112"/>
          <w:sz w:val="29"/>
        </w:rPr>
        <w:t>R</w:t>
      </w:r>
      <w:r>
        <w:rPr>
          <w:rFonts w:ascii="Times New Roman" w:hAnsi="Times New Roman"/>
          <w:spacing w:val="-32"/>
          <w:sz w:val="29"/>
        </w:rPr>
        <w:t> </w:t>
      </w:r>
      <w:r>
        <w:rPr>
          <w:rFonts w:ascii="Symbol" w:hAnsi="Symbol"/>
          <w:spacing w:val="22"/>
          <w:w w:val="112"/>
          <w:sz w:val="29"/>
        </w:rPr>
        <w:t></w:t>
      </w:r>
      <w:r>
        <w:rPr>
          <w:rFonts w:ascii="Times New Roman" w:hAnsi="Times New Roman"/>
          <w:w w:val="112"/>
          <w:sz w:val="29"/>
        </w:rPr>
        <w:t>a</w:t>
      </w:r>
      <w:r>
        <w:rPr>
          <w:rFonts w:ascii="Times New Roman" w:hAnsi="Times New Roman"/>
          <w:sz w:val="29"/>
        </w:rPr>
        <w:t> </w:t>
      </w:r>
      <w:r>
        <w:rPr>
          <w:rFonts w:ascii="Times New Roman" w:hAnsi="Times New Roman"/>
          <w:spacing w:val="-32"/>
          <w:sz w:val="29"/>
        </w:rPr>
        <w:t> </w:t>
      </w:r>
      <w:r>
        <w:rPr>
          <w:rFonts w:ascii="Times New Roman" w:hAnsi="Times New Roman"/>
          <w:spacing w:val="-42"/>
          <w:w w:val="112"/>
          <w:sz w:val="29"/>
        </w:rPr>
        <w:t>·</w:t>
      </w:r>
      <w:r>
        <w:rPr>
          <w:rFonts w:ascii="Symbol" w:hAnsi="Symbol"/>
          <w:spacing w:val="-18"/>
          <w:w w:val="86"/>
          <w:sz w:val="37"/>
        </w:rPr>
        <w:t></w:t>
      </w:r>
      <w:r>
        <w:rPr>
          <w:rFonts w:ascii="Times New Roman" w:hAnsi="Times New Roman"/>
          <w:spacing w:val="-34"/>
          <w:w w:val="112"/>
          <w:sz w:val="29"/>
        </w:rPr>
        <w:t>l</w:t>
      </w:r>
      <w:r>
        <w:rPr>
          <w:rFonts w:ascii="Times New Roman" w:hAnsi="Times New Roman"/>
          <w:spacing w:val="-13"/>
          <w:w w:val="112"/>
          <w:sz w:val="29"/>
        </w:rPr>
        <w:t>o</w:t>
      </w:r>
      <w:r>
        <w:rPr>
          <w:rFonts w:ascii="Times New Roman" w:hAnsi="Times New Roman"/>
          <w:spacing w:val="-32"/>
          <w:w w:val="112"/>
          <w:sz w:val="29"/>
        </w:rPr>
        <w:t>g</w:t>
      </w:r>
      <w:r>
        <w:rPr>
          <w:rFonts w:ascii="Times New Roman" w:hAnsi="Times New Roman"/>
          <w:w w:val="112"/>
          <w:sz w:val="29"/>
        </w:rPr>
        <w:t>P</w:t>
      </w:r>
      <w:r>
        <w:rPr>
          <w:rFonts w:ascii="Times New Roman" w:hAnsi="Times New Roman"/>
          <w:spacing w:val="16"/>
          <w:sz w:val="29"/>
        </w:rPr>
        <w:t> </w:t>
      </w:r>
      <w:r>
        <w:rPr>
          <w:rFonts w:ascii="Symbol" w:hAnsi="Symbol"/>
          <w:spacing w:val="-15"/>
          <w:w w:val="86"/>
          <w:sz w:val="37"/>
        </w:rPr>
        <w:t></w:t>
      </w:r>
      <w:r>
        <w:rPr>
          <w:rFonts w:ascii="Times New Roman" w:hAnsi="Times New Roman"/>
          <w:w w:val="111"/>
          <w:position w:val="14"/>
          <w:sz w:val="17"/>
        </w:rPr>
        <w:t>2</w:t>
      </w:r>
    </w:p>
    <w:p>
      <w:pPr>
        <w:spacing w:line="296" w:lineRule="exact" w:before="45"/>
        <w:ind w:left="219" w:right="0" w:firstLine="0"/>
        <w:jc w:val="left"/>
        <w:rPr>
          <w:rFonts w:ascii="Symbol" w:hAnsi="Symbol"/>
          <w:sz w:val="36"/>
        </w:rPr>
      </w:pPr>
      <w:r>
        <w:rPr/>
        <w:br w:type="column"/>
      </w:r>
      <w:r>
        <w:rPr>
          <w:rFonts w:ascii="Symbol" w:hAnsi="Symbol"/>
          <w:sz w:val="36"/>
        </w:rPr>
        <w:t></w:t>
      </w:r>
      <w:r>
        <w:rPr>
          <w:rFonts w:ascii="Times New Roman" w:hAnsi="Times New Roman"/>
          <w:sz w:val="29"/>
        </w:rPr>
        <w:t>1</w:t>
      </w:r>
      <w:r>
        <w:rPr>
          <w:rFonts w:ascii="Symbol" w:hAnsi="Symbol"/>
          <w:sz w:val="36"/>
        </w:rPr>
        <w:t></w:t>
      </w:r>
    </w:p>
    <w:p>
      <w:pPr>
        <w:spacing w:after="0" w:line="296" w:lineRule="exact"/>
        <w:jc w:val="left"/>
        <w:rPr>
          <w:rFonts w:ascii="Symbol" w:hAnsi="Symbol"/>
          <w:sz w:val="36"/>
        </w:rPr>
        <w:sectPr>
          <w:type w:val="continuous"/>
          <w:pgSz w:w="12240" w:h="15840"/>
          <w:pgMar w:top="3080" w:bottom="2780" w:left="1440" w:right="1460"/>
          <w:cols w:num="2" w:equalWidth="0">
            <w:col w:w="7331" w:space="40"/>
            <w:col w:w="1969"/>
          </w:cols>
        </w:sectPr>
      </w:pPr>
    </w:p>
    <w:p>
      <w:pPr>
        <w:tabs>
          <w:tab w:pos="2413" w:val="left" w:leader="none"/>
          <w:tab w:pos="2923" w:val="left" w:leader="none"/>
          <w:tab w:pos="3617" w:val="left" w:leader="none"/>
          <w:tab w:pos="4112" w:val="left" w:leader="none"/>
          <w:tab w:pos="4688" w:val="left" w:leader="none"/>
          <w:tab w:pos="5212" w:val="left" w:leader="none"/>
          <w:tab w:pos="6281" w:val="left" w:leader="none"/>
          <w:tab w:pos="7048" w:val="left" w:leader="none"/>
        </w:tabs>
        <w:spacing w:line="173" w:lineRule="exact" w:before="0"/>
        <w:ind w:left="1806" w:right="0" w:firstLine="0"/>
        <w:jc w:val="left"/>
        <w:rPr>
          <w:rFonts w:ascii="Times New Roman"/>
          <w:sz w:val="17"/>
        </w:rPr>
      </w:pPr>
      <w:r>
        <w:rPr>
          <w:rFonts w:ascii="Times New Roman"/>
          <w:w w:val="110"/>
          <w:sz w:val="17"/>
        </w:rPr>
        <w:t>i</w:t>
        <w:tab/>
        <w:t>0</w:t>
        <w:tab/>
        <w:t>1</w:t>
        <w:tab/>
        <w:t>i</w:t>
        <w:tab/>
        <w:t>2</w:t>
        <w:tab/>
        <w:t>a</w:t>
        <w:tab/>
        <w:t>3</w:t>
        <w:tab/>
        <w:t>4</w:t>
        <w:tab/>
        <w:t>i</w:t>
      </w:r>
    </w:p>
    <w:p>
      <w:pPr>
        <w:pStyle w:val="BodyText"/>
        <w:rPr>
          <w:rFonts w:ascii="Times New Roman"/>
          <w:sz w:val="20"/>
        </w:rPr>
      </w:pPr>
    </w:p>
    <w:p>
      <w:pPr>
        <w:pStyle w:val="BodyText"/>
        <w:spacing w:line="360" w:lineRule="auto" w:before="214"/>
        <w:ind w:left="259" w:right="239" w:firstLine="283"/>
        <w:jc w:val="both"/>
      </w:pPr>
      <w:r>
        <w:rPr/>
        <w:t>Es bien sabido que, electrostático, y factores de hidrofobicidad estéricos pueden ser biológicamente relevante (Chou y Cai, 2005; Estrada et al., 2006). En esta ecuación, los diferentes parámetros pueden ser utilizados como insumos para dar cuenta de los factores: como coeficientes de reparto de agua / ω-octanol (Pi), refractividad molecular (MR), constantes de acidez logarítmica (PKA) y otros parámetros físico- químicos para cuantificar diferentes propiedades moleculares globales (Ehresmann et al., 2005).</w:t>
      </w:r>
    </w:p>
    <w:p>
      <w:pPr>
        <w:pStyle w:val="BodyText"/>
        <w:spacing w:before="4"/>
        <w:rPr>
          <w:sz w:val="23"/>
        </w:rPr>
      </w:pPr>
    </w:p>
    <w:p>
      <w:pPr>
        <w:pStyle w:val="BodyText"/>
        <w:spacing w:line="360" w:lineRule="auto" w:before="1"/>
        <w:ind w:left="259" w:right="235" w:firstLine="283"/>
        <w:jc w:val="both"/>
      </w:pPr>
      <w:r>
        <w:rPr/>
        <w:t>Las salidas del modelo son los valores de una propiedad molecular (εi) o una función de esta propiedad f (εi) para un compuesto químico dado o entidad molecular (mi). Las innovaciones de estos modelos se describen como sigue. 1) El uso de la regresión lineal para buscar ecuaciones lineales multivariantes es capaz de predecir los valores de f (εi), empleando varias variables de entrada. 2) Hánsch también generaliza el uso de parámetros lipofilia por la formulación de modelos parabólicos para las relaciones noω lineal. 3) Los términos logarítmicos (logPi) de Pi se utilizan comúnmente como las medidas de lipofilia molecular y juegan un papel importante en el modelo. A su vez, los valores logPi se pueden predecir ya sea por métodos atómicos (como XlogP o ALogP) o por métodos químicos de fragmentos (como CLogPi o métodos similares) (Tetko et al, 2001;. Tetko y Poda, 2004)..</w:t>
      </w:r>
    </w:p>
    <w:p>
      <w:pPr>
        <w:pStyle w:val="BodyText"/>
        <w:spacing w:before="4"/>
        <w:rPr>
          <w:sz w:val="23"/>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19" w:id="21"/>
      <w:r>
        <w:rPr>
          <w:rFonts w:ascii="Times New Roman" w:hAnsi="Times New Roman"/>
        </w:rPr>
        <w:t>Relación de </w:t>
      </w:r>
      <w:r>
        <w:rPr>
          <w:rFonts w:ascii="Times New Roman" w:hAnsi="Times New Roman"/>
          <w:spacing w:val="-3"/>
        </w:rPr>
        <w:t>la </w:t>
      </w:r>
      <w:r>
        <w:rPr>
          <w:rFonts w:ascii="Times New Roman" w:hAnsi="Times New Roman"/>
        </w:rPr>
        <w:t>energía linear</w:t>
      </w:r>
      <w:r>
        <w:rPr>
          <w:rFonts w:ascii="Times New Roman" w:hAnsi="Times New Roman"/>
          <w:spacing w:val="-11"/>
        </w:rPr>
        <w:t> </w:t>
      </w:r>
      <w:bookmarkEnd w:id="21"/>
      <w:r>
        <w:rPr>
          <w:rFonts w:ascii="Times New Roman" w:hAnsi="Times New Roman"/>
        </w:rPr>
        <w:t>libre.</w:t>
      </w:r>
    </w:p>
    <w:p>
      <w:pPr>
        <w:pStyle w:val="BodyText"/>
        <w:spacing w:before="10"/>
        <w:rPr>
          <w:rFonts w:ascii="Times New Roman"/>
          <w:b/>
        </w:rPr>
      </w:pPr>
    </w:p>
    <w:p>
      <w:pPr>
        <w:pStyle w:val="BodyText"/>
        <w:spacing w:line="360" w:lineRule="auto"/>
        <w:ind w:left="259" w:right="242" w:firstLine="283"/>
        <w:jc w:val="both"/>
      </w:pPr>
      <w:r>
        <w:rPr/>
        <w:t>Desde un punto de vista físico-química, el modelo de Hánsch es un enfoque extra- termodinámico estrechamente relacionado con relaciones lineales Gratis Energía (LFER) (Roy y Leonard, 2005; Anslyn y Dougherty, 2006). _ENREF_10 La designación de los modelos de Hansch como ecuaciones LFER provienen de la utilización de parámetros en función de energía libre de Gibbs (Gi) del proceso de  ITH  (Gibbs, 1871). Los cambios en  los valores de este potencial  durante un proceso obedecen     a</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4" w:lineRule="auto" w:before="66"/>
        <w:ind w:left="259"/>
      </w:pPr>
      <w:r>
        <w:rPr/>
        <w:t>una relación logarítmica con termodinámico estadístico constante de equilibrio Ki (Greiner et al., 2000).</w:t>
      </w:r>
    </w:p>
    <w:p>
      <w:pPr>
        <w:pStyle w:val="BodyText"/>
        <w:spacing w:before="9"/>
        <w:rPr>
          <w:sz w:val="11"/>
        </w:rPr>
      </w:pPr>
    </w:p>
    <w:p>
      <w:pPr>
        <w:spacing w:after="0"/>
        <w:rPr>
          <w:sz w:val="11"/>
        </w:rPr>
        <w:sectPr>
          <w:pgSz w:w="12240" w:h="15840"/>
          <w:pgMar w:header="684" w:footer="1164" w:top="1380" w:bottom="1380" w:left="1440" w:right="1460"/>
        </w:sectPr>
      </w:pPr>
    </w:p>
    <w:p>
      <w:pPr>
        <w:spacing w:before="142"/>
        <w:ind w:left="0" w:right="0" w:firstLine="0"/>
        <w:jc w:val="right"/>
        <w:rPr>
          <w:rFonts w:ascii="Times New Roman" w:hAnsi="Times New Roman"/>
          <w:sz w:val="16"/>
        </w:rPr>
      </w:pPr>
      <w:r>
        <w:rPr>
          <w:rFonts w:ascii="Times New Roman" w:hAnsi="Times New Roman"/>
          <w:w w:val="115"/>
          <w:sz w:val="28"/>
        </w:rPr>
        <w:t>ΔG</w:t>
      </w:r>
      <w:r>
        <w:rPr>
          <w:rFonts w:ascii="Times New Roman" w:hAnsi="Times New Roman"/>
          <w:w w:val="115"/>
          <w:position w:val="-6"/>
          <w:sz w:val="16"/>
        </w:rPr>
        <w:t>i</w:t>
      </w:r>
    </w:p>
    <w:p>
      <w:pPr>
        <w:tabs>
          <w:tab w:pos="2395" w:val="left" w:leader="none"/>
        </w:tabs>
        <w:spacing w:before="32"/>
        <w:ind w:left="61" w:right="0" w:firstLine="0"/>
        <w:jc w:val="left"/>
        <w:rPr>
          <w:rFonts w:ascii="Symbol" w:hAnsi="Symbol"/>
          <w:sz w:val="37"/>
        </w:rPr>
      </w:pPr>
      <w:r>
        <w:rPr/>
        <w:br w:type="column"/>
      </w:r>
      <w:r>
        <w:rPr>
          <w:rFonts w:ascii="Symbol" w:hAnsi="Symbol"/>
          <w:w w:val="118"/>
          <w:sz w:val="28"/>
        </w:rPr>
        <w:t></w:t>
      </w:r>
      <w:r>
        <w:rPr>
          <w:rFonts w:ascii="Times New Roman" w:hAnsi="Times New Roman"/>
          <w:spacing w:val="-14"/>
          <w:sz w:val="28"/>
        </w:rPr>
        <w:t> </w:t>
      </w:r>
      <w:r>
        <w:rPr>
          <w:rFonts w:ascii="Symbol" w:hAnsi="Symbol"/>
          <w:spacing w:val="-6"/>
          <w:w w:val="118"/>
          <w:sz w:val="28"/>
        </w:rPr>
        <w:t></w:t>
      </w:r>
      <w:r>
        <w:rPr>
          <w:rFonts w:ascii="Times New Roman" w:hAnsi="Times New Roman"/>
          <w:spacing w:val="-26"/>
          <w:w w:val="118"/>
          <w:sz w:val="28"/>
        </w:rPr>
        <w:t>RT</w:t>
      </w:r>
      <w:r>
        <w:rPr>
          <w:rFonts w:ascii="Times New Roman" w:hAnsi="Times New Roman"/>
          <w:spacing w:val="-34"/>
          <w:w w:val="118"/>
          <w:sz w:val="28"/>
        </w:rPr>
        <w:t>l</w:t>
      </w:r>
      <w:r>
        <w:rPr>
          <w:rFonts w:ascii="Times New Roman" w:hAnsi="Times New Roman"/>
          <w:spacing w:val="-9"/>
          <w:w w:val="118"/>
          <w:sz w:val="28"/>
        </w:rPr>
        <w:t>o</w:t>
      </w:r>
      <w:r>
        <w:rPr>
          <w:rFonts w:ascii="Times New Roman" w:hAnsi="Times New Roman"/>
          <w:w w:val="118"/>
          <w:sz w:val="28"/>
        </w:rPr>
        <w:t>g</w:t>
      </w:r>
      <w:r>
        <w:rPr>
          <w:rFonts w:ascii="Times New Roman" w:hAnsi="Times New Roman"/>
          <w:spacing w:val="-31"/>
          <w:sz w:val="28"/>
        </w:rPr>
        <w:t> </w:t>
      </w:r>
      <w:r>
        <w:rPr>
          <w:rFonts w:ascii="Symbol" w:hAnsi="Symbol"/>
          <w:spacing w:val="-14"/>
          <w:w w:val="88"/>
          <w:sz w:val="37"/>
        </w:rPr>
        <w:t></w:t>
      </w:r>
      <w:r>
        <w:rPr>
          <w:rFonts w:ascii="Times New Roman" w:hAnsi="Times New Roman"/>
          <w:w w:val="118"/>
          <w:sz w:val="28"/>
        </w:rPr>
        <w:t>K</w:t>
      </w:r>
      <w:r>
        <w:rPr>
          <w:rFonts w:ascii="Times New Roman" w:hAnsi="Times New Roman"/>
          <w:w w:val="120"/>
          <w:position w:val="-6"/>
          <w:sz w:val="16"/>
        </w:rPr>
        <w:t>i</w:t>
      </w:r>
      <w:r>
        <w:rPr>
          <w:rFonts w:ascii="Times New Roman" w:hAnsi="Times New Roman"/>
          <w:spacing w:val="4"/>
          <w:position w:val="-6"/>
          <w:sz w:val="16"/>
        </w:rPr>
        <w:t> </w:t>
      </w:r>
      <w:r>
        <w:rPr>
          <w:rFonts w:ascii="Symbol" w:hAnsi="Symbol"/>
          <w:w w:val="88"/>
          <w:sz w:val="37"/>
        </w:rPr>
        <w:t></w:t>
      </w:r>
      <w:r>
        <w:rPr>
          <w:rFonts w:ascii="Times New Roman" w:hAnsi="Times New Roman"/>
          <w:sz w:val="37"/>
        </w:rPr>
        <w:tab/>
      </w:r>
      <w:r>
        <w:rPr>
          <w:rFonts w:ascii="Symbol" w:hAnsi="Symbol"/>
          <w:spacing w:val="-14"/>
          <w:w w:val="88"/>
          <w:sz w:val="37"/>
        </w:rPr>
        <w:t></w:t>
      </w:r>
      <w:r>
        <w:rPr>
          <w:rFonts w:ascii="Times New Roman" w:hAnsi="Times New Roman"/>
          <w:spacing w:val="-3"/>
          <w:w w:val="118"/>
          <w:sz w:val="28"/>
        </w:rPr>
        <w:t>2</w:t>
      </w:r>
      <w:r>
        <w:rPr>
          <w:rFonts w:ascii="Symbol" w:hAnsi="Symbol"/>
          <w:w w:val="88"/>
          <w:sz w:val="37"/>
        </w:rPr>
        <w:t></w:t>
      </w:r>
    </w:p>
    <w:p>
      <w:pPr>
        <w:spacing w:after="0"/>
        <w:jc w:val="left"/>
        <w:rPr>
          <w:rFonts w:ascii="Symbol" w:hAnsi="Symbol"/>
          <w:sz w:val="37"/>
        </w:rPr>
        <w:sectPr>
          <w:type w:val="continuous"/>
          <w:pgSz w:w="12240" w:h="15840"/>
          <w:pgMar w:top="3080" w:bottom="2780" w:left="1440" w:right="1460"/>
          <w:cols w:num="2" w:equalWidth="0">
            <w:col w:w="3535" w:space="40"/>
            <w:col w:w="5765"/>
          </w:cols>
        </w:sectPr>
      </w:pPr>
    </w:p>
    <w:p>
      <w:pPr>
        <w:pStyle w:val="BodyText"/>
        <w:spacing w:before="2"/>
        <w:rPr>
          <w:rFonts w:ascii="Symbol" w:hAnsi="Symbol"/>
          <w:sz w:val="29"/>
        </w:rPr>
      </w:pPr>
    </w:p>
    <w:p>
      <w:pPr>
        <w:pStyle w:val="BodyText"/>
        <w:spacing w:line="360" w:lineRule="auto" w:before="66"/>
        <w:ind w:left="259" w:right="238"/>
        <w:jc w:val="both"/>
      </w:pPr>
      <w:r>
        <w:rPr/>
        <w:t>Sin embargo, en estos tipos de ecuaciones, otros parámetros fisicoquímicos o descriptores moleculares también se pueden usar para cuantificar el efecto de los cambios en la estructura química más de una característica de interés. Esto significa que los descriptores moleculares para una molécula dada se pueden utilizar, que no sólo son constantes termodinámicas, sino también otras medidas teóricas de lipofilia molecular, electronegatividad, polarizabilidad, o propiedades de topología molecular (Ehresmann et al., 2005), etc. Los valores de estas variables de entrada (IVK) puede calcularse como parámetros fisicoquímicos o descriptores moleculares de diferentes tipos (k) para una molécula dada (mi). De hecho, la notación se puede ampliar incluyendo funciones o parámetros termodinámicos extra de la siguiente.</w:t>
      </w:r>
    </w:p>
    <w:p>
      <w:pPr>
        <w:pStyle w:val="BodyText"/>
        <w:spacing w:before="2"/>
        <w:rPr>
          <w:sz w:val="19"/>
        </w:rPr>
      </w:pPr>
    </w:p>
    <w:p>
      <w:pPr>
        <w:spacing w:after="0"/>
        <w:rPr>
          <w:sz w:val="19"/>
        </w:rPr>
        <w:sectPr>
          <w:type w:val="continuous"/>
          <w:pgSz w:w="12240" w:h="15840"/>
          <w:pgMar w:top="3080" w:bottom="2780" w:left="1440" w:right="1460"/>
        </w:sectPr>
      </w:pPr>
    </w:p>
    <w:p>
      <w:pPr>
        <w:spacing w:line="18" w:lineRule="exact" w:before="204"/>
        <w:ind w:left="0" w:right="0" w:firstLine="0"/>
        <w:jc w:val="right"/>
        <w:rPr>
          <w:rFonts w:ascii="Symbol" w:hAnsi="Symbol"/>
          <w:sz w:val="28"/>
        </w:rPr>
      </w:pPr>
      <w:r>
        <w:rPr>
          <w:rFonts w:ascii="Calibri" w:hAnsi="Calibri"/>
          <w:i/>
          <w:w w:val="115"/>
          <w:sz w:val="28"/>
        </w:rPr>
        <w:t>f </w:t>
      </w:r>
      <w:r>
        <w:rPr>
          <w:rFonts w:ascii="Calibri" w:hAnsi="Calibri"/>
          <w:w w:val="115"/>
          <w:sz w:val="28"/>
        </w:rPr>
        <w:t>(</w:t>
      </w:r>
      <w:r>
        <w:rPr>
          <w:rFonts w:ascii="Symbol" w:hAnsi="Symbol"/>
          <w:i/>
          <w:w w:val="115"/>
          <w:sz w:val="30"/>
        </w:rPr>
        <w:t></w:t>
      </w:r>
      <w:r>
        <w:rPr>
          <w:rFonts w:ascii="Times New Roman" w:hAnsi="Times New Roman"/>
          <w:i/>
          <w:w w:val="115"/>
          <w:sz w:val="30"/>
        </w:rPr>
        <w:t> </w:t>
      </w:r>
      <w:r>
        <w:rPr>
          <w:rFonts w:ascii="Calibri" w:hAnsi="Calibri"/>
          <w:w w:val="115"/>
          <w:sz w:val="28"/>
        </w:rPr>
        <w:t>) </w:t>
      </w:r>
      <w:r>
        <w:rPr>
          <w:rFonts w:ascii="Symbol" w:hAnsi="Symbol"/>
          <w:w w:val="115"/>
          <w:sz w:val="28"/>
        </w:rPr>
        <w:t></w:t>
      </w:r>
    </w:p>
    <w:p>
      <w:pPr>
        <w:spacing w:line="152" w:lineRule="exact" w:before="71"/>
        <w:ind w:left="28" w:right="-17" w:firstLine="0"/>
        <w:jc w:val="left"/>
        <w:rPr>
          <w:rFonts w:ascii="Calibri"/>
          <w:sz w:val="16"/>
        </w:rPr>
      </w:pPr>
      <w:r>
        <w:rPr/>
        <w:br w:type="column"/>
      </w:r>
      <w:r>
        <w:rPr>
          <w:rFonts w:ascii="Calibri"/>
          <w:spacing w:val="-8"/>
          <w:w w:val="120"/>
          <w:sz w:val="16"/>
        </w:rPr>
        <w:t>jmax</w:t>
      </w:r>
    </w:p>
    <w:p>
      <w:pPr>
        <w:spacing w:line="11" w:lineRule="exact" w:before="223"/>
        <w:ind w:left="-22" w:right="-9" w:firstLine="0"/>
        <w:jc w:val="left"/>
        <w:rPr>
          <w:rFonts w:ascii="Calibri" w:hAnsi="Calibri"/>
          <w:i/>
          <w:sz w:val="28"/>
        </w:rPr>
      </w:pPr>
      <w:r>
        <w:rPr/>
        <w:br w:type="column"/>
      </w:r>
      <w:r>
        <w:rPr>
          <w:rFonts w:ascii="Calibri" w:hAnsi="Calibri"/>
          <w:i/>
          <w:w w:val="120"/>
          <w:sz w:val="28"/>
        </w:rPr>
        <w:t>a </w:t>
      </w:r>
      <w:r>
        <w:rPr>
          <w:rFonts w:ascii="Calibri" w:hAnsi="Calibri"/>
          <w:w w:val="120"/>
          <w:sz w:val="28"/>
        </w:rPr>
        <w:t>·</w:t>
      </w:r>
      <w:r>
        <w:rPr>
          <w:rFonts w:ascii="Calibri" w:hAnsi="Calibri"/>
          <w:w w:val="120"/>
          <w:position w:val="12"/>
          <w:sz w:val="16"/>
        </w:rPr>
        <w:t>i</w:t>
      </w:r>
      <w:r>
        <w:rPr>
          <w:rFonts w:ascii="Calibri" w:hAnsi="Calibri"/>
          <w:i/>
          <w:w w:val="120"/>
          <w:sz w:val="28"/>
        </w:rPr>
        <w:t>V</w:t>
      </w:r>
    </w:p>
    <w:p>
      <w:pPr>
        <w:spacing w:line="174" w:lineRule="exact" w:before="71"/>
        <w:ind w:left="326" w:right="-16" w:firstLine="0"/>
        <w:jc w:val="left"/>
        <w:rPr>
          <w:rFonts w:ascii="Calibri"/>
          <w:sz w:val="16"/>
        </w:rPr>
      </w:pPr>
      <w:r>
        <w:rPr/>
        <w:br w:type="column"/>
      </w:r>
      <w:r>
        <w:rPr>
          <w:rFonts w:ascii="Calibri"/>
          <w:spacing w:val="-8"/>
          <w:w w:val="120"/>
          <w:sz w:val="16"/>
        </w:rPr>
        <w:t>jmax</w:t>
      </w:r>
    </w:p>
    <w:p>
      <w:pPr>
        <w:spacing w:line="23" w:lineRule="exact" w:before="0"/>
        <w:ind w:left="90" w:right="0" w:firstLine="0"/>
        <w:jc w:val="left"/>
        <w:rPr>
          <w:rFonts w:ascii="Symbol" w:hAnsi="Symbol"/>
          <w:sz w:val="28"/>
        </w:rPr>
      </w:pPr>
      <w:r>
        <w:rPr>
          <w:rFonts w:ascii="Symbol" w:hAnsi="Symbol"/>
          <w:w w:val="117"/>
          <w:sz w:val="28"/>
        </w:rPr>
        <w:t></w:t>
      </w:r>
    </w:p>
    <w:p>
      <w:pPr>
        <w:spacing w:line="159" w:lineRule="exact" w:before="64"/>
        <w:ind w:left="-17" w:right="-16" w:firstLine="0"/>
        <w:jc w:val="left"/>
        <w:rPr>
          <w:rFonts w:ascii="Calibri" w:hAnsi="Calibri"/>
          <w:i/>
          <w:sz w:val="28"/>
        </w:rPr>
      </w:pPr>
      <w:r>
        <w:rPr/>
        <w:br w:type="column"/>
      </w:r>
      <w:r>
        <w:rPr>
          <w:rFonts w:ascii="Calibri" w:hAnsi="Calibri"/>
          <w:i/>
          <w:w w:val="117"/>
          <w:sz w:val="28"/>
        </w:rPr>
        <w:t>b</w:t>
      </w:r>
      <w:r>
        <w:rPr>
          <w:rFonts w:ascii="Calibri" w:hAnsi="Calibri"/>
          <w:i/>
          <w:spacing w:val="-17"/>
          <w:sz w:val="28"/>
        </w:rPr>
        <w:t> </w:t>
      </w:r>
      <w:r>
        <w:rPr>
          <w:rFonts w:ascii="Calibri" w:hAnsi="Calibri"/>
          <w:spacing w:val="-9"/>
          <w:w w:val="117"/>
          <w:sz w:val="28"/>
        </w:rPr>
        <w:t>·</w:t>
      </w:r>
      <w:r>
        <w:rPr>
          <w:rFonts w:ascii="Symbol" w:hAnsi="Symbol"/>
          <w:spacing w:val="3"/>
          <w:w w:val="73"/>
          <w:sz w:val="44"/>
        </w:rPr>
        <w:t></w:t>
      </w:r>
      <w:r>
        <w:rPr>
          <w:rFonts w:ascii="Calibri" w:hAnsi="Calibri"/>
          <w:i/>
          <w:spacing w:val="1"/>
          <w:w w:val="119"/>
          <w:position w:val="12"/>
          <w:sz w:val="16"/>
        </w:rPr>
        <w:t>i</w:t>
      </w:r>
      <w:r>
        <w:rPr>
          <w:rFonts w:ascii="Calibri" w:hAnsi="Calibri"/>
          <w:i/>
          <w:w w:val="117"/>
          <w:sz w:val="28"/>
        </w:rPr>
        <w:t>V</w:t>
      </w:r>
      <w:r>
        <w:rPr>
          <w:rFonts w:ascii="Calibri" w:hAnsi="Calibri"/>
          <w:i/>
          <w:sz w:val="28"/>
        </w:rPr>
        <w:t> </w:t>
      </w:r>
      <w:r>
        <w:rPr>
          <w:rFonts w:ascii="Calibri" w:hAnsi="Calibri"/>
          <w:i/>
          <w:spacing w:val="-31"/>
          <w:sz w:val="28"/>
        </w:rPr>
        <w:t> </w:t>
      </w:r>
      <w:r>
        <w:rPr>
          <w:rFonts w:ascii="Symbol" w:hAnsi="Symbol"/>
          <w:spacing w:val="-27"/>
          <w:w w:val="73"/>
          <w:sz w:val="44"/>
        </w:rPr>
        <w:t></w:t>
      </w:r>
      <w:r>
        <w:rPr>
          <w:rFonts w:ascii="Times New Roman" w:hAnsi="Times New Roman"/>
          <w:w w:val="119"/>
          <w:position w:val="17"/>
          <w:sz w:val="16"/>
        </w:rPr>
        <w:t>2</w:t>
      </w:r>
      <w:r>
        <w:rPr>
          <w:rFonts w:ascii="Times New Roman" w:hAnsi="Times New Roman"/>
          <w:position w:val="17"/>
          <w:sz w:val="16"/>
        </w:rPr>
        <w:t> </w:t>
      </w:r>
      <w:r>
        <w:rPr>
          <w:rFonts w:ascii="Times New Roman" w:hAnsi="Times New Roman"/>
          <w:spacing w:val="-8"/>
          <w:position w:val="17"/>
          <w:sz w:val="16"/>
        </w:rPr>
        <w:t> </w:t>
      </w:r>
      <w:r>
        <w:rPr>
          <w:rFonts w:ascii="Symbol" w:hAnsi="Symbol"/>
          <w:w w:val="117"/>
          <w:sz w:val="28"/>
        </w:rPr>
        <w:t></w:t>
      </w:r>
      <w:r>
        <w:rPr>
          <w:rFonts w:ascii="Times New Roman" w:hAnsi="Times New Roman"/>
          <w:spacing w:val="-30"/>
          <w:sz w:val="28"/>
        </w:rPr>
        <w:t> </w:t>
      </w:r>
      <w:r>
        <w:rPr>
          <w:rFonts w:ascii="Calibri" w:hAnsi="Calibri"/>
          <w:i/>
          <w:w w:val="117"/>
          <w:sz w:val="28"/>
        </w:rPr>
        <w:t>e</w:t>
      </w:r>
    </w:p>
    <w:p>
      <w:pPr>
        <w:spacing w:line="69" w:lineRule="exact" w:before="154"/>
        <w:ind w:left="610" w:right="0" w:firstLine="0"/>
        <w:jc w:val="left"/>
        <w:rPr>
          <w:rFonts w:ascii="Symbol" w:hAnsi="Symbol"/>
          <w:sz w:val="35"/>
        </w:rPr>
      </w:pPr>
      <w:r>
        <w:rPr/>
        <w:br w:type="column"/>
      </w:r>
      <w:r>
        <w:rPr>
          <w:rFonts w:ascii="Symbol" w:hAnsi="Symbol"/>
          <w:sz w:val="35"/>
        </w:rPr>
        <w:t></w:t>
      </w:r>
      <w:r>
        <w:rPr>
          <w:rFonts w:ascii="Times New Roman" w:hAnsi="Times New Roman"/>
          <w:sz w:val="28"/>
        </w:rPr>
        <w:t>3</w:t>
      </w:r>
      <w:r>
        <w:rPr>
          <w:rFonts w:ascii="Symbol" w:hAnsi="Symbol"/>
          <w:sz w:val="35"/>
        </w:rPr>
        <w:t></w:t>
      </w:r>
    </w:p>
    <w:p>
      <w:pPr>
        <w:spacing w:after="0" w:line="69" w:lineRule="exact"/>
        <w:jc w:val="left"/>
        <w:rPr>
          <w:rFonts w:ascii="Symbol" w:hAnsi="Symbol"/>
          <w:sz w:val="35"/>
        </w:rPr>
        <w:sectPr>
          <w:type w:val="continuous"/>
          <w:pgSz w:w="12240" w:h="15840"/>
          <w:pgMar w:top="3080" w:bottom="2780" w:left="1440" w:right="1460"/>
          <w:cols w:num="6" w:equalWidth="0">
            <w:col w:w="3051" w:space="40"/>
            <w:col w:w="374" w:space="40"/>
            <w:col w:w="558" w:space="40"/>
            <w:col w:w="673" w:space="40"/>
            <w:col w:w="1343" w:space="40"/>
            <w:col w:w="3141"/>
          </w:cols>
        </w:sectPr>
      </w:pPr>
    </w:p>
    <w:p>
      <w:pPr>
        <w:tabs>
          <w:tab w:pos="3127" w:val="left" w:leader="none"/>
          <w:tab w:pos="4026" w:val="left" w:leader="none"/>
        </w:tabs>
        <w:spacing w:line="386" w:lineRule="exact" w:before="0"/>
        <w:ind w:left="2644" w:right="0" w:firstLine="0"/>
        <w:jc w:val="left"/>
        <w:rPr>
          <w:rFonts w:ascii="Calibri" w:hAnsi="Calibri"/>
          <w:sz w:val="16"/>
        </w:rPr>
      </w:pPr>
      <w:r>
        <w:rPr>
          <w:rFonts w:ascii="Calibri" w:hAnsi="Calibri"/>
          <w:i/>
          <w:w w:val="120"/>
          <w:sz w:val="16"/>
        </w:rPr>
        <w:t>i</w:t>
        <w:tab/>
      </w:r>
      <w:r>
        <w:rPr>
          <w:rFonts w:ascii="Symbol" w:hAnsi="Symbol"/>
          <w:w w:val="120"/>
          <w:position w:val="1"/>
          <w:sz w:val="42"/>
        </w:rPr>
        <w:t></w:t>
      </w:r>
      <w:r>
        <w:rPr>
          <w:rFonts w:ascii="Times New Roman" w:hAnsi="Times New Roman"/>
          <w:spacing w:val="25"/>
          <w:w w:val="120"/>
          <w:position w:val="1"/>
          <w:sz w:val="42"/>
        </w:rPr>
        <w:t> </w:t>
      </w:r>
      <w:r>
        <w:rPr>
          <w:rFonts w:ascii="Calibri" w:hAnsi="Calibri"/>
          <w:w w:val="120"/>
          <w:sz w:val="16"/>
        </w:rPr>
        <w:t>k</w:t>
        <w:tab/>
        <w:t>k</w:t>
      </w:r>
    </w:p>
    <w:p>
      <w:pPr>
        <w:spacing w:line="178" w:lineRule="exact" w:before="0"/>
        <w:ind w:left="0" w:right="674" w:firstLine="0"/>
        <w:jc w:val="right"/>
        <w:rPr>
          <w:rFonts w:ascii="Calibri" w:hAnsi="Calibri"/>
          <w:sz w:val="16"/>
        </w:rPr>
      </w:pPr>
      <w:r>
        <w:rPr>
          <w:rFonts w:ascii="Calibri" w:hAnsi="Calibri"/>
          <w:i/>
          <w:w w:val="120"/>
          <w:sz w:val="16"/>
        </w:rPr>
        <w:t>j</w:t>
      </w:r>
      <w:r>
        <w:rPr>
          <w:rFonts w:ascii="Symbol" w:hAnsi="Symbol"/>
          <w:w w:val="120"/>
          <w:sz w:val="16"/>
        </w:rPr>
        <w:t></w:t>
      </w:r>
      <w:r>
        <w:rPr>
          <w:rFonts w:ascii="Calibri" w:hAnsi="Calibri"/>
          <w:w w:val="120"/>
          <w:sz w:val="16"/>
        </w:rPr>
        <w:t>1</w:t>
      </w:r>
    </w:p>
    <w:p>
      <w:pPr>
        <w:tabs>
          <w:tab w:pos="1242" w:val="left" w:leader="none"/>
          <w:tab w:pos="1995" w:val="left" w:leader="none"/>
        </w:tabs>
        <w:spacing w:line="386" w:lineRule="exact" w:before="0"/>
        <w:ind w:left="283" w:right="0" w:firstLine="0"/>
        <w:jc w:val="left"/>
        <w:rPr>
          <w:rFonts w:ascii="Times New Roman" w:hAnsi="Times New Roman"/>
          <w:sz w:val="16"/>
        </w:rPr>
      </w:pPr>
      <w:r>
        <w:rPr/>
        <w:br w:type="column"/>
      </w:r>
      <w:r>
        <w:rPr>
          <w:rFonts w:ascii="Symbol" w:hAnsi="Symbol"/>
          <w:w w:val="120"/>
          <w:position w:val="1"/>
          <w:sz w:val="42"/>
        </w:rPr>
        <w:t></w:t>
      </w:r>
      <w:r>
        <w:rPr>
          <w:rFonts w:ascii="Times New Roman" w:hAnsi="Times New Roman"/>
          <w:spacing w:val="39"/>
          <w:w w:val="120"/>
          <w:position w:val="1"/>
          <w:sz w:val="42"/>
        </w:rPr>
        <w:t> </w:t>
      </w:r>
      <w:r>
        <w:rPr>
          <w:rFonts w:ascii="Calibri" w:hAnsi="Calibri"/>
          <w:w w:val="120"/>
          <w:sz w:val="16"/>
        </w:rPr>
        <w:t>j</w:t>
        <w:tab/>
        <w:t>k</w:t>
      </w:r>
      <w:r>
        <w:rPr>
          <w:rFonts w:ascii="Times New Roman" w:hAnsi="Times New Roman"/>
          <w:w w:val="120"/>
          <w:sz w:val="16"/>
        </w:rPr>
        <w:tab/>
        <w:t>0</w:t>
      </w:r>
    </w:p>
    <w:p>
      <w:pPr>
        <w:spacing w:line="178" w:lineRule="exact" w:before="0"/>
        <w:ind w:left="339" w:right="0" w:firstLine="0"/>
        <w:jc w:val="left"/>
        <w:rPr>
          <w:rFonts w:ascii="Calibri" w:hAnsi="Calibri"/>
          <w:sz w:val="16"/>
        </w:rPr>
      </w:pPr>
      <w:r>
        <w:rPr>
          <w:rFonts w:ascii="Calibri" w:hAnsi="Calibri"/>
          <w:i/>
          <w:w w:val="120"/>
          <w:sz w:val="16"/>
        </w:rPr>
        <w:t>j</w:t>
      </w:r>
      <w:r>
        <w:rPr>
          <w:rFonts w:ascii="Symbol" w:hAnsi="Symbol"/>
          <w:w w:val="120"/>
          <w:sz w:val="16"/>
        </w:rPr>
        <w:t></w:t>
      </w:r>
      <w:r>
        <w:rPr>
          <w:rFonts w:ascii="Calibri" w:hAnsi="Calibri"/>
          <w:w w:val="120"/>
          <w:sz w:val="16"/>
        </w:rPr>
        <w:t>1</w:t>
      </w:r>
    </w:p>
    <w:p>
      <w:pPr>
        <w:spacing w:after="0" w:line="178" w:lineRule="exact"/>
        <w:jc w:val="left"/>
        <w:rPr>
          <w:rFonts w:ascii="Calibri" w:hAnsi="Calibri"/>
          <w:sz w:val="16"/>
        </w:rPr>
        <w:sectPr>
          <w:type w:val="continuous"/>
          <w:pgSz w:w="12240" w:h="15840"/>
          <w:pgMar w:top="3080" w:bottom="2780" w:left="1440" w:right="1460"/>
          <w:cols w:num="2" w:equalWidth="0">
            <w:col w:w="4114" w:space="40"/>
            <w:col w:w="5186"/>
          </w:cols>
        </w:sectPr>
      </w:pPr>
    </w:p>
    <w:p>
      <w:pPr>
        <w:pStyle w:val="BodyText"/>
        <w:rPr>
          <w:rFonts w:ascii="Calibri"/>
          <w:sz w:val="20"/>
        </w:rPr>
      </w:pPr>
    </w:p>
    <w:p>
      <w:pPr>
        <w:pStyle w:val="Heading3"/>
        <w:numPr>
          <w:ilvl w:val="1"/>
          <w:numId w:val="2"/>
        </w:numPr>
        <w:tabs>
          <w:tab w:pos="683" w:val="left" w:leader="none"/>
        </w:tabs>
        <w:spacing w:line="240" w:lineRule="auto" w:before="209" w:after="0"/>
        <w:ind w:left="682" w:right="0" w:hanging="423"/>
        <w:jc w:val="left"/>
        <w:rPr>
          <w:rFonts w:ascii="Times New Roman" w:hAnsi="Times New Roman"/>
        </w:rPr>
      </w:pPr>
      <w:bookmarkStart w:name="_TOC_250018" w:id="22"/>
      <w:r>
        <w:rPr>
          <w:rFonts w:ascii="Times New Roman" w:hAnsi="Times New Roman"/>
        </w:rPr>
        <w:t>Relación estructura-actividad</w:t>
      </w:r>
      <w:r>
        <w:rPr>
          <w:rFonts w:ascii="Times New Roman" w:hAnsi="Times New Roman"/>
          <w:spacing w:val="-12"/>
        </w:rPr>
        <w:t> </w:t>
      </w:r>
      <w:bookmarkEnd w:id="22"/>
      <w:r>
        <w:rPr>
          <w:rFonts w:ascii="Times New Roman" w:hAnsi="Times New Roman"/>
        </w:rPr>
        <w:t>(SAR).</w:t>
      </w:r>
    </w:p>
    <w:p>
      <w:pPr>
        <w:pStyle w:val="BodyText"/>
        <w:spacing w:before="10"/>
        <w:rPr>
          <w:rFonts w:ascii="Times New Roman"/>
          <w:b/>
        </w:rPr>
      </w:pPr>
    </w:p>
    <w:p>
      <w:pPr>
        <w:pStyle w:val="BodyText"/>
        <w:spacing w:line="360" w:lineRule="auto"/>
        <w:ind w:left="259" w:right="234" w:firstLine="283"/>
        <w:jc w:val="both"/>
      </w:pPr>
      <w:r>
        <w:rPr/>
        <w:t>En general, la suposición básica para el análisis de Hánsch es que las moléculas similares tienen actividades similares (de Hansch et al, 2001;.. De Hansch et al, 2002; de Hansch et al., 2003). Este principio también se denomina Relación Estructura- Actividad (SAR). La paradoja SAR se refiere al hecho de que no todos los casos que las moléculas similares a lo largo con actividades similares. Por tanto, el problema de fondo es cómo definir una pequeña diferencia en un nivel molecular. El problema es relevante ya que cada tipo de propiedad, por ejemplo, solubilidad, reactividad, o el metabolismo, se espera que depender de otra diferencia. Esto significa que las variaciones o perturbaciones "pequeños" tienen que ser cuantificados a nivel estructural molecular, que a su vez implica un "pequeño" cambio lineal en la energía libre de la interacción del fármaco con el receptor.</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3" w:firstLine="283"/>
        <w:jc w:val="both"/>
      </w:pPr>
      <w:r>
        <w:rPr/>
        <w:t>En nuestra opinión, las ideas de la teoría de perturbaciones (PT) (González-Díaz et al., 2013A) pueden utilizarse para dar cuenta de este problema en el contexto de Quimioinformática. Es por eso que; en este trabajo se utilizaron PT y LFER ideas para formular un nuevo enfoque PT-LFER. Este enfoque PT-LFER es una generalización del método clásico Hánsch extra-Termodinámica para Quimioinformática. La prueba de concepto-También se demostró con un estudio experimental, teórica sobre redes complejas de distribución de FA en lipidómica. Con este fin, primero los experimentos se llevaron a cabo para determinar la composición LCFA en el microbioma rumen. A continuación, se incluyó el estudio Quimioinformática, empezando por la definición, la formación, y la validación de nuevos modelos de clasificación PT-LFER. Metodología de aprendizaje de máquina, como Redes Neuronales Artificiales (RNAs) se utilizaron para probar modelos PT-NLFER (análogos Noω-lineales de PT-LFER). A continuación, el mejor modelo PT-LFER encontró fue utilizado para predecir el efecto de las perturbaciones en las condiciones de contorno iniciales sobre un gran compleja red de distribución / absorción de FA en el microbioma ruminal. La compleja red observada para los datos reportados se construyó y se compara por primera vez con la red y modelo predijo redes aleatorias de gran similar. Por último, la sección teórica se completa con un estudio comparativo del modelo de clasificación PT-LFER encontrado con otros modelos noω lineal. Este estudio fue de gran relevancia debido a los resultados anteriores que apuntan a una relación fuerte entre la ω-6 / ω-3 ratios de consumo de FA y la salud humana (Calder et al, 2011; Calviello et al., 2013).. Por consiguiente, este trabajo allana el camino para evaluar el efecto de las perturbaciones en los sistemas moleculares complejas implicadas en </w:t>
      </w:r>
      <w:r>
        <w:rPr>
          <w:spacing w:val="4"/>
        </w:rPr>
        <w:t>las </w:t>
      </w:r>
      <w:r>
        <w:rPr/>
        <w:t>estructuras químicas y las condiciones experimentales de</w:t>
      </w:r>
      <w:r>
        <w:rPr>
          <w:spacing w:val="-12"/>
        </w:rPr>
        <w:t> </w:t>
      </w:r>
      <w:r>
        <w:rPr/>
        <w:t>contorno.</w:t>
      </w:r>
    </w:p>
    <w:p>
      <w:pPr>
        <w:pStyle w:val="BodyText"/>
        <w:spacing w:before="3"/>
        <w:rPr>
          <w:sz w:val="23"/>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17" w:id="23"/>
      <w:r>
        <w:rPr>
          <w:rFonts w:ascii="Times New Roman" w:hAnsi="Times New Roman"/>
        </w:rPr>
        <w:t>Cálculo de descriptores</w:t>
      </w:r>
      <w:r>
        <w:rPr>
          <w:rFonts w:ascii="Times New Roman" w:hAnsi="Times New Roman"/>
          <w:spacing w:val="-25"/>
        </w:rPr>
        <w:t> </w:t>
      </w:r>
      <w:bookmarkEnd w:id="23"/>
      <w:r>
        <w:rPr>
          <w:rFonts w:ascii="Times New Roman" w:hAnsi="Times New Roman"/>
        </w:rPr>
        <w:t>moleculares.</w:t>
      </w:r>
    </w:p>
    <w:p>
      <w:pPr>
        <w:pStyle w:val="BodyText"/>
        <w:spacing w:before="6"/>
        <w:rPr>
          <w:rFonts w:ascii="Times New Roman"/>
          <w:b/>
        </w:rPr>
      </w:pPr>
    </w:p>
    <w:p>
      <w:pPr>
        <w:pStyle w:val="BodyText"/>
        <w:spacing w:line="360" w:lineRule="auto"/>
        <w:ind w:left="259" w:right="244" w:firstLine="283"/>
        <w:jc w:val="both"/>
      </w:pPr>
      <w:r>
        <w:rPr/>
        <w:t>En la primera obra de esta serie, se utilizó el valor medio de los valores de electronegatividad atómicos de los descriptores de la estructura química (IVK) de un medicamento (Hong et al., 2008). En este trabajo, los modelos PT anteriores se extienden en dirección contraria. En este documento, se combinan los modelos PT y</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35"/>
        <w:jc w:val="both"/>
      </w:pPr>
      <w:r>
        <w:rPr/>
        <w:t>ecuaciones LFER de Hansch para llevar a cabo un análisis de PT-LFER  por  primera vez. El sistema de entrada de línea (sonríe) códigos simplificado Molecular-entrada de cada ácido graso fueron descargados de los datos del sitio web de entidades químicas de interés biológico (Cheb</w:t>
      </w:r>
      <w:hyperlink r:id="rId61">
        <w:r>
          <w:rPr/>
          <w:t>i: http://www.ebi.ac.uk/chebi/).</w:t>
        </w:r>
      </w:hyperlink>
      <w:r>
        <w:rPr/>
        <w:t> Y luego, esta forma SMILES códigos de cada ácido graso se han subido a DRAGON43 software, 44 para obtener algunos descriptores moleculares (IVK). Códigos sonrisas son muy útiles para administrar estructuras moleculares (Siani y col., 1994; Karwath y De Raedt, 2006; Toropov y Benfenati, 2007). Y para su posterior cálculo de descriptores moleculares (Tetko et al., 2001; Vidal et al, 2005). En primer lugar, se utilizaron variables estructurales (IVK) de cada ácido graso como un nuevo conjunto de descriptores moleculares. Estas variables son las mismas clases de descriptores moleculares utilizados en el análisis de Hansch para cuantificar las estructuras moleculares. La primera clase de descriptor molecular calculado era V1 = Mw (peso molecular). La segunda clase de descriptores moleculares </w:t>
      </w:r>
      <w:r>
        <w:rPr>
          <w:spacing w:val="-3"/>
        </w:rPr>
        <w:t>V2 </w:t>
      </w:r>
      <w:r>
        <w:rPr/>
        <w:t>= AEigv, V3 = AEige, y V4 = AEigp también fueron incluidos, que son la media de valores propios de matrices de  distancia topológicos ponderado con atómica van der Waals volúmenes (v), polarizabilidad (p), o Electronegatividad (e). Por último, también se propusieron V5 = MR (Molecular Refractividad), V6 = LogP (logaritmo del coeficiente de ω-reparto octanol /</w:t>
      </w:r>
      <w:r>
        <w:rPr>
          <w:spacing w:val="-4"/>
        </w:rPr>
        <w:t> </w:t>
      </w:r>
      <w:r>
        <w:rPr/>
        <w:t>agua.</w:t>
      </w:r>
    </w:p>
    <w:p>
      <w:pPr>
        <w:spacing w:after="0" w:line="360" w:lineRule="auto"/>
        <w:jc w:val="both"/>
        <w:sectPr>
          <w:pgSz w:w="12240" w:h="15840"/>
          <w:pgMar w:header="684" w:footer="1164" w:top="1380" w:bottom="1380" w:left="1440" w:right="1460"/>
        </w:sectPr>
      </w:pPr>
    </w:p>
    <w:p>
      <w:pPr>
        <w:pStyle w:val="BodyText"/>
        <w:spacing w:before="10"/>
        <w:rPr>
          <w:sz w:val="21"/>
        </w:rPr>
      </w:pPr>
    </w:p>
    <w:p>
      <w:pPr>
        <w:pStyle w:val="BodyText"/>
        <w:ind w:left="542"/>
        <w:rPr>
          <w:sz w:val="20"/>
        </w:rPr>
      </w:pPr>
      <w:r>
        <w:rPr>
          <w:sz w:val="20"/>
        </w:rPr>
        <w:drawing>
          <wp:inline distT="0" distB="0" distL="0" distR="0">
            <wp:extent cx="5444971" cy="2908554"/>
            <wp:effectExtent l="0" t="0" r="0" b="0"/>
            <wp:docPr id="61" name="image28.png" descr=""/>
            <wp:cNvGraphicFramePr>
              <a:graphicFrameLocks noChangeAspect="1"/>
            </wp:cNvGraphicFramePr>
            <a:graphic>
              <a:graphicData uri="http://schemas.openxmlformats.org/drawingml/2006/picture">
                <pic:pic>
                  <pic:nvPicPr>
                    <pic:cNvPr id="62" name="image28.png"/>
                    <pic:cNvPicPr/>
                  </pic:nvPicPr>
                  <pic:blipFill>
                    <a:blip r:embed="rId62" cstate="print"/>
                    <a:stretch>
                      <a:fillRect/>
                    </a:stretch>
                  </pic:blipFill>
                  <pic:spPr>
                    <a:xfrm>
                      <a:off x="0" y="0"/>
                      <a:ext cx="5444971" cy="2908554"/>
                    </a:xfrm>
                    <a:prstGeom prst="rect">
                      <a:avLst/>
                    </a:prstGeom>
                  </pic:spPr>
                </pic:pic>
              </a:graphicData>
            </a:graphic>
          </wp:inline>
        </w:drawing>
      </w:r>
      <w:r>
        <w:rPr>
          <w:sz w:val="20"/>
        </w:rPr>
      </w:r>
    </w:p>
    <w:p>
      <w:pPr>
        <w:pStyle w:val="BodyText"/>
        <w:spacing w:before="5"/>
        <w:rPr>
          <w:sz w:val="26"/>
        </w:rPr>
      </w:pPr>
    </w:p>
    <w:p>
      <w:pPr>
        <w:pStyle w:val="BodyText"/>
        <w:spacing w:line="364" w:lineRule="auto" w:before="67"/>
        <w:ind w:left="2704" w:hanging="2378"/>
      </w:pPr>
      <w:r>
        <w:rPr>
          <w:b/>
        </w:rPr>
        <w:t>Fig. 2 </w:t>
      </w:r>
      <w:r>
        <w:rPr/>
        <w:t>El ejemplo de la transformación de las estructuras moleculares en descriptores moleculares con el software de dragón</w:t>
      </w:r>
    </w:p>
    <w:p>
      <w:pPr>
        <w:pStyle w:val="BodyText"/>
        <w:spacing w:before="10"/>
        <w:rPr>
          <w:sz w:val="22"/>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bookmarkStart w:name="_TOC_250016" w:id="24"/>
      <w:r>
        <w:rPr>
          <w:rFonts w:ascii="Times New Roman" w:hAnsi="Times New Roman"/>
        </w:rPr>
        <w:t>Cálculo de operadores de Teoría de </w:t>
      </w:r>
      <w:r>
        <w:rPr>
          <w:rFonts w:ascii="Times New Roman" w:hAnsi="Times New Roman"/>
          <w:spacing w:val="-3"/>
        </w:rPr>
        <w:t>la</w:t>
      </w:r>
      <w:r>
        <w:rPr>
          <w:rFonts w:ascii="Times New Roman" w:hAnsi="Times New Roman"/>
          <w:spacing w:val="-15"/>
        </w:rPr>
        <w:t> </w:t>
      </w:r>
      <w:bookmarkEnd w:id="24"/>
      <w:r>
        <w:rPr>
          <w:rFonts w:ascii="Times New Roman" w:hAnsi="Times New Roman"/>
        </w:rPr>
        <w:t>Perturbación.</w:t>
      </w:r>
    </w:p>
    <w:p>
      <w:pPr>
        <w:pStyle w:val="BodyText"/>
        <w:spacing w:before="10"/>
        <w:rPr>
          <w:rFonts w:ascii="Times New Roman"/>
          <w:b/>
        </w:rPr>
      </w:pPr>
    </w:p>
    <w:p>
      <w:pPr>
        <w:pStyle w:val="BodyText"/>
        <w:spacing w:line="360" w:lineRule="auto"/>
        <w:ind w:left="259" w:right="234" w:firstLine="283"/>
        <w:jc w:val="both"/>
      </w:pPr>
      <w:r>
        <w:rPr/>
        <w:t>Cuando se amplió la ecuación anterior del modelo PT-LFER, se pueden  observar dos tipos de términos de entrada. El primer tipo de término es la función f (εij) nueva. Esta función toma los valores, f (εij) nueva = IPA (%) nuevos para cada muestra. IPA (%) i es la proporción Área Pico Interna, que se utiliza para cuantificar la proporción experimental de un ácido graso determinado por GC (O-Rashid et al, 2007;. Na, 2011). Esto significa que f (εij) nuevo es </w:t>
      </w:r>
      <w:r>
        <w:rPr>
          <w:spacing w:val="3"/>
        </w:rPr>
        <w:t>la </w:t>
      </w:r>
      <w:r>
        <w:rPr/>
        <w:t>valor proporción esperada de un ácido graso en  las mismas condiciones cj. La segunda clase se refiere a los términos de perturbación ΔΔiVk (cj). Los parámetros ΔΔVk (cj) son útiles para cuantificar el efecto de las perturbaciones de diferentes condiciones de contorno (cj) sobre el </w:t>
      </w:r>
      <w:r>
        <w:rPr>
          <w:rFonts w:ascii="Times New Roman" w:hAnsi="Times New Roman" w:cs="Times New Roman" w:eastAsia="Times New Roman"/>
        </w:rPr>
        <w:t>ꞌ</w:t>
      </w:r>
      <w:r>
        <w:rPr/>
        <w:t>f salida (μnr) nuevo, que se define aquí como una función de valor discreto (ocurrencia o no de enlaces en la red) para los efectos de clasificación. La diferencia ΔΔVk (cj) entre el estado nuevo o final (ΔVk (cj) nueva) y el (ref ΔVk (cj)) de referencia o estado inicial  es la perturbación aditiva para un componente en el ΔVk</w:t>
      </w:r>
      <w:r>
        <w:rPr>
          <w:spacing w:val="-30"/>
        </w:rPr>
        <w:t> </w:t>
      </w:r>
      <w:r>
        <w:rPr/>
        <w:t>(cj).</w:t>
      </w:r>
    </w:p>
    <w:p>
      <w:pPr>
        <w:spacing w:after="0" w:line="360" w:lineRule="auto"/>
        <w:jc w:val="both"/>
        <w:sectPr>
          <w:pgSz w:w="12240" w:h="15840"/>
          <w:pgMar w:header="684" w:footer="1164" w:top="1380" w:bottom="1380" w:left="1440" w:right="1460"/>
        </w:sectPr>
      </w:pPr>
    </w:p>
    <w:p>
      <w:pPr>
        <w:tabs>
          <w:tab w:pos="3115" w:val="left" w:leader="none"/>
        </w:tabs>
        <w:spacing w:line="464" w:lineRule="exact" w:before="68"/>
        <w:ind w:left="1022" w:right="0" w:firstLine="0"/>
        <w:jc w:val="left"/>
        <w:rPr>
          <w:rFonts w:ascii="Times New Roman" w:hAnsi="Times New Roman"/>
          <w:sz w:val="30"/>
        </w:rPr>
      </w:pPr>
      <w:r>
        <w:rPr>
          <w:rFonts w:ascii="Times New Roman" w:hAnsi="Times New Roman"/>
          <w:spacing w:val="-13"/>
          <w:w w:val="93"/>
          <w:sz w:val="30"/>
        </w:rPr>
        <w:t>ΔΔ</w:t>
      </w:r>
      <w:r>
        <w:rPr>
          <w:rFonts w:ascii="Times New Roman" w:hAnsi="Times New Roman"/>
          <w:w w:val="93"/>
          <w:sz w:val="30"/>
        </w:rPr>
        <w:t>V</w:t>
      </w:r>
      <w:r>
        <w:rPr>
          <w:rFonts w:ascii="Times New Roman" w:hAnsi="Times New Roman"/>
          <w:spacing w:val="16"/>
          <w:sz w:val="30"/>
        </w:rPr>
        <w:t> </w:t>
      </w:r>
      <w:r>
        <w:rPr>
          <w:rFonts w:ascii="Symbol" w:hAnsi="Symbol"/>
          <w:spacing w:val="-26"/>
          <w:w w:val="58"/>
          <w:sz w:val="47"/>
        </w:rPr>
        <w:t></w:t>
      </w:r>
      <w:r>
        <w:rPr>
          <w:rFonts w:ascii="Times New Roman" w:hAnsi="Times New Roman"/>
          <w:w w:val="93"/>
          <w:sz w:val="30"/>
        </w:rPr>
        <w:t>c</w:t>
      </w:r>
      <w:r>
        <w:rPr>
          <w:rFonts w:ascii="Times New Roman" w:hAnsi="Times New Roman"/>
          <w:spacing w:val="22"/>
          <w:sz w:val="30"/>
        </w:rPr>
        <w:t> </w:t>
      </w:r>
      <w:r>
        <w:rPr>
          <w:rFonts w:ascii="Symbol" w:hAnsi="Symbol"/>
          <w:spacing w:val="33"/>
          <w:w w:val="58"/>
          <w:sz w:val="47"/>
        </w:rPr>
        <w:t></w:t>
      </w:r>
      <w:r>
        <w:rPr>
          <w:rFonts w:ascii="Symbol" w:hAnsi="Symbol"/>
          <w:w w:val="93"/>
          <w:sz w:val="30"/>
        </w:rPr>
        <w:t></w:t>
      </w:r>
      <w:r>
        <w:rPr>
          <w:rFonts w:ascii="Times New Roman" w:hAnsi="Times New Roman"/>
          <w:spacing w:val="-16"/>
          <w:sz w:val="30"/>
        </w:rPr>
        <w:t> </w:t>
      </w:r>
      <w:r>
        <w:rPr>
          <w:rFonts w:ascii="Times New Roman" w:hAnsi="Times New Roman"/>
          <w:spacing w:val="-5"/>
          <w:w w:val="93"/>
          <w:sz w:val="30"/>
        </w:rPr>
        <w:t>p</w:t>
      </w:r>
      <w:r>
        <w:rPr>
          <w:rFonts w:ascii="Symbol" w:hAnsi="Symbol"/>
          <w:spacing w:val="-26"/>
          <w:w w:val="58"/>
          <w:sz w:val="47"/>
        </w:rPr>
        <w:t></w:t>
      </w:r>
      <w:r>
        <w:rPr>
          <w:rFonts w:ascii="Times New Roman" w:hAnsi="Times New Roman"/>
          <w:w w:val="93"/>
          <w:sz w:val="30"/>
        </w:rPr>
        <w:t>c</w:t>
      </w:r>
      <w:r>
        <w:rPr>
          <w:rFonts w:ascii="Times New Roman" w:hAnsi="Times New Roman"/>
          <w:spacing w:val="22"/>
          <w:sz w:val="30"/>
        </w:rPr>
        <w:t> </w:t>
      </w:r>
      <w:r>
        <w:rPr>
          <w:rFonts w:ascii="Symbol" w:hAnsi="Symbol"/>
          <w:w w:val="58"/>
          <w:sz w:val="47"/>
        </w:rPr>
        <w:t></w:t>
      </w:r>
      <w:r>
        <w:rPr>
          <w:rFonts w:ascii="Times New Roman" w:hAnsi="Times New Roman"/>
          <w:sz w:val="47"/>
        </w:rPr>
        <w:tab/>
      </w:r>
      <w:r>
        <w:rPr>
          <w:rFonts w:ascii="Symbol" w:hAnsi="Symbol"/>
          <w:w w:val="93"/>
          <w:sz w:val="30"/>
        </w:rPr>
        <w:t></w:t>
      </w:r>
      <w:r>
        <w:rPr>
          <w:rFonts w:ascii="Times New Roman" w:hAnsi="Times New Roman"/>
          <w:spacing w:val="-39"/>
          <w:sz w:val="30"/>
        </w:rPr>
        <w:t> </w:t>
      </w:r>
      <w:r>
        <w:rPr>
          <w:rFonts w:ascii="Symbol" w:hAnsi="Symbol"/>
          <w:spacing w:val="-2"/>
          <w:w w:val="52"/>
          <w:sz w:val="53"/>
        </w:rPr>
        <w:t></w:t>
      </w:r>
      <w:r>
        <w:rPr>
          <w:rFonts w:ascii="Times New Roman" w:hAnsi="Times New Roman"/>
          <w:w w:val="96"/>
          <w:position w:val="13"/>
          <w:sz w:val="17"/>
        </w:rPr>
        <w:t>i</w:t>
      </w:r>
      <w:r>
        <w:rPr>
          <w:rFonts w:ascii="Times New Roman" w:hAnsi="Times New Roman"/>
          <w:spacing w:val="-6"/>
          <w:position w:val="13"/>
          <w:sz w:val="17"/>
        </w:rPr>
        <w:t> </w:t>
      </w:r>
      <w:r>
        <w:rPr>
          <w:rFonts w:ascii="Times New Roman" w:hAnsi="Times New Roman"/>
          <w:w w:val="93"/>
          <w:sz w:val="30"/>
        </w:rPr>
        <w:t>V</w:t>
      </w:r>
    </w:p>
    <w:p>
      <w:pPr>
        <w:spacing w:line="464" w:lineRule="exact" w:before="68"/>
        <w:ind w:left="102" w:right="-16" w:firstLine="0"/>
        <w:jc w:val="left"/>
        <w:rPr>
          <w:rFonts w:ascii="Symbol" w:hAnsi="Symbol"/>
          <w:sz w:val="53"/>
        </w:rPr>
      </w:pPr>
      <w:r>
        <w:rPr/>
        <w:br w:type="column"/>
      </w:r>
      <w:r>
        <w:rPr>
          <w:rFonts w:ascii="Symbol" w:hAnsi="Symbol"/>
          <w:w w:val="85"/>
          <w:sz w:val="30"/>
        </w:rPr>
        <w:t></w:t>
      </w:r>
      <w:r>
        <w:rPr>
          <w:rFonts w:ascii="Times New Roman" w:hAnsi="Times New Roman"/>
          <w:w w:val="85"/>
          <w:sz w:val="30"/>
        </w:rPr>
        <w:t>  V </w:t>
      </w:r>
      <w:r>
        <w:rPr>
          <w:rFonts w:ascii="Symbol" w:hAnsi="Symbol"/>
          <w:spacing w:val="-13"/>
          <w:w w:val="85"/>
          <w:sz w:val="47"/>
        </w:rPr>
        <w:t></w:t>
      </w:r>
      <w:r>
        <w:rPr>
          <w:rFonts w:ascii="Times New Roman" w:hAnsi="Times New Roman"/>
          <w:spacing w:val="-13"/>
          <w:w w:val="85"/>
          <w:sz w:val="30"/>
        </w:rPr>
        <w:t>c </w:t>
      </w:r>
      <w:r>
        <w:rPr>
          <w:rFonts w:ascii="Symbol" w:hAnsi="Symbol"/>
          <w:w w:val="85"/>
          <w:sz w:val="47"/>
        </w:rPr>
        <w:t></w:t>
      </w:r>
      <w:r>
        <w:rPr>
          <w:rFonts w:ascii="Times New Roman" w:hAnsi="Times New Roman"/>
          <w:spacing w:val="-61"/>
          <w:w w:val="85"/>
          <w:sz w:val="47"/>
        </w:rPr>
        <w:t> </w:t>
      </w:r>
      <w:r>
        <w:rPr>
          <w:rFonts w:ascii="Symbol" w:hAnsi="Symbol"/>
          <w:w w:val="85"/>
          <w:sz w:val="53"/>
        </w:rPr>
        <w:t></w:t>
      </w:r>
    </w:p>
    <w:p>
      <w:pPr>
        <w:pStyle w:val="ListParagraph"/>
        <w:numPr>
          <w:ilvl w:val="0"/>
          <w:numId w:val="4"/>
        </w:numPr>
        <w:tabs>
          <w:tab w:pos="483" w:val="left" w:leader="none"/>
          <w:tab w:pos="1243" w:val="left" w:leader="none"/>
        </w:tabs>
        <w:spacing w:line="464" w:lineRule="exact" w:before="68" w:after="0"/>
        <w:ind w:left="482" w:right="0" w:hanging="200"/>
        <w:jc w:val="left"/>
        <w:rPr>
          <w:rFonts w:ascii="Times New Roman" w:hAnsi="Times New Roman"/>
          <w:sz w:val="30"/>
        </w:rPr>
      </w:pPr>
      <w:r>
        <w:rPr>
          <w:rFonts w:ascii="Times New Roman" w:hAnsi="Times New Roman"/>
          <w:spacing w:val="-5"/>
          <w:w w:val="93"/>
          <w:sz w:val="30"/>
        </w:rPr>
        <w:br w:type="column"/>
        <w:t>p</w:t>
      </w:r>
      <w:r>
        <w:rPr>
          <w:rFonts w:ascii="Symbol" w:hAnsi="Symbol"/>
          <w:spacing w:val="-26"/>
          <w:w w:val="58"/>
          <w:sz w:val="47"/>
        </w:rPr>
        <w:t></w:t>
      </w:r>
      <w:r>
        <w:rPr>
          <w:rFonts w:ascii="Times New Roman" w:hAnsi="Times New Roman"/>
          <w:w w:val="93"/>
          <w:sz w:val="30"/>
        </w:rPr>
        <w:t>c</w:t>
      </w:r>
      <w:r>
        <w:rPr>
          <w:rFonts w:ascii="Times New Roman" w:hAnsi="Times New Roman"/>
          <w:spacing w:val="22"/>
          <w:sz w:val="30"/>
        </w:rPr>
        <w:t> </w:t>
      </w:r>
      <w:r>
        <w:rPr>
          <w:rFonts w:ascii="Symbol" w:hAnsi="Symbol"/>
          <w:w w:val="58"/>
          <w:sz w:val="47"/>
        </w:rPr>
        <w:t></w:t>
      </w:r>
      <w:r>
        <w:rPr>
          <w:rFonts w:ascii="Times New Roman" w:hAnsi="Times New Roman"/>
          <w:sz w:val="47"/>
        </w:rPr>
        <w:tab/>
      </w:r>
      <w:r>
        <w:rPr>
          <w:rFonts w:ascii="Symbol" w:hAnsi="Symbol"/>
          <w:w w:val="93"/>
          <w:sz w:val="30"/>
        </w:rPr>
        <w:t></w:t>
      </w:r>
      <w:r>
        <w:rPr>
          <w:rFonts w:ascii="Times New Roman" w:hAnsi="Times New Roman"/>
          <w:spacing w:val="-39"/>
          <w:sz w:val="30"/>
        </w:rPr>
        <w:t> </w:t>
      </w:r>
      <w:r>
        <w:rPr>
          <w:rFonts w:ascii="Symbol" w:hAnsi="Symbol"/>
          <w:spacing w:val="-2"/>
          <w:w w:val="52"/>
          <w:sz w:val="53"/>
        </w:rPr>
        <w:t></w:t>
      </w:r>
      <w:r>
        <w:rPr>
          <w:rFonts w:ascii="Times New Roman" w:hAnsi="Times New Roman"/>
          <w:w w:val="96"/>
          <w:position w:val="13"/>
          <w:sz w:val="17"/>
        </w:rPr>
        <w:t>i</w:t>
      </w:r>
      <w:r>
        <w:rPr>
          <w:rFonts w:ascii="Times New Roman" w:hAnsi="Times New Roman"/>
          <w:spacing w:val="-6"/>
          <w:position w:val="13"/>
          <w:sz w:val="17"/>
        </w:rPr>
        <w:t> </w:t>
      </w:r>
      <w:r>
        <w:rPr>
          <w:rFonts w:ascii="Times New Roman" w:hAnsi="Times New Roman"/>
          <w:w w:val="93"/>
          <w:sz w:val="30"/>
        </w:rPr>
        <w:t>V</w:t>
      </w:r>
    </w:p>
    <w:p>
      <w:pPr>
        <w:tabs>
          <w:tab w:pos="1666" w:val="left" w:leader="none"/>
        </w:tabs>
        <w:spacing w:line="464" w:lineRule="exact" w:before="68"/>
        <w:ind w:left="102" w:right="0" w:firstLine="0"/>
        <w:jc w:val="left"/>
        <w:rPr>
          <w:rFonts w:ascii="Symbol" w:hAnsi="Symbol"/>
          <w:sz w:val="40"/>
        </w:rPr>
      </w:pPr>
      <w:r>
        <w:rPr/>
        <w:br w:type="column"/>
      </w:r>
      <w:r>
        <w:rPr>
          <w:rFonts w:ascii="Symbol" w:hAnsi="Symbol"/>
          <w:w w:val="85"/>
          <w:sz w:val="30"/>
        </w:rPr>
        <w:t></w:t>
      </w:r>
      <w:r>
        <w:rPr>
          <w:rFonts w:ascii="Times New Roman" w:hAnsi="Times New Roman"/>
          <w:w w:val="85"/>
          <w:sz w:val="30"/>
        </w:rPr>
        <w:t>  V </w:t>
      </w:r>
      <w:r>
        <w:rPr>
          <w:rFonts w:ascii="Symbol" w:hAnsi="Symbol"/>
          <w:spacing w:val="-13"/>
          <w:w w:val="85"/>
          <w:sz w:val="47"/>
        </w:rPr>
        <w:t></w:t>
      </w:r>
      <w:r>
        <w:rPr>
          <w:rFonts w:ascii="Times New Roman" w:hAnsi="Times New Roman"/>
          <w:spacing w:val="-13"/>
          <w:w w:val="85"/>
          <w:sz w:val="30"/>
        </w:rPr>
        <w:t>c</w:t>
      </w:r>
      <w:r>
        <w:rPr>
          <w:rFonts w:ascii="Times New Roman" w:hAnsi="Times New Roman"/>
          <w:spacing w:val="19"/>
          <w:w w:val="85"/>
          <w:sz w:val="30"/>
        </w:rPr>
        <w:t> </w:t>
      </w:r>
      <w:r>
        <w:rPr>
          <w:rFonts w:ascii="Symbol" w:hAnsi="Symbol"/>
          <w:w w:val="85"/>
          <w:sz w:val="47"/>
        </w:rPr>
        <w:t></w:t>
      </w:r>
      <w:r>
        <w:rPr>
          <w:rFonts w:ascii="Times New Roman" w:hAnsi="Times New Roman"/>
          <w:spacing w:val="-50"/>
          <w:w w:val="85"/>
          <w:sz w:val="47"/>
        </w:rPr>
        <w:t> </w:t>
      </w:r>
      <w:r>
        <w:rPr>
          <w:rFonts w:ascii="Symbol" w:hAnsi="Symbol"/>
          <w:w w:val="85"/>
          <w:sz w:val="53"/>
        </w:rPr>
        <w:t></w:t>
      </w:r>
      <w:r>
        <w:rPr>
          <w:rFonts w:ascii="Times New Roman" w:hAnsi="Times New Roman"/>
          <w:w w:val="85"/>
          <w:sz w:val="53"/>
        </w:rPr>
        <w:tab/>
      </w:r>
      <w:r>
        <w:rPr>
          <w:rFonts w:ascii="Symbol" w:hAnsi="Symbol"/>
          <w:spacing w:val="-4"/>
          <w:w w:val="85"/>
          <w:sz w:val="40"/>
        </w:rPr>
        <w:t></w:t>
      </w:r>
      <w:r>
        <w:rPr>
          <w:rFonts w:ascii="Times New Roman" w:hAnsi="Times New Roman"/>
          <w:spacing w:val="-4"/>
          <w:w w:val="85"/>
          <w:sz w:val="30"/>
        </w:rPr>
        <w:t>4</w:t>
      </w:r>
      <w:r>
        <w:rPr>
          <w:rFonts w:ascii="Symbol" w:hAnsi="Symbol"/>
          <w:spacing w:val="-4"/>
          <w:w w:val="85"/>
          <w:sz w:val="40"/>
        </w:rPr>
        <w:t></w:t>
      </w:r>
    </w:p>
    <w:p>
      <w:pPr>
        <w:spacing w:after="0" w:line="464" w:lineRule="exact"/>
        <w:jc w:val="left"/>
        <w:rPr>
          <w:rFonts w:ascii="Symbol" w:hAnsi="Symbol"/>
          <w:sz w:val="40"/>
        </w:rPr>
        <w:sectPr>
          <w:pgSz w:w="12240" w:h="15840"/>
          <w:pgMar w:header="684" w:footer="1164" w:top="1380" w:bottom="1380" w:left="1440" w:right="1460"/>
          <w:cols w:num="4" w:equalWidth="0">
            <w:col w:w="3598" w:space="40"/>
            <w:col w:w="1215" w:space="40"/>
            <w:col w:w="1727" w:space="40"/>
            <w:col w:w="2680"/>
          </w:cols>
        </w:sectPr>
      </w:pPr>
    </w:p>
    <w:p>
      <w:pPr>
        <w:tabs>
          <w:tab w:pos="1866" w:val="left" w:leader="none"/>
          <w:tab w:pos="2630" w:val="left" w:leader="none"/>
          <w:tab w:pos="3571" w:val="left" w:leader="none"/>
        </w:tabs>
        <w:spacing w:line="229" w:lineRule="exact" w:before="0"/>
        <w:ind w:left="1535" w:right="0" w:firstLine="0"/>
        <w:jc w:val="left"/>
        <w:rPr>
          <w:rFonts w:ascii="Times New Roman"/>
          <w:sz w:val="17"/>
        </w:rPr>
      </w:pPr>
      <w:r>
        <w:rPr/>
        <w:pict>
          <v:shape style="position:absolute;margin-left:135.570007pt;margin-top:675.512939pt;width:2.9pt;height:17.650pt;mso-position-horizontal-relative:page;mso-position-vertical-relative:paragraph;z-index:1336" coordorigin="2711,13510" coordsize="58,353" path="m5455,-204l5392,5m5392,5l5455,212e" filled="false" stroked="true" strokeweight=".159124pt" strokecolor="#000000">
            <v:path arrowok="t"/>
            <w10:wrap type="none"/>
          </v:shape>
        </w:pict>
      </w:r>
      <w:r>
        <w:rPr/>
        <w:pict>
          <v:shape style="position:absolute;margin-left:169pt;margin-top:675.512939pt;width:2.9pt;height:17.650pt;mso-position-horizontal-relative:page;mso-position-vertical-relative:paragraph;z-index:1360" coordorigin="3380,13510" coordsize="58,353" path="m6124,-204l6187,5m6187,5l6124,212e" filled="false" stroked="true" strokeweight=".159124pt" strokecolor="#000000">
            <v:path arrowok="t"/>
            <w10:wrap type="none"/>
          </v:shape>
        </w:pict>
      </w:r>
      <w:r>
        <w:rPr>
          <w:rFonts w:ascii="Times New Roman"/>
          <w:sz w:val="17"/>
        </w:rPr>
        <w:t>k</w:t>
        <w:tab/>
        <w:t>j</w:t>
        <w:tab/>
        <w:t>j </w:t>
      </w:r>
      <w:r>
        <w:rPr>
          <w:rFonts w:ascii="Times New Roman"/>
          <w:spacing w:val="10"/>
          <w:sz w:val="17"/>
        </w:rPr>
        <w:t> </w:t>
      </w:r>
      <w:r>
        <w:rPr>
          <w:rFonts w:ascii="Times New Roman"/>
          <w:position w:val="-4"/>
          <w:sz w:val="17"/>
        </w:rPr>
        <w:t>new</w:t>
        <w:tab/>
      </w:r>
      <w:r>
        <w:rPr>
          <w:rFonts w:ascii="Times New Roman"/>
          <w:w w:val="95"/>
          <w:sz w:val="17"/>
        </w:rPr>
        <w:t>k</w:t>
      </w:r>
    </w:p>
    <w:p>
      <w:pPr>
        <w:tabs>
          <w:tab w:pos="837" w:val="left" w:leader="none"/>
          <w:tab w:pos="1133" w:val="left" w:leader="none"/>
        </w:tabs>
        <w:spacing w:line="255" w:lineRule="exact" w:before="0"/>
        <w:ind w:left="507" w:right="0" w:firstLine="0"/>
        <w:jc w:val="left"/>
        <w:rPr>
          <w:rFonts w:ascii="Times New Roman"/>
          <w:sz w:val="17"/>
        </w:rPr>
      </w:pPr>
      <w:r>
        <w:rPr/>
        <w:br w:type="column"/>
      </w:r>
      <w:r>
        <w:rPr>
          <w:rFonts w:ascii="Times New Roman"/>
          <w:position w:val="8"/>
          <w:sz w:val="17"/>
        </w:rPr>
        <w:t>k</w:t>
        <w:tab/>
        <w:t>j</w:t>
        <w:tab/>
      </w:r>
      <w:r>
        <w:rPr>
          <w:rFonts w:ascii="Times New Roman"/>
          <w:spacing w:val="-1"/>
          <w:w w:val="95"/>
          <w:sz w:val="17"/>
        </w:rPr>
        <w:t>new</w:t>
      </w:r>
    </w:p>
    <w:p>
      <w:pPr>
        <w:pStyle w:val="ListParagraph"/>
        <w:numPr>
          <w:ilvl w:val="0"/>
          <w:numId w:val="5"/>
        </w:numPr>
        <w:tabs>
          <w:tab w:pos="736" w:val="left" w:leader="none"/>
          <w:tab w:pos="1455" w:val="left" w:leader="none"/>
        </w:tabs>
        <w:spacing w:line="230" w:lineRule="exact" w:before="0" w:after="0"/>
        <w:ind w:left="735" w:right="0" w:hanging="149"/>
        <w:jc w:val="left"/>
        <w:rPr>
          <w:rFonts w:ascii="Times New Roman"/>
          <w:sz w:val="17"/>
        </w:rPr>
      </w:pPr>
      <w:r>
        <w:rPr>
          <w:rFonts w:ascii="Times New Roman"/>
          <w:spacing w:val="-4"/>
          <w:w w:val="96"/>
          <w:sz w:val="17"/>
        </w:rPr>
        <w:br w:type="column"/>
      </w:r>
      <w:r>
        <w:rPr>
          <w:rFonts w:ascii="Times New Roman"/>
          <w:spacing w:val="-4"/>
          <w:sz w:val="17"/>
        </w:rPr>
        <w:t>ref</w:t>
        <w:tab/>
      </w:r>
      <w:r>
        <w:rPr>
          <w:rFonts w:ascii="Times New Roman"/>
          <w:w w:val="95"/>
          <w:position w:val="5"/>
          <w:sz w:val="17"/>
        </w:rPr>
        <w:t>k</w:t>
      </w:r>
    </w:p>
    <w:p>
      <w:pPr>
        <w:pStyle w:val="ListParagraph"/>
        <w:numPr>
          <w:ilvl w:val="0"/>
          <w:numId w:val="5"/>
        </w:numPr>
        <w:tabs>
          <w:tab w:pos="837" w:val="left" w:leader="none"/>
          <w:tab w:pos="838" w:val="left" w:leader="none"/>
          <w:tab w:pos="1133" w:val="left" w:leader="none"/>
        </w:tabs>
        <w:spacing w:line="255" w:lineRule="exact" w:before="0" w:after="0"/>
        <w:ind w:left="838" w:right="0" w:hanging="330"/>
        <w:jc w:val="left"/>
        <w:rPr>
          <w:rFonts w:ascii="Times New Roman"/>
          <w:sz w:val="17"/>
        </w:rPr>
      </w:pPr>
      <w:r>
        <w:rPr>
          <w:rFonts w:ascii="Times New Roman"/>
          <w:w w:val="96"/>
          <w:position w:val="8"/>
          <w:sz w:val="17"/>
        </w:rPr>
        <w:br w:type="column"/>
      </w:r>
      <w:r>
        <w:rPr>
          <w:rFonts w:ascii="Times New Roman"/>
          <w:position w:val="8"/>
          <w:sz w:val="17"/>
        </w:rPr>
        <w:t>j</w:t>
        <w:tab/>
      </w:r>
      <w:r>
        <w:rPr>
          <w:rFonts w:ascii="Times New Roman"/>
          <w:spacing w:val="-4"/>
          <w:sz w:val="17"/>
        </w:rPr>
        <w:t>ref</w:t>
      </w:r>
    </w:p>
    <w:p>
      <w:pPr>
        <w:spacing w:after="0" w:line="255" w:lineRule="exact"/>
        <w:jc w:val="left"/>
        <w:rPr>
          <w:rFonts w:ascii="Times New Roman"/>
          <w:sz w:val="17"/>
        </w:rPr>
        <w:sectPr>
          <w:type w:val="continuous"/>
          <w:pgSz w:w="12240" w:h="15840"/>
          <w:pgMar w:top="3080" w:bottom="2780" w:left="1440" w:right="1460"/>
          <w:cols w:num="4" w:equalWidth="0">
            <w:col w:w="3654" w:space="40"/>
            <w:col w:w="1404" w:space="40"/>
            <w:col w:w="1538" w:space="40"/>
            <w:col w:w="2624"/>
          </w:cols>
        </w:sectPr>
      </w:pPr>
    </w:p>
    <w:p>
      <w:pPr>
        <w:pStyle w:val="BodyText"/>
        <w:rPr>
          <w:rFonts w:ascii="Times New Roman"/>
          <w:sz w:val="20"/>
        </w:rPr>
      </w:pPr>
    </w:p>
    <w:p>
      <w:pPr>
        <w:pStyle w:val="BodyText"/>
        <w:spacing w:before="9"/>
        <w:rPr>
          <w:rFonts w:ascii="Times New Roman"/>
          <w:sz w:val="18"/>
        </w:rPr>
      </w:pPr>
    </w:p>
    <w:p>
      <w:pPr>
        <w:pStyle w:val="Heading3"/>
        <w:numPr>
          <w:ilvl w:val="1"/>
          <w:numId w:val="2"/>
        </w:numPr>
        <w:tabs>
          <w:tab w:pos="683" w:val="left" w:leader="none"/>
        </w:tabs>
        <w:spacing w:line="240" w:lineRule="auto" w:before="0" w:after="0"/>
        <w:ind w:left="682" w:right="0" w:hanging="423"/>
        <w:jc w:val="left"/>
        <w:rPr>
          <w:rFonts w:ascii="Times New Roman" w:hAnsi="Times New Roman"/>
        </w:rPr>
      </w:pPr>
      <w:r>
        <w:rPr/>
        <w:pict>
          <v:shape style="position:absolute;margin-left:273.649994pt;margin-top:640.464111pt;width:2.9pt;height:17.650pt;mso-position-horizontal-relative:page;mso-position-vertical-relative:paragraph;z-index:1384" coordorigin="5473,12809" coordsize="58,353" path="m8477,-905l8414,-696m8414,-696l8477,-489e" filled="false" stroked="true" strokeweight=".159124pt" strokecolor="#000000">
            <v:path arrowok="t"/>
            <w10:wrap type="none"/>
          </v:shape>
        </w:pict>
      </w:r>
      <w:r>
        <w:rPr/>
        <w:pict>
          <v:shape style="position:absolute;margin-left:307.109985pt;margin-top:640.464111pt;width:2.9pt;height:17.650pt;mso-position-horizontal-relative:page;mso-position-vertical-relative:paragraph;z-index:1408" coordorigin="6142,12809" coordsize="58,353" path="m9146,-905l9208,-696m9208,-696l9146,-489e" filled="false" stroked="true" strokeweight=".159124pt" strokecolor="#000000">
            <v:path arrowok="t"/>
            <w10:wrap type="none"/>
          </v:shape>
        </w:pict>
      </w:r>
      <w:bookmarkStart w:name="_TOC_250015" w:id="25"/>
      <w:r>
        <w:rPr>
          <w:rFonts w:ascii="Times New Roman" w:hAnsi="Times New Roman"/>
        </w:rPr>
        <w:t>Cálculo de operadores de </w:t>
      </w:r>
      <w:r>
        <w:rPr>
          <w:rFonts w:ascii="Times New Roman" w:hAnsi="Times New Roman"/>
          <w:spacing w:val="-3"/>
        </w:rPr>
        <w:t>la </w:t>
      </w:r>
      <w:r>
        <w:rPr>
          <w:rFonts w:ascii="Times New Roman" w:hAnsi="Times New Roman"/>
        </w:rPr>
        <w:t>Caja de</w:t>
      </w:r>
      <w:r>
        <w:rPr>
          <w:rFonts w:ascii="Times New Roman" w:hAnsi="Times New Roman"/>
          <w:spacing w:val="-9"/>
        </w:rPr>
        <w:t> </w:t>
      </w:r>
      <w:bookmarkEnd w:id="25"/>
      <w:r>
        <w:rPr>
          <w:rFonts w:ascii="Times New Roman" w:hAnsi="Times New Roman"/>
        </w:rPr>
        <w:t>Jenkins</w:t>
      </w:r>
    </w:p>
    <w:p>
      <w:pPr>
        <w:pStyle w:val="BodyText"/>
        <w:spacing w:before="10"/>
        <w:rPr>
          <w:rFonts w:ascii="Times New Roman"/>
          <w:b/>
        </w:rPr>
      </w:pPr>
    </w:p>
    <w:p>
      <w:pPr>
        <w:pStyle w:val="BodyText"/>
        <w:spacing w:line="360" w:lineRule="auto"/>
        <w:ind w:left="259" w:right="239" w:firstLine="283"/>
        <w:jc w:val="both"/>
      </w:pPr>
      <w:r>
        <w:rPr/>
        <w:t>Una inspección detallada de los términos de perturbación muestra que son diferencias de probabilidad ponderada (Δ) de Box-Jenkins Operadores ΔiVk (cj). Se calcularon los valores de Box-Jenkins Operadores ΔiVk (cj) de los descriptores moleculares (IVK) para cuantificar el efecto de las desviaciones de una molécula (millas) de los valores propios medios de todas las moléculas medidos con el mismo conjunto de condiciones (cj) de el sistema complejo. Las desviaciones debido a los cambios en diferentes condiciones de contorno cj se tuvieron en cuenta, por ejemplo, c1 = el tratamiento experimental de la muestra, c2 = con / sin fermentación, c3 = la fase de distribución de los ácidos grasos (medios ruminales, organismos bacterianos o protozoos), etc . Todos los datos medidos con GC fueron procesados en un archivo de Excel. En Excel, se calcularon los valores propios de ΔiVk (cj) considerando diversas condiciones de contorno experimentales (cj). Las probabilidades son p (cj) = nj / ntotal; nj número de entradas experimentales para la misma condición cj y ntotal = 744 el número total de entradas experimentales. El valor medio &lt;ΔVk (cj)&gt; es la diferencia del valor de la función IVK con los descriptores moleculares medios &lt;Vk&gt; para una condición de contorno cj específico, consulte las ecuaciones:</w:t>
      </w:r>
    </w:p>
    <w:p>
      <w:pPr>
        <w:spacing w:line="412" w:lineRule="exact" w:before="112"/>
        <w:ind w:left="3318" w:right="0" w:firstLine="0"/>
        <w:jc w:val="left"/>
        <w:rPr>
          <w:rFonts w:ascii="Symbol" w:hAnsi="Symbol"/>
          <w:sz w:val="35"/>
        </w:rPr>
      </w:pPr>
      <w:r>
        <w:rPr/>
        <w:pict>
          <v:shape style="position:absolute;margin-left:84.964996pt;margin-top:275.388092pt;width:2.95pt;height:18.150pt;mso-position-horizontal-relative:page;mso-position-vertical-relative:paragraph;z-index:1432" coordorigin="1699,5508" coordsize="59,363" path="m6509,342l6450,527m6450,527l6509,711e" filled="false" stroked="true" strokeweight=".142423pt" strokecolor="#000000">
            <v:path arrowok="t"/>
            <w10:wrap type="none"/>
          </v:shape>
        </w:pict>
      </w:r>
      <w:r>
        <w:rPr/>
        <w:pict>
          <v:shape style="position:absolute;margin-left:119.190002pt;margin-top:275.388092pt;width:2.9pt;height:18.150pt;mso-position-horizontal-relative:page;mso-position-vertical-relative:paragraph;z-index:1456" coordorigin="2384,5508" coordsize="58,363" path="m7144,342l7203,527m7203,527l7144,711e" filled="false" stroked="true" strokeweight=".142423pt" strokecolor="#000000">
            <v:path arrowok="t"/>
            <w10:wrap type="none"/>
          </v:shape>
        </w:pict>
      </w:r>
      <w:r>
        <w:rPr>
          <w:rFonts w:ascii="Times New Roman" w:hAnsi="Times New Roman"/>
          <w:spacing w:val="-15"/>
          <w:w w:val="98"/>
          <w:sz w:val="27"/>
        </w:rPr>
        <w:t>Δ</w:t>
      </w:r>
      <w:r>
        <w:rPr>
          <w:rFonts w:ascii="Times New Roman" w:hAnsi="Times New Roman"/>
          <w:w w:val="98"/>
          <w:sz w:val="27"/>
        </w:rPr>
        <w:t>V</w:t>
      </w:r>
      <w:r>
        <w:rPr>
          <w:rFonts w:ascii="Times New Roman" w:hAnsi="Times New Roman"/>
          <w:spacing w:val="19"/>
          <w:sz w:val="27"/>
        </w:rPr>
        <w:t> </w:t>
      </w:r>
      <w:r>
        <w:rPr>
          <w:rFonts w:ascii="Symbol" w:hAnsi="Symbol"/>
          <w:spacing w:val="-25"/>
          <w:w w:val="62"/>
          <w:sz w:val="42"/>
        </w:rPr>
        <w:t></w:t>
      </w:r>
      <w:r>
        <w:rPr>
          <w:rFonts w:ascii="Times New Roman" w:hAnsi="Times New Roman"/>
          <w:w w:val="98"/>
          <w:sz w:val="27"/>
        </w:rPr>
        <w:t>c</w:t>
      </w:r>
      <w:r>
        <w:rPr>
          <w:rFonts w:ascii="Times New Roman" w:hAnsi="Times New Roman"/>
          <w:spacing w:val="27"/>
          <w:sz w:val="27"/>
        </w:rPr>
        <w:t> </w:t>
      </w:r>
      <w:r>
        <w:rPr>
          <w:rFonts w:ascii="Symbol" w:hAnsi="Symbol"/>
          <w:spacing w:val="23"/>
          <w:w w:val="62"/>
          <w:sz w:val="42"/>
        </w:rPr>
        <w:t></w:t>
      </w:r>
      <w:r>
        <w:rPr>
          <w:rFonts w:ascii="Symbol" w:hAnsi="Symbol"/>
          <w:w w:val="98"/>
          <w:sz w:val="27"/>
        </w:rPr>
        <w:t></w:t>
      </w:r>
      <w:r>
        <w:rPr>
          <w:rFonts w:ascii="Times New Roman" w:hAnsi="Times New Roman"/>
          <w:spacing w:val="-25"/>
          <w:sz w:val="27"/>
        </w:rPr>
        <w:t> </w:t>
      </w:r>
      <w:r>
        <w:rPr>
          <w:rFonts w:ascii="Symbol" w:hAnsi="Symbol"/>
          <w:spacing w:val="-1"/>
          <w:w w:val="55"/>
          <w:sz w:val="47"/>
        </w:rPr>
        <w:t></w:t>
      </w:r>
      <w:r>
        <w:rPr>
          <w:rFonts w:ascii="Times New Roman" w:hAnsi="Times New Roman"/>
          <w:w w:val="103"/>
          <w:position w:val="12"/>
          <w:sz w:val="15"/>
        </w:rPr>
        <w:t>i</w:t>
      </w:r>
      <w:r>
        <w:rPr>
          <w:rFonts w:ascii="Times New Roman" w:hAnsi="Times New Roman"/>
          <w:spacing w:val="-2"/>
          <w:position w:val="12"/>
          <w:sz w:val="15"/>
        </w:rPr>
        <w:t> </w:t>
      </w:r>
      <w:r>
        <w:rPr>
          <w:rFonts w:ascii="Times New Roman" w:hAnsi="Times New Roman"/>
          <w:w w:val="98"/>
          <w:sz w:val="27"/>
        </w:rPr>
        <w:t>V</w:t>
      </w:r>
      <w:r>
        <w:rPr>
          <w:rFonts w:ascii="Times New Roman" w:hAnsi="Times New Roman"/>
          <w:sz w:val="27"/>
        </w:rPr>
        <w:t> </w:t>
      </w:r>
      <w:r>
        <w:rPr>
          <w:rFonts w:ascii="Times New Roman" w:hAnsi="Times New Roman"/>
          <w:spacing w:val="-8"/>
          <w:sz w:val="27"/>
        </w:rPr>
        <w:t> </w:t>
      </w:r>
      <w:r>
        <w:rPr>
          <w:rFonts w:ascii="Symbol" w:hAnsi="Symbol"/>
          <w:w w:val="98"/>
          <w:sz w:val="27"/>
        </w:rPr>
        <w:t></w:t>
      </w:r>
      <w:r>
        <w:rPr>
          <w:rFonts w:ascii="Times New Roman" w:hAnsi="Times New Roman"/>
          <w:sz w:val="27"/>
        </w:rPr>
        <w:t> </w:t>
      </w:r>
      <w:r>
        <w:rPr>
          <w:rFonts w:ascii="Times New Roman" w:hAnsi="Times New Roman"/>
          <w:spacing w:val="-24"/>
          <w:sz w:val="27"/>
        </w:rPr>
        <w:t> </w:t>
      </w:r>
      <w:r>
        <w:rPr>
          <w:rFonts w:ascii="Times New Roman" w:hAnsi="Times New Roman"/>
          <w:w w:val="98"/>
          <w:sz w:val="27"/>
        </w:rPr>
        <w:t>V</w:t>
      </w:r>
      <w:r>
        <w:rPr>
          <w:rFonts w:ascii="Times New Roman" w:hAnsi="Times New Roman"/>
          <w:spacing w:val="19"/>
          <w:sz w:val="27"/>
        </w:rPr>
        <w:t> </w:t>
      </w:r>
      <w:r>
        <w:rPr>
          <w:rFonts w:ascii="Symbol" w:hAnsi="Symbol"/>
          <w:spacing w:val="-25"/>
          <w:w w:val="62"/>
          <w:sz w:val="42"/>
        </w:rPr>
        <w:t></w:t>
      </w:r>
      <w:r>
        <w:rPr>
          <w:rFonts w:ascii="Times New Roman" w:hAnsi="Times New Roman"/>
          <w:w w:val="98"/>
          <w:sz w:val="27"/>
        </w:rPr>
        <w:t>c</w:t>
      </w:r>
      <w:r>
        <w:rPr>
          <w:rFonts w:ascii="Times New Roman" w:hAnsi="Times New Roman"/>
          <w:spacing w:val="27"/>
          <w:sz w:val="27"/>
        </w:rPr>
        <w:t> </w:t>
      </w:r>
      <w:r>
        <w:rPr>
          <w:rFonts w:ascii="Symbol" w:hAnsi="Symbol"/>
          <w:w w:val="62"/>
          <w:sz w:val="42"/>
        </w:rPr>
        <w:t></w:t>
      </w:r>
      <w:r>
        <w:rPr>
          <w:rFonts w:ascii="Times New Roman" w:hAnsi="Times New Roman"/>
          <w:spacing w:val="-51"/>
          <w:sz w:val="42"/>
        </w:rPr>
        <w:t> </w:t>
      </w:r>
      <w:r>
        <w:rPr>
          <w:rFonts w:ascii="Symbol" w:hAnsi="Symbol"/>
          <w:w w:val="55"/>
          <w:sz w:val="47"/>
        </w:rPr>
        <w:t></w:t>
      </w:r>
      <w:r>
        <w:rPr>
          <w:rFonts w:ascii="Times New Roman" w:hAnsi="Times New Roman"/>
          <w:sz w:val="47"/>
        </w:rPr>
        <w:t> </w:t>
      </w:r>
      <w:r>
        <w:rPr>
          <w:rFonts w:ascii="Times New Roman" w:hAnsi="Times New Roman"/>
          <w:spacing w:val="-39"/>
          <w:sz w:val="47"/>
        </w:rPr>
        <w:t> </w:t>
      </w:r>
      <w:r>
        <w:rPr>
          <w:rFonts w:ascii="Symbol" w:hAnsi="Symbol"/>
          <w:spacing w:val="-19"/>
          <w:w w:val="75"/>
          <w:sz w:val="35"/>
        </w:rPr>
        <w:t></w:t>
      </w:r>
      <w:r>
        <w:rPr>
          <w:rFonts w:ascii="Times New Roman" w:hAnsi="Times New Roman"/>
          <w:spacing w:val="-7"/>
          <w:w w:val="98"/>
          <w:sz w:val="27"/>
        </w:rPr>
        <w:t>5</w:t>
      </w:r>
      <w:r>
        <w:rPr>
          <w:rFonts w:ascii="Symbol" w:hAnsi="Symbol"/>
          <w:w w:val="75"/>
          <w:sz w:val="35"/>
        </w:rPr>
        <w:t></w:t>
      </w:r>
    </w:p>
    <w:p>
      <w:pPr>
        <w:tabs>
          <w:tab w:pos="313" w:val="left" w:leader="none"/>
          <w:tab w:pos="1023" w:val="left" w:leader="none"/>
          <w:tab w:pos="1601" w:val="left" w:leader="none"/>
          <w:tab w:pos="1915" w:val="left" w:leader="none"/>
        </w:tabs>
        <w:spacing w:line="158" w:lineRule="exact" w:before="0"/>
        <w:ind w:left="0" w:right="92" w:firstLine="0"/>
        <w:jc w:val="center"/>
        <w:rPr>
          <w:rFonts w:ascii="Times New Roman"/>
          <w:sz w:val="15"/>
        </w:rPr>
      </w:pPr>
      <w:r>
        <w:rPr>
          <w:rFonts w:ascii="Times New Roman"/>
          <w:w w:val="105"/>
          <w:sz w:val="15"/>
        </w:rPr>
        <w:t>k</w:t>
        <w:tab/>
        <w:t>j</w:t>
        <w:tab/>
        <w:t>k</w:t>
        <w:tab/>
        <w:t>k</w:t>
        <w:tab/>
        <w:t>j</w:t>
      </w:r>
    </w:p>
    <w:p>
      <w:pPr>
        <w:pStyle w:val="BodyText"/>
        <w:rPr>
          <w:rFonts w:ascii="Times New Roman"/>
          <w:sz w:val="20"/>
        </w:rPr>
      </w:pPr>
    </w:p>
    <w:p>
      <w:pPr>
        <w:pStyle w:val="BodyText"/>
        <w:rPr>
          <w:rFonts w:ascii="Times New Roman"/>
          <w:sz w:val="20"/>
        </w:rPr>
      </w:pPr>
    </w:p>
    <w:p>
      <w:pPr>
        <w:spacing w:after="0"/>
        <w:rPr>
          <w:rFonts w:ascii="Times New Roman"/>
          <w:sz w:val="20"/>
        </w:rPr>
        <w:sectPr>
          <w:type w:val="continuous"/>
          <w:pgSz w:w="12240" w:h="15840"/>
          <w:pgMar w:top="3080" w:bottom="2780" w:left="1440" w:right="1460"/>
        </w:sectPr>
      </w:pPr>
    </w:p>
    <w:p>
      <w:pPr>
        <w:spacing w:line="131" w:lineRule="exact" w:before="121"/>
        <w:ind w:left="0" w:right="0" w:firstLine="0"/>
        <w:jc w:val="right"/>
        <w:rPr>
          <w:rFonts w:ascii="Symbol" w:hAnsi="Symbol"/>
          <w:sz w:val="24"/>
        </w:rPr>
      </w:pPr>
      <w:r>
        <w:rPr>
          <w:rFonts w:ascii="Times New Roman" w:hAnsi="Times New Roman"/>
          <w:sz w:val="24"/>
        </w:rPr>
        <w:t>V </w:t>
      </w:r>
      <w:r>
        <w:rPr>
          <w:rFonts w:ascii="Symbol" w:hAnsi="Symbol"/>
          <w:sz w:val="37"/>
        </w:rPr>
        <w:t></w:t>
      </w:r>
      <w:r>
        <w:rPr>
          <w:rFonts w:ascii="Times New Roman" w:hAnsi="Times New Roman"/>
          <w:sz w:val="24"/>
        </w:rPr>
        <w:t>c  </w:t>
      </w:r>
      <w:r>
        <w:rPr>
          <w:rFonts w:ascii="Symbol" w:hAnsi="Symbol"/>
          <w:sz w:val="37"/>
        </w:rPr>
        <w:t></w:t>
      </w:r>
      <w:r>
        <w:rPr>
          <w:rFonts w:ascii="Times New Roman" w:hAnsi="Times New Roman"/>
          <w:sz w:val="37"/>
        </w:rPr>
        <w:t> </w:t>
      </w:r>
      <w:r>
        <w:rPr>
          <w:rFonts w:ascii="Symbol" w:hAnsi="Symbol"/>
          <w:sz w:val="24"/>
        </w:rPr>
        <w:t></w:t>
      </w:r>
    </w:p>
    <w:p>
      <w:pPr>
        <w:spacing w:line="222" w:lineRule="exact" w:before="54"/>
        <w:ind w:left="494" w:right="0" w:firstLine="0"/>
        <w:jc w:val="left"/>
        <w:rPr>
          <w:rFonts w:ascii="Times New Roman" w:hAnsi="Times New Roman"/>
          <w:sz w:val="10"/>
        </w:rPr>
      </w:pPr>
      <w:r>
        <w:rPr/>
        <w:br w:type="column"/>
      </w:r>
      <w:r>
        <w:rPr>
          <w:rFonts w:ascii="Symbol" w:hAnsi="Symbol"/>
          <w:w w:val="105"/>
          <w:position w:val="-6"/>
          <w:sz w:val="24"/>
        </w:rPr>
        <w:t></w:t>
      </w:r>
      <w:r>
        <w:rPr>
          <w:rFonts w:ascii="Times New Roman" w:hAnsi="Times New Roman"/>
          <w:w w:val="105"/>
          <w:position w:val="-6"/>
          <w:sz w:val="24"/>
        </w:rPr>
        <w:t>  </w:t>
      </w:r>
      <w:r>
        <w:rPr>
          <w:rFonts w:ascii="Times New Roman" w:hAnsi="Times New Roman"/>
          <w:w w:val="105"/>
          <w:sz w:val="14"/>
        </w:rPr>
        <w:t>n </w:t>
      </w:r>
      <w:r>
        <w:rPr>
          <w:rFonts w:ascii="Times New Roman" w:hAnsi="Times New Roman"/>
          <w:w w:val="105"/>
          <w:position w:val="-2"/>
          <w:sz w:val="10"/>
        </w:rPr>
        <w:t>j</w:t>
      </w:r>
    </w:p>
    <w:p>
      <w:pPr>
        <w:pStyle w:val="BodyText"/>
        <w:spacing w:line="23" w:lineRule="exact"/>
        <w:ind w:left="494"/>
        <w:rPr>
          <w:rFonts w:ascii="Symbol" w:hAnsi="Symbol"/>
        </w:rPr>
      </w:pPr>
      <w:r>
        <w:rPr/>
        <w:pict>
          <v:shape style="position:absolute;margin-left:301.876648pt;margin-top:-4.803889pt;width:6.45pt;height:11.95pt;mso-position-horizontal-relative:page;mso-position-vertical-relative:paragraph;z-index:-330712" type="#_x0000_t202" filled="false" stroked="false">
            <v:textbox inset="0,0,0,0">
              <w:txbxContent>
                <w:p>
                  <w:pPr>
                    <w:pStyle w:val="BodyText"/>
                    <w:spacing w:line="239" w:lineRule="exact"/>
                    <w:rPr>
                      <w:rFonts w:ascii="Times New Roman"/>
                    </w:rPr>
                  </w:pPr>
                  <w:r>
                    <w:rPr>
                      <w:rFonts w:ascii="Times New Roman"/>
                      <w:w w:val="107"/>
                    </w:rPr>
                    <w:t>1</w:t>
                  </w:r>
                </w:p>
              </w:txbxContent>
            </v:textbox>
            <w10:wrap type="none"/>
          </v:shape>
        </w:pict>
      </w:r>
      <w:r>
        <w:rPr>
          <w:rFonts w:ascii="Symbol" w:hAnsi="Symbol"/>
          <w:w w:val="107"/>
        </w:rPr>
        <w:t></w:t>
      </w:r>
    </w:p>
    <w:p>
      <w:pPr>
        <w:spacing w:line="219" w:lineRule="exact" w:before="55"/>
        <w:ind w:left="0" w:right="0" w:firstLine="0"/>
        <w:jc w:val="right"/>
        <w:rPr>
          <w:rFonts w:ascii="Symbol" w:hAnsi="Symbol"/>
          <w:sz w:val="24"/>
        </w:rPr>
      </w:pPr>
      <w:r>
        <w:rPr/>
        <w:br w:type="column"/>
      </w:r>
      <w:r>
        <w:rPr>
          <w:rFonts w:ascii="Symbol" w:hAnsi="Symbol"/>
          <w:w w:val="105"/>
          <w:sz w:val="24"/>
        </w:rPr>
        <w:t></w:t>
      </w:r>
    </w:p>
    <w:p>
      <w:pPr>
        <w:spacing w:line="21" w:lineRule="exact" w:before="0"/>
        <w:ind w:left="0" w:right="0" w:firstLine="0"/>
        <w:jc w:val="right"/>
        <w:rPr>
          <w:rFonts w:ascii="Symbol" w:hAnsi="Symbol"/>
          <w:sz w:val="24"/>
        </w:rPr>
      </w:pPr>
      <w:r>
        <w:rPr>
          <w:rFonts w:ascii="Times New Roman" w:hAnsi="Times New Roman"/>
          <w:w w:val="105"/>
          <w:sz w:val="14"/>
        </w:rPr>
        <w:t>i </w:t>
      </w:r>
      <w:r>
        <w:rPr>
          <w:rFonts w:ascii="Times New Roman" w:hAnsi="Times New Roman"/>
          <w:w w:val="105"/>
          <w:position w:val="-9"/>
          <w:sz w:val="24"/>
        </w:rPr>
        <w:t>V</w:t>
      </w:r>
      <w:r>
        <w:rPr>
          <w:rFonts w:ascii="Times New Roman" w:hAnsi="Times New Roman"/>
          <w:spacing w:val="60"/>
          <w:w w:val="105"/>
          <w:position w:val="-9"/>
          <w:sz w:val="24"/>
        </w:rPr>
        <w:t> </w:t>
      </w:r>
      <w:r>
        <w:rPr>
          <w:rFonts w:ascii="Symbol" w:hAnsi="Symbol"/>
          <w:w w:val="105"/>
          <w:position w:val="-4"/>
          <w:sz w:val="24"/>
        </w:rPr>
        <w:t></w:t>
      </w:r>
    </w:p>
    <w:p>
      <w:pPr>
        <w:spacing w:line="71" w:lineRule="exact" w:before="182"/>
        <w:ind w:left="199" w:right="0" w:firstLine="0"/>
        <w:jc w:val="left"/>
        <w:rPr>
          <w:rFonts w:ascii="Symbol" w:hAnsi="Symbol"/>
          <w:sz w:val="31"/>
        </w:rPr>
      </w:pPr>
      <w:r>
        <w:rPr/>
        <w:br w:type="column"/>
      </w:r>
      <w:r>
        <w:rPr>
          <w:rFonts w:ascii="Symbol" w:hAnsi="Symbol"/>
          <w:sz w:val="31"/>
        </w:rPr>
        <w:t></w:t>
      </w:r>
      <w:r>
        <w:rPr>
          <w:rFonts w:ascii="Times New Roman" w:hAnsi="Times New Roman"/>
          <w:sz w:val="24"/>
        </w:rPr>
        <w:t>6</w:t>
      </w:r>
      <w:r>
        <w:rPr>
          <w:rFonts w:ascii="Symbol" w:hAnsi="Symbol"/>
          <w:sz w:val="31"/>
        </w:rPr>
        <w:t></w:t>
      </w:r>
    </w:p>
    <w:p>
      <w:pPr>
        <w:spacing w:after="0" w:line="71" w:lineRule="exact"/>
        <w:jc w:val="left"/>
        <w:rPr>
          <w:rFonts w:ascii="Symbol" w:hAnsi="Symbol"/>
          <w:sz w:val="31"/>
        </w:rPr>
        <w:sectPr>
          <w:type w:val="continuous"/>
          <w:pgSz w:w="12240" w:h="15840"/>
          <w:pgMar w:top="3080" w:bottom="2780" w:left="1440" w:right="1460"/>
          <w:cols w:num="4" w:equalWidth="0">
            <w:col w:w="4285" w:space="40"/>
            <w:col w:w="879" w:space="40"/>
            <w:col w:w="571" w:space="40"/>
            <w:col w:w="3485"/>
          </w:cols>
        </w:sectPr>
      </w:pPr>
    </w:p>
    <w:p>
      <w:pPr>
        <w:tabs>
          <w:tab w:pos="3877" w:val="left" w:leader="none"/>
          <w:tab w:pos="4818" w:val="left" w:leader="none"/>
          <w:tab w:pos="5582" w:val="left" w:leader="none"/>
        </w:tabs>
        <w:spacing w:line="346" w:lineRule="exact" w:before="0"/>
        <w:ind w:left="3560" w:right="0" w:firstLine="0"/>
        <w:jc w:val="left"/>
        <w:rPr>
          <w:rFonts w:ascii="Symbol" w:hAnsi="Symbol"/>
          <w:sz w:val="24"/>
        </w:rPr>
      </w:pPr>
      <w:r>
        <w:rPr/>
        <w:pict>
          <v:shape style="position:absolute;margin-left:2.388pt;margin-top:195.023438pt;width:2.9pt;height:17.05pt;mso-position-horizontal-relative:page;mso-position-vertical-relative:paragraph;z-index:1480" coordorigin="48,3900" coordsize="58,341" path="m4821,3l4761,167m4761,167l4821,331e" filled="false" stroked="true" strokeweight=".140222pt" strokecolor="#000000">
            <v:path arrowok="t"/>
            <w10:wrap type="none"/>
          </v:shape>
        </w:pict>
      </w:r>
      <w:r>
        <w:rPr/>
        <w:pict>
          <v:shape style="position:absolute;margin-left:36.216pt;margin-top:195.023438pt;width:2.9pt;height:17.05pt;mso-position-horizontal-relative:page;mso-position-vertical-relative:paragraph;z-index:1504" coordorigin="724,3900" coordsize="58,341" path="m5465,3l5525,167m5525,167l5465,331e" filled="false" stroked="true" strokeweight=".140222pt" strokecolor="#000000">
            <v:path arrowok="t"/>
            <w10:wrap type="none"/>
          </v:shape>
        </w:pict>
      </w:r>
      <w:r>
        <w:rPr/>
        <w:pict>
          <v:line style="position:absolute;mso-position-horizontal-relative:page;mso-position-vertical-relative:paragraph;z-index:-330736" from="299.006836pt,8.356175pt" to="311.876859pt,8.356177pt" stroked="true" strokeweight=".13482pt" strokecolor="#000000">
            <w10:wrap type="none"/>
          </v:line>
        </w:pict>
      </w:r>
      <w:r>
        <w:rPr/>
        <w:pict>
          <v:shape style="position:absolute;margin-left:299.457214pt;margin-top:10.282228pt;width:6.45pt;height:11.95pt;mso-position-horizontal-relative:page;mso-position-vertical-relative:paragraph;z-index:-330688" type="#_x0000_t202" filled="false" stroked="false">
            <v:textbox inset="0,0,0,0">
              <w:txbxContent>
                <w:p>
                  <w:pPr>
                    <w:pStyle w:val="BodyText"/>
                    <w:spacing w:line="239" w:lineRule="exact"/>
                    <w:rPr>
                      <w:rFonts w:ascii="Times New Roman"/>
                    </w:rPr>
                  </w:pPr>
                  <w:r>
                    <w:rPr>
                      <w:rFonts w:ascii="Times New Roman"/>
                      <w:w w:val="107"/>
                    </w:rPr>
                    <w:t>n</w:t>
                  </w:r>
                </w:p>
              </w:txbxContent>
            </v:textbox>
            <w10:wrap type="none"/>
          </v:shape>
        </w:pict>
      </w:r>
      <w:r>
        <w:rPr>
          <w:rFonts w:ascii="Times New Roman" w:hAnsi="Times New Roman"/>
          <w:w w:val="110"/>
          <w:sz w:val="14"/>
        </w:rPr>
        <w:t>k</w:t>
        <w:tab/>
        <w:t>j</w:t>
        <w:tab/>
      </w:r>
      <w:r>
        <w:rPr>
          <w:rFonts w:ascii="Symbol" w:hAnsi="Symbol"/>
          <w:w w:val="110"/>
          <w:position w:val="-6"/>
          <w:sz w:val="24"/>
        </w:rPr>
        <w:t></w:t>
      </w:r>
      <w:r>
        <w:rPr>
          <w:rFonts w:ascii="Times New Roman" w:hAnsi="Times New Roman"/>
          <w:spacing w:val="26"/>
          <w:w w:val="110"/>
          <w:position w:val="-6"/>
          <w:sz w:val="24"/>
        </w:rPr>
        <w:t> </w:t>
      </w:r>
      <w:r>
        <w:rPr>
          <w:rFonts w:ascii="Symbol" w:hAnsi="Symbol"/>
          <w:w w:val="110"/>
          <w:sz w:val="35"/>
        </w:rPr>
        <w:t></w:t>
      </w:r>
      <w:r>
        <w:rPr>
          <w:rFonts w:ascii="Times New Roman" w:hAnsi="Times New Roman"/>
          <w:w w:val="110"/>
          <w:sz w:val="35"/>
        </w:rPr>
        <w:tab/>
      </w:r>
      <w:r>
        <w:rPr>
          <w:rFonts w:ascii="Times New Roman" w:hAnsi="Times New Roman"/>
          <w:w w:val="110"/>
          <w:sz w:val="14"/>
        </w:rPr>
        <w:t>k</w:t>
      </w:r>
      <w:r>
        <w:rPr>
          <w:rFonts w:ascii="Times New Roman" w:hAnsi="Times New Roman"/>
          <w:spacing w:val="14"/>
          <w:w w:val="110"/>
          <w:sz w:val="14"/>
        </w:rPr>
        <w:t> </w:t>
      </w:r>
      <w:r>
        <w:rPr>
          <w:rFonts w:ascii="Symbol" w:hAnsi="Symbol"/>
          <w:w w:val="110"/>
          <w:position w:val="-6"/>
          <w:sz w:val="24"/>
        </w:rPr>
        <w:t></w:t>
      </w:r>
    </w:p>
    <w:p>
      <w:pPr>
        <w:spacing w:line="48" w:lineRule="exact" w:before="0"/>
        <w:ind w:left="664" w:right="0" w:firstLine="0"/>
        <w:jc w:val="center"/>
        <w:rPr>
          <w:rFonts w:ascii="Times New Roman" w:hAnsi="Times New Roman"/>
          <w:sz w:val="14"/>
        </w:rPr>
      </w:pPr>
      <w:r>
        <w:rPr>
          <w:rFonts w:ascii="Times New Roman" w:hAnsi="Times New Roman"/>
          <w:w w:val="105"/>
          <w:sz w:val="14"/>
        </w:rPr>
        <w:t>j     </w:t>
      </w:r>
      <w:r>
        <w:rPr>
          <w:rFonts w:ascii="Times New Roman" w:hAnsi="Times New Roman"/>
          <w:w w:val="105"/>
          <w:position w:val="2"/>
          <w:sz w:val="14"/>
        </w:rPr>
        <w:t>m </w:t>
      </w:r>
      <w:r>
        <w:rPr>
          <w:rFonts w:ascii="Symbol" w:hAnsi="Symbol"/>
          <w:w w:val="105"/>
          <w:position w:val="2"/>
          <w:sz w:val="14"/>
        </w:rPr>
        <w:t></w:t>
      </w:r>
      <w:r>
        <w:rPr>
          <w:rFonts w:ascii="Times New Roman" w:hAnsi="Times New Roman"/>
          <w:w w:val="105"/>
          <w:position w:val="2"/>
          <w:sz w:val="14"/>
        </w:rPr>
        <w:t>c</w:t>
      </w:r>
    </w:p>
    <w:p>
      <w:pPr>
        <w:tabs>
          <w:tab w:pos="1778" w:val="left" w:leader="none"/>
          <w:tab w:pos="2188" w:val="left" w:leader="none"/>
        </w:tabs>
        <w:spacing w:line="198" w:lineRule="exact" w:before="0"/>
        <w:ind w:left="1292" w:right="0" w:firstLine="0"/>
        <w:jc w:val="center"/>
        <w:rPr>
          <w:rFonts w:ascii="Symbol" w:hAnsi="Symbol"/>
          <w:sz w:val="24"/>
        </w:rPr>
      </w:pPr>
      <w:r>
        <w:rPr>
          <w:rFonts w:ascii="Symbol" w:hAnsi="Symbol"/>
          <w:w w:val="110"/>
          <w:position w:val="-1"/>
          <w:sz w:val="24"/>
        </w:rPr>
        <w:t></w:t>
      </w:r>
      <w:r>
        <w:rPr>
          <w:rFonts w:ascii="Times New Roman" w:hAnsi="Times New Roman"/>
          <w:w w:val="110"/>
          <w:position w:val="-1"/>
          <w:sz w:val="24"/>
        </w:rPr>
        <w:t> </w:t>
      </w:r>
      <w:r>
        <w:rPr>
          <w:rFonts w:ascii="Times New Roman" w:hAnsi="Times New Roman"/>
          <w:spacing w:val="13"/>
          <w:w w:val="110"/>
          <w:position w:val="-1"/>
          <w:sz w:val="24"/>
        </w:rPr>
        <w:t> </w:t>
      </w:r>
      <w:r>
        <w:rPr>
          <w:rFonts w:ascii="Times New Roman" w:hAnsi="Times New Roman"/>
          <w:w w:val="110"/>
          <w:sz w:val="10"/>
        </w:rPr>
        <w:t>i</w:t>
        <w:tab/>
        <w:t>j</w:t>
        <w:tab/>
      </w:r>
      <w:r>
        <w:rPr>
          <w:rFonts w:ascii="Symbol" w:hAnsi="Symbol"/>
          <w:w w:val="110"/>
          <w:position w:val="-1"/>
          <w:sz w:val="24"/>
        </w:rPr>
        <w:t></w:t>
      </w:r>
    </w:p>
    <w:p>
      <w:pPr>
        <w:pStyle w:val="BodyText"/>
        <w:rPr>
          <w:rFonts w:ascii="Symbol" w:hAnsi="Symbol"/>
          <w:sz w:val="20"/>
        </w:rPr>
      </w:pPr>
    </w:p>
    <w:p>
      <w:pPr>
        <w:pStyle w:val="Heading2"/>
        <w:numPr>
          <w:ilvl w:val="0"/>
          <w:numId w:val="2"/>
        </w:numPr>
        <w:tabs>
          <w:tab w:pos="544" w:val="left" w:leader="none"/>
        </w:tabs>
        <w:spacing w:line="240" w:lineRule="auto" w:before="199" w:after="0"/>
        <w:ind w:left="259" w:right="285" w:firstLine="0"/>
        <w:jc w:val="left"/>
      </w:pPr>
      <w:bookmarkStart w:name="_TOC_250014" w:id="26"/>
      <w:r>
        <w:rPr>
          <w:i/>
        </w:rPr>
        <w:t>Método quimioinformático para establecer</w:t>
      </w:r>
      <w:r>
        <w:rPr>
          <w:i/>
          <w:spacing w:val="-44"/>
        </w:rPr>
        <w:t> </w:t>
      </w:r>
      <w:r>
        <w:rPr>
          <w:i/>
        </w:rPr>
        <w:t>las redes de distribución </w:t>
      </w:r>
      <w:r>
        <w:rPr/>
        <w:t>de ácidos grasos en micoorganismos</w:t>
      </w:r>
      <w:r>
        <w:rPr>
          <w:spacing w:val="-29"/>
        </w:rPr>
        <w:t> </w:t>
      </w:r>
      <w:bookmarkEnd w:id="26"/>
      <w:r>
        <w:rPr/>
        <w:t>ruminales.</w:t>
      </w:r>
    </w:p>
    <w:p>
      <w:pPr>
        <w:pStyle w:val="BodyText"/>
        <w:spacing w:before="4"/>
        <w:rPr>
          <w:b/>
          <w:i/>
        </w:rPr>
      </w:pPr>
    </w:p>
    <w:p>
      <w:pPr>
        <w:pStyle w:val="BodyText"/>
        <w:spacing w:line="355" w:lineRule="auto"/>
        <w:ind w:left="259" w:firstLine="283"/>
      </w:pPr>
      <w:r>
        <w:rPr/>
        <w:t>En resumen, la estructura molecular de los ácidos grasos exógenos juega un papel importante   en   el   mecanismo   de   regulación   en   rumen   vía   y   los   procesos  de</w:t>
      </w:r>
    </w:p>
    <w:p>
      <w:pPr>
        <w:pStyle w:val="BodyText"/>
        <w:spacing w:before="6"/>
        <w:ind w:left="259"/>
      </w:pPr>
      <w:r>
        <w:rPr/>
        <w:t>metabolismo.   Esto   implica   que   es   razonable   combinar   las   propiedades   de   la</w:t>
      </w:r>
    </w:p>
    <w:p>
      <w:pPr>
        <w:spacing w:after="0"/>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3"/>
        <w:jc w:val="both"/>
      </w:pPr>
      <w:r>
        <w:rPr/>
        <w:t>estructura molecular y la cantidad de ácidos grasos en la membrana bacteriana o protozoo para predecir las propiedades de metabolismo de lípidos rumen. En este sentido, los modelos Quimioinformática pueden convertirse en una herramienta útil (Varnek y Baskin, 2011). En nuestra opinión, podemos combinar la idea de Perturbación Teoría (PT) (González-Díaz et al, 2013A.) Y lineales Free-Energy Relaciones (LFER) (Roy y Leonard, 2005; Anslyn y Dougherty, 2006) para manejar este asunto. Como resultado de esta combinación podemos obtener modelos PT-LFER que pueden manejar los datos complejos generados en estos estudios. Además, los métodos de aprendizaje de máquina noω lineal tales como Redes Neuronales Artificiales (RNA) (González-Díaz et al, 2013b;. Duardo-Sánchez et al, 2014). Se puede utilizar para mejorar la capacidad de predicción de técnicas Quimioinformática en el estudio de los sistemas sociales bio-molecular compleja, ecológico, y. Como resultado podemos obtener modelos Noω lineal PT-LFER modelos</w:t>
      </w:r>
      <w:r>
        <w:rPr>
          <w:spacing w:val="-22"/>
        </w:rPr>
        <w:t> </w:t>
      </w:r>
      <w:r>
        <w:rPr/>
        <w:t>(PT-NLFER).</w:t>
      </w:r>
    </w:p>
    <w:p>
      <w:pPr>
        <w:pStyle w:val="BodyText"/>
        <w:spacing w:before="9"/>
        <w:rPr>
          <w:sz w:val="23"/>
        </w:rPr>
      </w:pPr>
    </w:p>
    <w:p>
      <w:pPr>
        <w:pStyle w:val="BodyText"/>
        <w:spacing w:line="360" w:lineRule="auto"/>
        <w:ind w:left="259" w:right="237" w:firstLine="283"/>
        <w:jc w:val="both"/>
      </w:pPr>
      <w:r>
        <w:rPr/>
        <w:t>En el presente trabajo queremos introducir una nueva metodología teórico basado métodos PT-LFER que es capaz de procesar </w:t>
      </w:r>
      <w:r>
        <w:rPr>
          <w:spacing w:val="2"/>
        </w:rPr>
        <w:t>los </w:t>
      </w:r>
      <w:r>
        <w:rPr/>
        <w:t>datos experimentales complejas a partir de los estudios de metabolómica de la producción de metano. Es por eso que; el presente trabajo consta de dos etapas principales. La primera etapa de la obra tiene como objetivo reportar conjunto de datos experimentales original de distribución de ácidos grasos en la membrana biológica. En la segunda etapa de este trabajo vamos a desarrollar unos nuevos modelos Quimioinformática PT-LFER / PT-NLFER para los datos generados. A continuación, el mejor modelo PT-LFER encontró fue utilizado para predecir el efecto de las perturbaciones en las condiciones de contorno iniciales sobre un gran compleja red de distribución / absorción de FA en el microbioma ruminal. Por consiguiente, este trabajo allana el camino para estudiar el efecto de la teoría de la perturbación complejo molecular </w:t>
      </w:r>
      <w:r>
        <w:rPr>
          <w:spacing w:val="-4"/>
        </w:rPr>
        <w:t>en </w:t>
      </w:r>
      <w:r>
        <w:rPr/>
        <w:t>la estructura química de ácido graso, los parámetros de la fermentación y las condiciones experimentales correspondientes de</w:t>
      </w:r>
      <w:r>
        <w:rPr>
          <w:spacing w:val="-3"/>
        </w:rPr>
        <w:t> </w:t>
      </w:r>
      <w:r>
        <w:rPr/>
        <w:t>contorno.</w:t>
      </w:r>
    </w:p>
    <w:p>
      <w:pPr>
        <w:spacing w:after="0" w:line="360" w:lineRule="auto"/>
        <w:jc w:val="both"/>
        <w:sectPr>
          <w:pgSz w:w="12240" w:h="15840"/>
          <w:pgMar w:header="684" w:footer="1164" w:top="1380" w:bottom="1380" w:left="1440" w:right="1460"/>
        </w:sectPr>
      </w:pPr>
    </w:p>
    <w:p>
      <w:pPr>
        <w:pStyle w:val="BodyText"/>
        <w:spacing w:before="3"/>
        <w:rPr>
          <w:sz w:val="15"/>
        </w:rPr>
      </w:pPr>
    </w:p>
    <w:p>
      <w:pPr>
        <w:pStyle w:val="Heading3"/>
        <w:numPr>
          <w:ilvl w:val="1"/>
          <w:numId w:val="2"/>
        </w:numPr>
        <w:tabs>
          <w:tab w:pos="683" w:val="left" w:leader="none"/>
        </w:tabs>
        <w:spacing w:line="240" w:lineRule="auto" w:before="70" w:after="0"/>
        <w:ind w:left="682" w:right="0" w:hanging="423"/>
        <w:jc w:val="left"/>
        <w:rPr>
          <w:rFonts w:ascii="Times New Roman"/>
        </w:rPr>
      </w:pPr>
      <w:bookmarkStart w:name="_TOC_250013" w:id="27"/>
      <w:r>
        <w:rPr>
          <w:rFonts w:ascii="Times New Roman"/>
        </w:rPr>
        <w:t>Detalles del modelo</w:t>
      </w:r>
      <w:r>
        <w:rPr>
          <w:rFonts w:ascii="Times New Roman"/>
          <w:spacing w:val="-18"/>
        </w:rPr>
        <w:t> </w:t>
      </w:r>
      <w:bookmarkEnd w:id="27"/>
      <w:r>
        <w:rPr>
          <w:rFonts w:ascii="Times New Roman"/>
        </w:rPr>
        <w:t>PT-LFER.</w:t>
      </w:r>
    </w:p>
    <w:p>
      <w:pPr>
        <w:pStyle w:val="BodyText"/>
        <w:spacing w:before="10"/>
        <w:rPr>
          <w:rFonts w:ascii="Times New Roman"/>
          <w:b/>
        </w:rPr>
      </w:pPr>
    </w:p>
    <w:p>
      <w:pPr>
        <w:pStyle w:val="BodyText"/>
        <w:spacing w:line="360" w:lineRule="auto"/>
        <w:ind w:left="259" w:right="242" w:firstLine="283"/>
        <w:jc w:val="both"/>
      </w:pPr>
      <w:r>
        <w:rPr/>
        <w:t>En nuestra opinión, podemos combinar la idea de Perturbación Teoría (PT) (González-Díaz et al, 2013A.) Y lineales Free-Energy Relaciones (LFER) (Roy y Leonard, 2005; Anslyn y Dougherty, 2006) para manejar este asunto. Corwin Hánsch fue uno de los fundadores en Quimioinformática modernos, que se basa en la relación lipofilia-actividad. El supuesto para el análisis de Hánsch se basa en las moléculas similares con actividades similares (Hánsch et al, 2001;.. Hánsch et al, 2002; Hánsch et al., 2003) o la llamada Relación Estructura-Actividad (SAR). Un tipo de modelo de Hansch es la siguiente (de Hansch et al., 1965).</w:t>
      </w:r>
    </w:p>
    <w:p>
      <w:pPr>
        <w:pStyle w:val="BodyText"/>
        <w:spacing w:before="1"/>
        <w:rPr>
          <w:sz w:val="16"/>
        </w:rPr>
      </w:pPr>
    </w:p>
    <w:p>
      <w:pPr>
        <w:spacing w:after="0"/>
        <w:rPr>
          <w:sz w:val="16"/>
        </w:rPr>
        <w:sectPr>
          <w:pgSz w:w="12240" w:h="15840"/>
          <w:pgMar w:header="684" w:footer="1164" w:top="1380" w:bottom="1380" w:left="1440" w:right="1460"/>
        </w:sectPr>
      </w:pPr>
    </w:p>
    <w:p>
      <w:pPr>
        <w:spacing w:line="317" w:lineRule="exact" w:before="30"/>
        <w:ind w:left="1250" w:right="-5" w:firstLine="0"/>
        <w:jc w:val="left"/>
        <w:rPr>
          <w:rFonts w:ascii="Times New Roman" w:hAnsi="Times New Roman"/>
          <w:sz w:val="16"/>
        </w:rPr>
      </w:pPr>
      <w:r>
        <w:rPr>
          <w:rFonts w:ascii="Times New Roman" w:hAnsi="Times New Roman"/>
          <w:spacing w:val="-33"/>
          <w:w w:val="123"/>
          <w:sz w:val="28"/>
        </w:rPr>
        <w:t>f</w:t>
      </w:r>
      <w:r>
        <w:rPr>
          <w:rFonts w:ascii="Times New Roman" w:hAnsi="Times New Roman"/>
          <w:spacing w:val="28"/>
          <w:w w:val="123"/>
          <w:sz w:val="28"/>
        </w:rPr>
        <w:t>(</w:t>
      </w:r>
      <w:r>
        <w:rPr>
          <w:rFonts w:ascii="Symbol" w:hAnsi="Symbol"/>
          <w:i/>
          <w:w w:val="111"/>
          <w:sz w:val="31"/>
        </w:rPr>
        <w:t></w:t>
      </w:r>
      <w:r>
        <w:rPr>
          <w:rFonts w:ascii="Times New Roman" w:hAnsi="Times New Roman"/>
          <w:spacing w:val="1"/>
          <w:sz w:val="31"/>
        </w:rPr>
        <w:t> </w:t>
      </w:r>
      <w:r>
        <w:rPr>
          <w:rFonts w:ascii="Times New Roman" w:hAnsi="Times New Roman"/>
          <w:w w:val="123"/>
          <w:sz w:val="28"/>
        </w:rPr>
        <w:t>)</w:t>
      </w:r>
      <w:r>
        <w:rPr>
          <w:rFonts w:ascii="Times New Roman" w:hAnsi="Times New Roman"/>
          <w:spacing w:val="-2"/>
          <w:sz w:val="28"/>
        </w:rPr>
        <w:t> </w:t>
      </w:r>
      <w:r>
        <w:rPr>
          <w:rFonts w:ascii="Symbol" w:hAnsi="Symbol"/>
          <w:w w:val="123"/>
          <w:sz w:val="28"/>
        </w:rPr>
        <w:t></w:t>
      </w:r>
      <w:r>
        <w:rPr>
          <w:rFonts w:ascii="Times New Roman" w:hAnsi="Times New Roman"/>
          <w:spacing w:val="-11"/>
          <w:sz w:val="28"/>
        </w:rPr>
        <w:t> </w:t>
      </w:r>
      <w:r>
        <w:rPr>
          <w:rFonts w:ascii="Times New Roman" w:hAnsi="Times New Roman"/>
          <w:w w:val="123"/>
          <w:sz w:val="28"/>
        </w:rPr>
        <w:t>a</w:t>
      </w:r>
      <w:r>
        <w:rPr>
          <w:rFonts w:ascii="Times New Roman" w:hAnsi="Times New Roman"/>
          <w:sz w:val="28"/>
        </w:rPr>
        <w:t>  </w:t>
      </w:r>
      <w:r>
        <w:rPr>
          <w:rFonts w:ascii="Times New Roman" w:hAnsi="Times New Roman"/>
          <w:spacing w:val="-12"/>
          <w:sz w:val="28"/>
        </w:rPr>
        <w:t> </w:t>
      </w:r>
      <w:r>
        <w:rPr>
          <w:rFonts w:ascii="Symbol" w:hAnsi="Symbol"/>
          <w:w w:val="123"/>
          <w:sz w:val="28"/>
        </w:rPr>
        <w:t></w:t>
      </w:r>
      <w:r>
        <w:rPr>
          <w:rFonts w:ascii="Times New Roman" w:hAnsi="Times New Roman"/>
          <w:spacing w:val="-30"/>
          <w:sz w:val="28"/>
        </w:rPr>
        <w:t> </w:t>
      </w:r>
      <w:r>
        <w:rPr>
          <w:rFonts w:ascii="Symbol" w:hAnsi="Symbol"/>
          <w:i/>
          <w:w w:val="111"/>
          <w:sz w:val="31"/>
        </w:rPr>
        <w:t></w:t>
      </w:r>
      <w:r>
        <w:rPr>
          <w:rFonts w:ascii="Times New Roman" w:hAnsi="Times New Roman"/>
          <w:spacing w:val="6"/>
          <w:sz w:val="31"/>
        </w:rPr>
        <w:t> </w:t>
      </w:r>
      <w:r>
        <w:rPr>
          <w:rFonts w:ascii="Times New Roman" w:hAnsi="Times New Roman"/>
          <w:spacing w:val="-13"/>
          <w:w w:val="123"/>
          <w:sz w:val="28"/>
        </w:rPr>
        <w:t>·</w:t>
      </w:r>
      <w:r>
        <w:rPr>
          <w:rFonts w:ascii="Times New Roman" w:hAnsi="Times New Roman"/>
          <w:spacing w:val="-34"/>
          <w:w w:val="123"/>
          <w:sz w:val="28"/>
        </w:rPr>
        <w:t>l</w:t>
      </w:r>
      <w:r>
        <w:rPr>
          <w:rFonts w:ascii="Times New Roman" w:hAnsi="Times New Roman"/>
          <w:spacing w:val="-9"/>
          <w:w w:val="123"/>
          <w:sz w:val="28"/>
        </w:rPr>
        <w:t>o</w:t>
      </w:r>
      <w:r>
        <w:rPr>
          <w:rFonts w:ascii="Times New Roman" w:hAnsi="Times New Roman"/>
          <w:spacing w:val="-29"/>
          <w:w w:val="123"/>
          <w:sz w:val="28"/>
        </w:rPr>
        <w:t>g</w:t>
      </w:r>
      <w:r>
        <w:rPr>
          <w:rFonts w:ascii="Times New Roman" w:hAnsi="Times New Roman"/>
          <w:w w:val="123"/>
          <w:sz w:val="28"/>
        </w:rPr>
        <w:t>P</w:t>
      </w:r>
      <w:r>
        <w:rPr>
          <w:rFonts w:ascii="Times New Roman" w:hAnsi="Times New Roman"/>
          <w:sz w:val="28"/>
        </w:rPr>
        <w:t> </w:t>
      </w:r>
      <w:r>
        <w:rPr>
          <w:rFonts w:ascii="Times New Roman" w:hAnsi="Times New Roman"/>
          <w:spacing w:val="3"/>
          <w:sz w:val="28"/>
        </w:rPr>
        <w:t> </w:t>
      </w:r>
      <w:r>
        <w:rPr>
          <w:rFonts w:ascii="Symbol" w:hAnsi="Symbol"/>
          <w:w w:val="123"/>
          <w:sz w:val="28"/>
        </w:rPr>
        <w:t></w:t>
      </w:r>
      <w:r>
        <w:rPr>
          <w:rFonts w:ascii="Times New Roman" w:hAnsi="Times New Roman"/>
          <w:spacing w:val="-30"/>
          <w:sz w:val="28"/>
        </w:rPr>
        <w:t> </w:t>
      </w:r>
      <w:r>
        <w:rPr>
          <w:rFonts w:ascii="Symbol" w:hAnsi="Symbol"/>
          <w:i/>
          <w:w w:val="111"/>
          <w:sz w:val="31"/>
        </w:rPr>
        <w:t></w:t>
      </w:r>
      <w:r>
        <w:rPr>
          <w:rFonts w:ascii="Times New Roman" w:hAnsi="Times New Roman"/>
          <w:sz w:val="31"/>
        </w:rPr>
        <w:t> </w:t>
      </w:r>
      <w:r>
        <w:rPr>
          <w:rFonts w:ascii="Times New Roman" w:hAnsi="Times New Roman"/>
          <w:spacing w:val="-37"/>
          <w:sz w:val="31"/>
        </w:rPr>
        <w:t> </w:t>
      </w:r>
      <w:r>
        <w:rPr>
          <w:rFonts w:ascii="Times New Roman" w:hAnsi="Times New Roman"/>
          <w:spacing w:val="-13"/>
          <w:w w:val="123"/>
          <w:sz w:val="28"/>
        </w:rPr>
        <w:t>·</w:t>
      </w:r>
      <w:r>
        <w:rPr>
          <w:rFonts w:ascii="Times New Roman" w:hAnsi="Times New Roman"/>
          <w:spacing w:val="-9"/>
          <w:w w:val="123"/>
          <w:sz w:val="28"/>
        </w:rPr>
        <w:t>p</w:t>
      </w:r>
      <w:r>
        <w:rPr>
          <w:rFonts w:ascii="Times New Roman" w:hAnsi="Times New Roman"/>
          <w:w w:val="123"/>
          <w:sz w:val="28"/>
        </w:rPr>
        <w:t>K</w:t>
      </w:r>
      <w:r>
        <w:rPr>
          <w:rFonts w:ascii="Times New Roman" w:hAnsi="Times New Roman"/>
          <w:sz w:val="28"/>
        </w:rPr>
        <w:t>  </w:t>
      </w:r>
      <w:r>
        <w:rPr>
          <w:rFonts w:ascii="Times New Roman" w:hAnsi="Times New Roman"/>
          <w:spacing w:val="-24"/>
          <w:sz w:val="28"/>
        </w:rPr>
        <w:t> </w:t>
      </w:r>
      <w:r>
        <w:rPr>
          <w:rFonts w:ascii="Symbol" w:hAnsi="Symbol"/>
          <w:w w:val="123"/>
          <w:sz w:val="28"/>
        </w:rPr>
        <w:t></w:t>
      </w:r>
      <w:r>
        <w:rPr>
          <w:rFonts w:ascii="Times New Roman" w:hAnsi="Times New Roman"/>
          <w:spacing w:val="-30"/>
          <w:sz w:val="28"/>
        </w:rPr>
        <w:t> </w:t>
      </w:r>
      <w:r>
        <w:rPr>
          <w:rFonts w:ascii="Symbol" w:hAnsi="Symbol"/>
          <w:i/>
          <w:w w:val="111"/>
          <w:sz w:val="31"/>
        </w:rPr>
        <w:t></w:t>
      </w:r>
      <w:r>
        <w:rPr>
          <w:rFonts w:ascii="Times New Roman" w:hAnsi="Times New Roman"/>
          <w:spacing w:val="29"/>
          <w:sz w:val="31"/>
        </w:rPr>
        <w:t> </w:t>
      </w:r>
      <w:r>
        <w:rPr>
          <w:rFonts w:ascii="Times New Roman" w:hAnsi="Times New Roman"/>
          <w:spacing w:val="-13"/>
          <w:w w:val="123"/>
          <w:sz w:val="28"/>
        </w:rPr>
        <w:t>·</w:t>
      </w:r>
      <w:r>
        <w:rPr>
          <w:rFonts w:ascii="Times New Roman" w:hAnsi="Times New Roman"/>
          <w:spacing w:val="-20"/>
          <w:w w:val="123"/>
          <w:sz w:val="28"/>
        </w:rPr>
        <w:t>M</w:t>
      </w:r>
      <w:r>
        <w:rPr>
          <w:rFonts w:ascii="Times New Roman" w:hAnsi="Times New Roman"/>
          <w:w w:val="123"/>
          <w:sz w:val="28"/>
        </w:rPr>
        <w:t>R</w:t>
      </w:r>
      <w:r>
        <w:rPr>
          <w:rFonts w:ascii="Times New Roman" w:hAnsi="Times New Roman"/>
          <w:spacing w:val="-4"/>
          <w:sz w:val="28"/>
        </w:rPr>
        <w:t> </w:t>
      </w:r>
      <w:r>
        <w:rPr>
          <w:rFonts w:ascii="Symbol" w:hAnsi="Symbol"/>
          <w:w w:val="123"/>
          <w:sz w:val="28"/>
        </w:rPr>
        <w:t></w:t>
      </w:r>
      <w:r>
        <w:rPr>
          <w:rFonts w:ascii="Times New Roman" w:hAnsi="Times New Roman"/>
          <w:spacing w:val="-30"/>
          <w:sz w:val="28"/>
        </w:rPr>
        <w:t> </w:t>
      </w:r>
      <w:r>
        <w:rPr>
          <w:rFonts w:ascii="Symbol" w:hAnsi="Symbol"/>
          <w:i/>
          <w:w w:val="111"/>
          <w:sz w:val="31"/>
        </w:rPr>
        <w:t></w:t>
      </w:r>
      <w:r>
        <w:rPr>
          <w:rFonts w:ascii="Times New Roman" w:hAnsi="Times New Roman"/>
          <w:sz w:val="31"/>
        </w:rPr>
        <w:t> </w:t>
      </w:r>
      <w:r>
        <w:rPr>
          <w:rFonts w:ascii="Times New Roman" w:hAnsi="Times New Roman"/>
          <w:spacing w:val="-37"/>
          <w:sz w:val="31"/>
        </w:rPr>
        <w:t> </w:t>
      </w:r>
      <w:r>
        <w:rPr>
          <w:rFonts w:ascii="Times New Roman" w:hAnsi="Times New Roman"/>
          <w:spacing w:val="-41"/>
          <w:w w:val="123"/>
          <w:sz w:val="28"/>
        </w:rPr>
        <w:t>·</w:t>
      </w:r>
      <w:r>
        <w:rPr>
          <w:rFonts w:ascii="Symbol" w:hAnsi="Symbol"/>
          <w:spacing w:val="-19"/>
          <w:w w:val="89"/>
          <w:sz w:val="38"/>
        </w:rPr>
        <w:t></w:t>
      </w:r>
      <w:r>
        <w:rPr>
          <w:rFonts w:ascii="Times New Roman" w:hAnsi="Times New Roman"/>
          <w:spacing w:val="-34"/>
          <w:w w:val="123"/>
          <w:sz w:val="28"/>
        </w:rPr>
        <w:t>l</w:t>
      </w:r>
      <w:r>
        <w:rPr>
          <w:rFonts w:ascii="Times New Roman" w:hAnsi="Times New Roman"/>
          <w:spacing w:val="-9"/>
          <w:w w:val="123"/>
          <w:sz w:val="28"/>
        </w:rPr>
        <w:t>o</w:t>
      </w:r>
      <w:r>
        <w:rPr>
          <w:rFonts w:ascii="Times New Roman" w:hAnsi="Times New Roman"/>
          <w:spacing w:val="-29"/>
          <w:w w:val="123"/>
          <w:sz w:val="28"/>
        </w:rPr>
        <w:t>g</w:t>
      </w:r>
      <w:r>
        <w:rPr>
          <w:rFonts w:ascii="Times New Roman" w:hAnsi="Times New Roman"/>
          <w:w w:val="123"/>
          <w:sz w:val="28"/>
        </w:rPr>
        <w:t>P</w:t>
      </w:r>
      <w:r>
        <w:rPr>
          <w:rFonts w:ascii="Times New Roman" w:hAnsi="Times New Roman"/>
          <w:spacing w:val="21"/>
          <w:sz w:val="28"/>
        </w:rPr>
        <w:t> </w:t>
      </w:r>
      <w:r>
        <w:rPr>
          <w:rFonts w:ascii="Symbol" w:hAnsi="Symbol"/>
          <w:spacing w:val="-22"/>
          <w:w w:val="89"/>
          <w:sz w:val="38"/>
        </w:rPr>
        <w:t></w:t>
      </w:r>
      <w:r>
        <w:rPr>
          <w:rFonts w:ascii="Times New Roman" w:hAnsi="Times New Roman"/>
          <w:w w:val="125"/>
          <w:position w:val="14"/>
          <w:sz w:val="16"/>
        </w:rPr>
        <w:t>2</w:t>
      </w:r>
    </w:p>
    <w:p>
      <w:pPr>
        <w:spacing w:line="317" w:lineRule="exact" w:before="30"/>
        <w:ind w:left="279" w:right="0" w:firstLine="0"/>
        <w:jc w:val="left"/>
        <w:rPr>
          <w:rFonts w:ascii="Symbol" w:hAnsi="Symbol"/>
          <w:sz w:val="38"/>
        </w:rPr>
      </w:pPr>
      <w:r>
        <w:rPr/>
        <w:br w:type="column"/>
      </w:r>
      <w:r>
        <w:rPr>
          <w:rFonts w:ascii="Symbol" w:hAnsi="Symbol"/>
          <w:sz w:val="38"/>
        </w:rPr>
        <w:t></w:t>
      </w:r>
      <w:r>
        <w:rPr>
          <w:rFonts w:ascii="Times New Roman" w:hAnsi="Times New Roman"/>
          <w:sz w:val="28"/>
        </w:rPr>
        <w:t>7</w:t>
      </w:r>
      <w:r>
        <w:rPr>
          <w:rFonts w:ascii="Symbol" w:hAnsi="Symbol"/>
          <w:sz w:val="38"/>
        </w:rPr>
        <w:t></w:t>
      </w:r>
    </w:p>
    <w:p>
      <w:pPr>
        <w:spacing w:after="0" w:line="317" w:lineRule="exact"/>
        <w:jc w:val="left"/>
        <w:rPr>
          <w:rFonts w:ascii="Symbol" w:hAnsi="Symbol"/>
          <w:sz w:val="38"/>
        </w:rPr>
        <w:sectPr>
          <w:type w:val="continuous"/>
          <w:pgSz w:w="12240" w:h="15840"/>
          <w:pgMar w:top="3080" w:bottom="2780" w:left="1440" w:right="1460"/>
          <w:cols w:num="2" w:equalWidth="0">
            <w:col w:w="7695" w:space="40"/>
            <w:col w:w="1605"/>
          </w:cols>
        </w:sectPr>
      </w:pPr>
    </w:p>
    <w:p>
      <w:pPr>
        <w:tabs>
          <w:tab w:pos="2350" w:val="left" w:leader="none"/>
          <w:tab w:pos="2914" w:val="left" w:leader="none"/>
          <w:tab w:pos="3659" w:val="left" w:leader="none"/>
          <w:tab w:pos="4205" w:val="left" w:leader="none"/>
          <w:tab w:pos="4822" w:val="left" w:leader="none"/>
          <w:tab w:pos="5401" w:val="left" w:leader="none"/>
          <w:tab w:pos="6579" w:val="left" w:leader="none"/>
          <w:tab w:pos="7403" w:val="left" w:leader="none"/>
        </w:tabs>
        <w:spacing w:line="169" w:lineRule="exact" w:before="0"/>
        <w:ind w:left="1664" w:right="0" w:firstLine="0"/>
        <w:jc w:val="left"/>
        <w:rPr>
          <w:rFonts w:ascii="Times New Roman"/>
          <w:sz w:val="16"/>
        </w:rPr>
      </w:pPr>
      <w:r>
        <w:rPr>
          <w:rFonts w:ascii="Times New Roman"/>
          <w:w w:val="125"/>
          <w:sz w:val="16"/>
        </w:rPr>
        <w:t>i</w:t>
        <w:tab/>
        <w:t>0</w:t>
        <w:tab/>
        <w:t>1</w:t>
        <w:tab/>
        <w:t>i</w:t>
        <w:tab/>
        <w:t>2</w:t>
        <w:tab/>
        <w:t>a</w:t>
        <w:tab/>
        <w:t>3</w:t>
        <w:tab/>
        <w:t>4</w:t>
        <w:tab/>
        <w:t>i</w:t>
      </w:r>
    </w:p>
    <w:p>
      <w:pPr>
        <w:pStyle w:val="BodyText"/>
        <w:rPr>
          <w:rFonts w:ascii="Times New Roman"/>
          <w:sz w:val="20"/>
        </w:rPr>
      </w:pPr>
    </w:p>
    <w:p>
      <w:pPr>
        <w:pStyle w:val="BodyText"/>
        <w:spacing w:before="4"/>
        <w:rPr>
          <w:rFonts w:ascii="Times New Roman"/>
          <w:sz w:val="19"/>
        </w:rPr>
      </w:pPr>
    </w:p>
    <w:p>
      <w:pPr>
        <w:pStyle w:val="BodyText"/>
        <w:spacing w:line="360" w:lineRule="auto"/>
        <w:ind w:left="259" w:right="236" w:firstLine="283"/>
        <w:jc w:val="both"/>
      </w:pPr>
      <w:r>
        <w:rPr/>
        <w:t>Es bien sabido que estéricos, electrostático, y factores de hidrofobicidad de sustancias pueden ser biológicamente relevante (Chou y Cai, 2005;. Estrada et al, 2006). En esta ecuación diferentes parámetros de descriptores moleculares se utilizan como entradas para reflejar propiedades biológicas, por ejemplo, los coeficientes de agua / ω-octanol partición (Pi), refractividad molecular (MR), constantes de acidez logarítmicas (PKA) etc., para cuantificar diferentes propiedades moleculares. (Ehresmann et al., 2005) la salida del modelo </w:t>
      </w:r>
      <w:r>
        <w:rPr>
          <w:spacing w:val="3"/>
        </w:rPr>
        <w:t>es </w:t>
      </w:r>
      <w:r>
        <w:rPr/>
        <w:t>los valores de una función de esta propiedad f (μi) o una propiedad molecular (μi) para una sustancia química dada o entidad molecular (mi). Las innovaciones de este modelo se presentan a continuación. La regresión lineal se utilizó para buscar ecuaciones lineales multivariables empleando varias variables de entrada para predecir el μi de salida o f (μi); parámetros lipofilia también fueron generalizadas por Corwin Hánsch a una formulación de un modelo parabólico para las relaciones noω lineal; logarítmica plazo (logPi) del Pi se utiliza normalmente para descripta más la lipofilia molecular y desempeñar un papel muy importante en el modelo. Mientras tanto, logPi se puede predecir ya sea por métodos atómicos (XlogP o ALogP) o por métodos químicos de fragmentos (CLogPi o métodos similares). (Tetko et al, 2001;. Tetko y Poda, 2004) Desde  un  punto  de vista  físico-química, el  modelo  de Hánsch  es  un  enfoque</w:t>
      </w:r>
      <w:r>
        <w:rPr>
          <w:spacing w:val="21"/>
        </w:rPr>
        <w:t> </w:t>
      </w:r>
      <w:r>
        <w:rPr/>
        <w:t>extra-</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4"/>
        <w:jc w:val="both"/>
      </w:pPr>
      <w:r>
        <w:rPr/>
        <w:t>termodinámico estrechamente relacionado con los modelos LFER (Roy y Leonard, 2005; Anslyn y Dougherty, 2006). (Anslyn et al., 2006). Además, otros parámetros fisicoquímicos o descriptores moleculares también se pueden utilizar para cuantificar la influencia de los cambios (GI) en una estructura química más de una característica de interés. Esto significa que algunos descriptores moleculares, que no sólo son constantes termodinámicas, sino también valores propios teóricos de lipofilia molecular, electronegatividad, polarizabilidad, o propiedades de topología molecular, (Ehresmann et al., 2005) para una molécula dada pueden ser aplicadas como entradas a utilizar en el desarrollo de un modelo. Los valores de estas variables de entrada (IVk) se pueden calcular como parámetros fisicoquímicos o descriptores moleculares de diferentes tipos (k) para una molécula dada (mi). De hecho, la notación se puede ampliar incluyendo funciones termodinámicas extra o descriptores moleculares como sigue.</w:t>
      </w:r>
    </w:p>
    <w:p>
      <w:pPr>
        <w:pStyle w:val="BodyText"/>
        <w:spacing w:before="9"/>
        <w:rPr>
          <w:sz w:val="23"/>
        </w:rPr>
      </w:pPr>
    </w:p>
    <w:p>
      <w:pPr>
        <w:pStyle w:val="BodyText"/>
        <w:spacing w:line="360" w:lineRule="auto"/>
        <w:ind w:left="259" w:right="232" w:firstLine="283"/>
        <w:jc w:val="both"/>
      </w:pPr>
      <w:r>
        <w:rPr/>
        <w:t>Recientemente, González-Díaz et al. (González-Díaz et al., 2013A) formuló un modelo PT-propósito general para múltiples-frontera problemas Quimioinformática. En trabajos anteriores, esta teoría se extiende para el estudio de modelo PT-LFER de  la teoría de perturbaciones (PT) en combinación con relaciones lineales de energía libre (LFER) en redes complejas. Ajuste de una función general f (μnr) útil para cuantificar la ocurrencia (μnr = 1) o no (μnr = 0) de un proceso que implica un conjunto de moléculas de mi en un sistema complejo. Se considera que todos los posibles estados forman una red de estados. Los nodos de la red son los estados iniciales o de referencia (r) vinculados a sus respectivos estados finales o nuevos (n) alcanzado por </w:t>
      </w:r>
      <w:r>
        <w:rPr>
          <w:spacing w:val="-4"/>
        </w:rPr>
        <w:t>el </w:t>
      </w:r>
      <w:r>
        <w:rPr/>
        <w:t>sistema después de una perturbación de las condiciones iniciales. En el modelo PT-LFER, un conjunto de múltiples condiciones de contorno experimentales iniciales refcj ≡ (c0, c1, c2, c3 ... cn) y un conjunto de condiciones de contorno  diferente o nuevo newcj ≡ (c0, c1, c2, c3 ... cn) son considerados al principio o al final del proceso después de que uno o múltiples perturbaciones. El modelo PT-LFER propuesto en este documento es una ecuación lineal con el siguiente</w:t>
      </w:r>
      <w:r>
        <w:rPr>
          <w:spacing w:val="-20"/>
        </w:rPr>
        <w:t> </w:t>
      </w:r>
      <w:r>
        <w:rPr/>
        <w:t>formulario.</w:t>
      </w:r>
    </w:p>
    <w:p>
      <w:pPr>
        <w:spacing w:after="0" w:line="360" w:lineRule="auto"/>
        <w:jc w:val="both"/>
        <w:sectPr>
          <w:pgSz w:w="12240" w:h="15840"/>
          <w:pgMar w:header="684" w:footer="1164" w:top="1380" w:bottom="1380" w:left="1440" w:right="1460"/>
        </w:sectPr>
      </w:pPr>
    </w:p>
    <w:p>
      <w:pPr>
        <w:pStyle w:val="BodyText"/>
        <w:spacing w:before="11"/>
        <w:rPr>
          <w:sz w:val="15"/>
        </w:rPr>
      </w:pPr>
    </w:p>
    <w:p>
      <w:pPr>
        <w:spacing w:after="0"/>
        <w:rPr>
          <w:sz w:val="15"/>
        </w:rPr>
        <w:sectPr>
          <w:pgSz w:w="12240" w:h="15840"/>
          <w:pgMar w:header="684" w:footer="1164" w:top="1380" w:bottom="1380" w:left="1440" w:right="1460"/>
        </w:sectPr>
      </w:pPr>
    </w:p>
    <w:p>
      <w:pPr>
        <w:spacing w:before="151"/>
        <w:ind w:left="926" w:right="-16" w:firstLine="0"/>
        <w:jc w:val="left"/>
        <w:rPr>
          <w:rFonts w:ascii="Times New Roman" w:hAnsi="Times New Roman"/>
          <w:sz w:val="16"/>
        </w:rPr>
      </w:pPr>
      <w:r>
        <w:rPr>
          <w:rFonts w:ascii="Times New Roman" w:hAnsi="Times New Roman"/>
          <w:w w:val="103"/>
          <w:sz w:val="27"/>
        </w:rPr>
        <w:t>'</w:t>
      </w:r>
      <w:r>
        <w:rPr>
          <w:rFonts w:ascii="Times New Roman" w:hAnsi="Times New Roman"/>
          <w:spacing w:val="-42"/>
          <w:sz w:val="27"/>
        </w:rPr>
        <w:t> </w:t>
      </w:r>
      <w:r>
        <w:rPr>
          <w:rFonts w:ascii="Times New Roman" w:hAnsi="Times New Roman"/>
          <w:w w:val="103"/>
          <w:sz w:val="27"/>
        </w:rPr>
        <w:t>f</w:t>
      </w:r>
      <w:r>
        <w:rPr>
          <w:rFonts w:ascii="Times New Roman" w:hAnsi="Times New Roman"/>
          <w:spacing w:val="-32"/>
          <w:sz w:val="27"/>
        </w:rPr>
        <w:t> </w:t>
      </w:r>
      <w:r>
        <w:rPr>
          <w:rFonts w:ascii="Symbol" w:hAnsi="Symbol"/>
          <w:spacing w:val="-25"/>
          <w:w w:val="76"/>
          <w:sz w:val="36"/>
        </w:rPr>
        <w:t></w:t>
      </w:r>
      <w:r>
        <w:rPr>
          <w:rFonts w:ascii="Times New Roman" w:hAnsi="Times New Roman"/>
          <w:spacing w:val="7"/>
          <w:w w:val="103"/>
          <w:sz w:val="27"/>
        </w:rPr>
        <w:t>µ</w:t>
      </w:r>
      <w:r>
        <w:rPr>
          <w:rFonts w:ascii="Times New Roman" w:hAnsi="Times New Roman"/>
          <w:spacing w:val="4"/>
          <w:w w:val="101"/>
          <w:position w:val="-6"/>
          <w:sz w:val="16"/>
        </w:rPr>
        <w:t>nr</w:t>
      </w:r>
    </w:p>
    <w:p>
      <w:pPr>
        <w:pStyle w:val="BodyText"/>
        <w:rPr>
          <w:rFonts w:ascii="Times New Roman"/>
          <w:sz w:val="16"/>
        </w:rPr>
      </w:pPr>
      <w:r>
        <w:rPr/>
        <w:br w:type="column"/>
      </w:r>
      <w:r>
        <w:rPr>
          <w:rFonts w:ascii="Times New Roman"/>
          <w:sz w:val="16"/>
        </w:rPr>
      </w:r>
    </w:p>
    <w:p>
      <w:pPr>
        <w:pStyle w:val="BodyText"/>
        <w:spacing w:before="6"/>
        <w:rPr>
          <w:rFonts w:ascii="Times New Roman"/>
          <w:sz w:val="22"/>
        </w:rPr>
      </w:pPr>
    </w:p>
    <w:p>
      <w:pPr>
        <w:spacing w:before="0"/>
        <w:ind w:left="76" w:right="-14" w:firstLine="0"/>
        <w:jc w:val="left"/>
        <w:rPr>
          <w:rFonts w:ascii="Times New Roman"/>
          <w:sz w:val="16"/>
        </w:rPr>
      </w:pPr>
      <w:r>
        <w:rPr/>
        <w:pict>
          <v:shape style="position:absolute;margin-left:149.280319pt;margin-top:-11.543047pt;width:4.6pt;height:18.25pt;mso-position-horizontal-relative:page;mso-position-vertical-relative:paragraph;z-index:-330568" type="#_x0000_t202" filled="false" stroked="false">
            <v:textbox inset="0,0,0,0">
              <w:txbxContent>
                <w:p>
                  <w:pPr>
                    <w:spacing w:line="364" w:lineRule="exact" w:before="0"/>
                    <w:ind w:left="0" w:right="0" w:firstLine="0"/>
                    <w:jc w:val="left"/>
                    <w:rPr>
                      <w:rFonts w:ascii="Symbol" w:hAnsi="Symbol"/>
                      <w:sz w:val="36"/>
                    </w:rPr>
                  </w:pPr>
                  <w:r>
                    <w:rPr>
                      <w:rFonts w:ascii="Symbol" w:hAnsi="Symbol"/>
                      <w:w w:val="76"/>
                      <w:sz w:val="36"/>
                    </w:rPr>
                    <w:t></w:t>
                  </w:r>
                </w:p>
              </w:txbxContent>
            </v:textbox>
            <w10:wrap type="none"/>
          </v:shape>
        </w:pict>
      </w:r>
      <w:r>
        <w:rPr>
          <w:rFonts w:ascii="Times New Roman"/>
          <w:sz w:val="16"/>
        </w:rPr>
        <w:t>new</w:t>
      </w:r>
    </w:p>
    <w:p>
      <w:pPr>
        <w:spacing w:before="241"/>
        <w:ind w:left="56" w:right="-17" w:firstLine="0"/>
        <w:jc w:val="left"/>
        <w:rPr>
          <w:rFonts w:ascii="Times New Roman" w:hAnsi="Times New Roman"/>
          <w:sz w:val="16"/>
        </w:rPr>
      </w:pPr>
      <w:r>
        <w:rPr/>
        <w:br w:type="column"/>
      </w:r>
      <w:r>
        <w:rPr>
          <w:rFonts w:ascii="Symbol" w:hAnsi="Symbol"/>
          <w:w w:val="105"/>
          <w:sz w:val="27"/>
        </w:rPr>
        <w:t></w:t>
      </w:r>
      <w:r>
        <w:rPr>
          <w:rFonts w:ascii="Times New Roman" w:hAnsi="Times New Roman"/>
          <w:w w:val="105"/>
          <w:sz w:val="27"/>
        </w:rPr>
        <w:t> a</w:t>
      </w:r>
      <w:r>
        <w:rPr>
          <w:rFonts w:ascii="Times New Roman" w:hAnsi="Times New Roman"/>
          <w:w w:val="105"/>
          <w:position w:val="-6"/>
          <w:sz w:val="16"/>
        </w:rPr>
        <w:t>0</w:t>
      </w:r>
    </w:p>
    <w:p>
      <w:pPr>
        <w:pStyle w:val="ListParagraph"/>
        <w:numPr>
          <w:ilvl w:val="0"/>
          <w:numId w:val="6"/>
        </w:numPr>
        <w:tabs>
          <w:tab w:pos="246" w:val="left" w:leader="none"/>
        </w:tabs>
        <w:spacing w:line="240" w:lineRule="auto" w:before="241" w:after="0"/>
        <w:ind w:left="246" w:right="0" w:hanging="204"/>
        <w:jc w:val="left"/>
        <w:rPr>
          <w:rFonts w:ascii="Symbol"/>
          <w:sz w:val="27"/>
        </w:rPr>
      </w:pPr>
      <w:r>
        <w:rPr>
          <w:rFonts w:ascii="Times New Roman"/>
          <w:spacing w:val="6"/>
          <w:w w:val="103"/>
          <w:sz w:val="27"/>
        </w:rPr>
        <w:br w:type="column"/>
      </w:r>
      <w:r>
        <w:rPr>
          <w:rFonts w:ascii="Times New Roman"/>
          <w:spacing w:val="3"/>
          <w:sz w:val="27"/>
        </w:rPr>
        <w:t>a</w:t>
      </w:r>
      <w:r>
        <w:rPr>
          <w:rFonts w:ascii="Times New Roman"/>
          <w:spacing w:val="3"/>
          <w:position w:val="-6"/>
          <w:sz w:val="16"/>
        </w:rPr>
        <w:t>1</w:t>
      </w:r>
    </w:p>
    <w:p>
      <w:pPr>
        <w:spacing w:before="80"/>
        <w:ind w:left="17" w:right="-17" w:firstLine="0"/>
        <w:jc w:val="left"/>
        <w:rPr>
          <w:rFonts w:ascii="Symbol" w:hAnsi="Symbol"/>
          <w:i/>
          <w:sz w:val="29"/>
        </w:rPr>
      </w:pPr>
      <w:r>
        <w:rPr/>
        <w:br w:type="column"/>
      </w:r>
      <w:r>
        <w:rPr>
          <w:rFonts w:ascii="Symbol" w:hAnsi="Symbol"/>
          <w:sz w:val="27"/>
        </w:rPr>
        <w:t></w:t>
      </w:r>
      <w:r>
        <w:rPr>
          <w:rFonts w:ascii="Times New Roman" w:hAnsi="Times New Roman"/>
          <w:spacing w:val="-50"/>
          <w:sz w:val="27"/>
        </w:rPr>
        <w:t> </w:t>
      </w:r>
      <w:r>
        <w:rPr>
          <w:rFonts w:ascii="Times New Roman" w:hAnsi="Times New Roman"/>
          <w:sz w:val="27"/>
        </w:rPr>
        <w:t>f </w:t>
      </w:r>
      <w:r>
        <w:rPr>
          <w:rFonts w:ascii="Symbol" w:hAnsi="Symbol"/>
          <w:spacing w:val="-16"/>
          <w:sz w:val="43"/>
        </w:rPr>
        <w:t></w:t>
      </w:r>
      <w:r>
        <w:rPr>
          <w:rFonts w:ascii="Symbol" w:hAnsi="Symbol"/>
          <w:i/>
          <w:spacing w:val="-16"/>
          <w:sz w:val="29"/>
        </w:rPr>
        <w:t></w:t>
      </w:r>
    </w:p>
    <w:p>
      <w:pPr>
        <w:pStyle w:val="BodyText"/>
        <w:rPr>
          <w:rFonts w:ascii="Symbol" w:hAnsi="Symbol"/>
          <w:i/>
          <w:sz w:val="20"/>
        </w:rPr>
      </w:pPr>
      <w:r>
        <w:rPr/>
        <w:br w:type="column"/>
      </w:r>
      <w:r>
        <w:rPr>
          <w:rFonts w:ascii="Symbol" w:hAnsi="Symbol"/>
          <w:i/>
          <w:sz w:val="20"/>
        </w:rPr>
      </w:r>
    </w:p>
    <w:p>
      <w:pPr>
        <w:pStyle w:val="BodyText"/>
        <w:spacing w:before="10"/>
        <w:rPr>
          <w:rFonts w:ascii="Symbol" w:hAnsi="Symbol"/>
          <w:i/>
          <w:sz w:val="14"/>
        </w:rPr>
      </w:pPr>
    </w:p>
    <w:p>
      <w:pPr>
        <w:spacing w:before="0"/>
        <w:ind w:left="-21" w:right="0" w:firstLine="0"/>
        <w:jc w:val="left"/>
        <w:rPr>
          <w:rFonts w:ascii="Times New Roman"/>
          <w:sz w:val="16"/>
        </w:rPr>
      </w:pPr>
      <w:r>
        <w:rPr/>
        <w:pict>
          <v:shape style="position:absolute;margin-left:252.792191pt;margin-top:-13.678348pt;width:4.6pt;height:21.65pt;mso-position-horizontal-relative:page;mso-position-vertical-relative:paragraph;z-index:-330520" type="#_x0000_t202" filled="false" stroked="false">
            <v:textbox inset="0,0,0,0">
              <w:txbxContent>
                <w:p>
                  <w:pPr>
                    <w:spacing w:line="433" w:lineRule="exact" w:before="0"/>
                    <w:ind w:left="0" w:right="0" w:firstLine="0"/>
                    <w:jc w:val="left"/>
                    <w:rPr>
                      <w:rFonts w:ascii="Symbol" w:hAnsi="Symbol"/>
                      <w:sz w:val="43"/>
                    </w:rPr>
                  </w:pPr>
                  <w:r>
                    <w:rPr>
                      <w:rFonts w:ascii="Symbol" w:hAnsi="Symbol"/>
                      <w:w w:val="64"/>
                      <w:sz w:val="43"/>
                    </w:rPr>
                    <w:t></w:t>
                  </w:r>
                </w:p>
              </w:txbxContent>
            </v:textbox>
            <w10:wrap type="none"/>
          </v:shape>
        </w:pict>
      </w:r>
      <w:r>
        <w:rPr>
          <w:rFonts w:ascii="Times New Roman"/>
          <w:position w:val="5"/>
          <w:sz w:val="16"/>
        </w:rPr>
        <w:t>ij  </w:t>
      </w:r>
      <w:r>
        <w:rPr>
          <w:rFonts w:ascii="Times New Roman"/>
          <w:sz w:val="16"/>
        </w:rPr>
        <w:t>new</w:t>
      </w:r>
    </w:p>
    <w:p>
      <w:pPr>
        <w:spacing w:before="241"/>
        <w:ind w:left="42" w:right="0" w:firstLine="0"/>
        <w:jc w:val="left"/>
        <w:rPr>
          <w:rFonts w:ascii="Symbol" w:hAnsi="Symbol"/>
          <w:sz w:val="27"/>
        </w:rPr>
      </w:pPr>
      <w:r>
        <w:rPr/>
        <w:br w:type="column"/>
      </w:r>
      <w:r>
        <w:rPr>
          <w:rFonts w:ascii="Symbol" w:hAnsi="Symbol"/>
          <w:w w:val="105"/>
          <w:sz w:val="27"/>
        </w:rPr>
        <w:t></w:t>
      </w:r>
      <w:r>
        <w:rPr>
          <w:rFonts w:ascii="Times New Roman" w:hAnsi="Times New Roman"/>
          <w:w w:val="105"/>
          <w:sz w:val="27"/>
        </w:rPr>
        <w:t> a</w:t>
      </w:r>
      <w:r>
        <w:rPr>
          <w:rFonts w:ascii="Times New Roman" w:hAnsi="Times New Roman"/>
          <w:w w:val="105"/>
          <w:position w:val="-6"/>
          <w:sz w:val="16"/>
        </w:rPr>
        <w:t>2 </w:t>
      </w:r>
      <w:r>
        <w:rPr>
          <w:rFonts w:ascii="Symbol" w:hAnsi="Symbol"/>
          <w:w w:val="105"/>
          <w:sz w:val="27"/>
        </w:rPr>
        <w:t></w:t>
      </w:r>
    </w:p>
    <w:p>
      <w:pPr>
        <w:spacing w:before="80"/>
        <w:ind w:left="86" w:right="-11" w:firstLine="0"/>
        <w:jc w:val="left"/>
        <w:rPr>
          <w:rFonts w:ascii="Symbol" w:hAnsi="Symbol"/>
          <w:i/>
          <w:sz w:val="29"/>
        </w:rPr>
      </w:pPr>
      <w:r>
        <w:rPr/>
        <w:br w:type="column"/>
      </w:r>
      <w:r>
        <w:rPr>
          <w:rFonts w:ascii="Times New Roman" w:hAnsi="Times New Roman"/>
          <w:sz w:val="27"/>
        </w:rPr>
        <w:t>f </w:t>
      </w:r>
      <w:r>
        <w:rPr>
          <w:rFonts w:ascii="Symbol" w:hAnsi="Symbol"/>
          <w:spacing w:val="-16"/>
          <w:sz w:val="43"/>
        </w:rPr>
        <w:t></w:t>
      </w:r>
      <w:r>
        <w:rPr>
          <w:rFonts w:ascii="Symbol" w:hAnsi="Symbol"/>
          <w:i/>
          <w:spacing w:val="-16"/>
          <w:sz w:val="29"/>
        </w:rPr>
        <w:t></w:t>
      </w:r>
    </w:p>
    <w:p>
      <w:pPr>
        <w:pStyle w:val="BodyText"/>
        <w:rPr>
          <w:rFonts w:ascii="Symbol" w:hAnsi="Symbol"/>
          <w:i/>
          <w:sz w:val="20"/>
        </w:rPr>
      </w:pPr>
      <w:r>
        <w:rPr/>
        <w:br w:type="column"/>
      </w:r>
      <w:r>
        <w:rPr>
          <w:rFonts w:ascii="Symbol" w:hAnsi="Symbol"/>
          <w:i/>
          <w:sz w:val="20"/>
        </w:rPr>
      </w:r>
    </w:p>
    <w:p>
      <w:pPr>
        <w:pStyle w:val="BodyText"/>
        <w:spacing w:before="10"/>
        <w:rPr>
          <w:rFonts w:ascii="Symbol" w:hAnsi="Symbol"/>
          <w:i/>
          <w:sz w:val="14"/>
        </w:rPr>
      </w:pPr>
    </w:p>
    <w:p>
      <w:pPr>
        <w:spacing w:before="0"/>
        <w:ind w:left="-20" w:right="0" w:firstLine="0"/>
        <w:jc w:val="left"/>
        <w:rPr>
          <w:rFonts w:ascii="Times New Roman"/>
          <w:sz w:val="16"/>
        </w:rPr>
      </w:pPr>
      <w:r>
        <w:rPr/>
        <w:pict>
          <v:shape style="position:absolute;margin-left:336.4216pt;margin-top:-13.678397pt;width:4.6pt;height:21.65pt;mso-position-horizontal-relative:page;mso-position-vertical-relative:paragraph;z-index:-330496" type="#_x0000_t202" filled="false" stroked="false">
            <v:textbox inset="0,0,0,0">
              <w:txbxContent>
                <w:p>
                  <w:pPr>
                    <w:spacing w:line="433" w:lineRule="exact" w:before="0"/>
                    <w:ind w:left="0" w:right="0" w:firstLine="0"/>
                    <w:jc w:val="left"/>
                    <w:rPr>
                      <w:rFonts w:ascii="Symbol" w:hAnsi="Symbol"/>
                      <w:sz w:val="43"/>
                    </w:rPr>
                  </w:pPr>
                  <w:r>
                    <w:rPr>
                      <w:rFonts w:ascii="Symbol" w:hAnsi="Symbol"/>
                      <w:w w:val="64"/>
                      <w:sz w:val="43"/>
                    </w:rPr>
                    <w:t></w:t>
                  </w:r>
                </w:p>
              </w:txbxContent>
            </v:textbox>
            <w10:wrap type="none"/>
          </v:shape>
        </w:pict>
      </w:r>
      <w:r>
        <w:rPr>
          <w:rFonts w:ascii="Times New Roman"/>
          <w:position w:val="5"/>
          <w:sz w:val="16"/>
        </w:rPr>
        <w:t>ij  </w:t>
      </w:r>
      <w:r>
        <w:rPr>
          <w:rFonts w:ascii="Times New Roman"/>
          <w:sz w:val="16"/>
        </w:rPr>
        <w:t>ref</w:t>
      </w:r>
    </w:p>
    <w:p>
      <w:pPr>
        <w:spacing w:line="143" w:lineRule="exact" w:before="71"/>
        <w:ind w:left="377" w:right="10" w:firstLine="0"/>
        <w:jc w:val="center"/>
        <w:rPr>
          <w:rFonts w:ascii="Times New Roman" w:hAnsi="Times New Roman"/>
          <w:sz w:val="16"/>
        </w:rPr>
      </w:pPr>
      <w:r>
        <w:rPr/>
        <w:br w:type="column"/>
      </w:r>
      <w:r>
        <w:rPr>
          <w:rFonts w:ascii="Times New Roman" w:hAnsi="Times New Roman"/>
          <w:sz w:val="16"/>
        </w:rPr>
        <w:t>q</w:t>
      </w:r>
      <w:r>
        <w:rPr>
          <w:rFonts w:ascii="Symbol" w:hAnsi="Symbol"/>
          <w:sz w:val="16"/>
        </w:rPr>
        <w:t></w:t>
      </w:r>
      <w:r>
        <w:rPr>
          <w:rFonts w:ascii="Times New Roman" w:hAnsi="Times New Roman"/>
          <w:sz w:val="16"/>
        </w:rPr>
        <w:t>qmax</w:t>
      </w:r>
    </w:p>
    <w:p>
      <w:pPr>
        <w:pStyle w:val="ListParagraph"/>
        <w:numPr>
          <w:ilvl w:val="1"/>
          <w:numId w:val="6"/>
        </w:numPr>
        <w:tabs>
          <w:tab w:pos="505" w:val="left" w:leader="none"/>
        </w:tabs>
        <w:spacing w:line="421" w:lineRule="exact" w:before="0" w:after="0"/>
        <w:ind w:left="504" w:right="0" w:hanging="349"/>
        <w:jc w:val="left"/>
        <w:rPr>
          <w:rFonts w:ascii="Times New Roman" w:hAnsi="Times New Roman"/>
          <w:sz w:val="27"/>
        </w:rPr>
      </w:pPr>
      <w:r>
        <w:rPr/>
        <w:pict>
          <v:shape style="position:absolute;margin-left:211.839996pt;margin-top:638.370789pt;width:3pt;height:18.650pt;mso-position-horizontal-relative:page;mso-position-vertical-relative:paragraph;z-index:1624" coordorigin="4237,12767" coordsize="60,373" path="m7048,35l7114,240m7114,240l7048,445e" filled="false" stroked="true" strokeweight=".154961pt" strokecolor="#000000">
            <v:path arrowok="t"/>
            <w10:wrap type="none"/>
          </v:shape>
        </w:pict>
      </w:r>
      <w:r>
        <w:rPr>
          <w:rFonts w:ascii="Symbol" w:hAnsi="Symbol"/>
          <w:spacing w:val="11"/>
          <w:position w:val="-5"/>
          <w:sz w:val="41"/>
        </w:rPr>
        <w:t></w:t>
      </w:r>
      <w:r>
        <w:rPr>
          <w:rFonts w:ascii="Times New Roman" w:hAnsi="Times New Roman"/>
          <w:spacing w:val="11"/>
          <w:sz w:val="27"/>
        </w:rPr>
        <w:t>a</w:t>
      </w:r>
    </w:p>
    <w:p>
      <w:pPr>
        <w:spacing w:line="168" w:lineRule="exact" w:before="0"/>
        <w:ind w:left="366" w:right="10" w:firstLine="0"/>
        <w:jc w:val="center"/>
        <w:rPr>
          <w:rFonts w:ascii="Times New Roman" w:hAnsi="Times New Roman"/>
          <w:sz w:val="16"/>
        </w:rPr>
      </w:pPr>
      <w:r>
        <w:rPr/>
        <w:pict>
          <v:line style="position:absolute;mso-position-horizontal-relative:page;mso-position-vertical-relative:paragraph;z-index:-330616" from="300.647217pt,22.615791pt" to="300.64722pt,41.637194pt" stroked="true" strokeweight=".155880pt" strokecolor="#000000">
            <w10:wrap type="none"/>
          </v:line>
        </w:pict>
      </w:r>
      <w:r>
        <w:rPr/>
        <w:pict>
          <v:line style="position:absolute;mso-position-horizontal-relative:page;mso-position-vertical-relative:paragraph;z-index:-330592" from="323.951233pt,22.615793pt" to="323.951236pt,41.637196pt" stroked="true" strokeweight=".155880pt" strokecolor="#000000">
            <w10:wrap type="none"/>
          </v:line>
        </w:pict>
      </w:r>
      <w:r>
        <w:rPr>
          <w:rFonts w:ascii="Times New Roman" w:hAnsi="Times New Roman"/>
          <w:sz w:val="16"/>
        </w:rPr>
        <w:t>q</w:t>
      </w:r>
      <w:r>
        <w:rPr>
          <w:rFonts w:ascii="Symbol" w:hAnsi="Symbol"/>
          <w:sz w:val="16"/>
        </w:rPr>
        <w:t></w:t>
      </w:r>
      <w:r>
        <w:rPr>
          <w:rFonts w:ascii="Times New Roman" w:hAnsi="Times New Roman"/>
          <w:sz w:val="16"/>
        </w:rPr>
        <w:t>1</w:t>
      </w:r>
    </w:p>
    <w:p>
      <w:pPr>
        <w:spacing w:before="80"/>
        <w:ind w:left="-20" w:right="0" w:firstLine="0"/>
        <w:jc w:val="left"/>
        <w:rPr>
          <w:rFonts w:ascii="Times New Roman" w:hAnsi="Times New Roman"/>
          <w:sz w:val="27"/>
        </w:rPr>
      </w:pPr>
      <w:r>
        <w:rPr/>
        <w:br w:type="column"/>
      </w:r>
      <w:r>
        <w:rPr>
          <w:rFonts w:ascii="Times New Roman" w:hAnsi="Times New Roman"/>
          <w:w w:val="95"/>
          <w:position w:val="-6"/>
          <w:sz w:val="16"/>
        </w:rPr>
        <w:t>q</w:t>
      </w:r>
      <w:r>
        <w:rPr>
          <w:rFonts w:ascii="Times New Roman" w:hAnsi="Times New Roman"/>
          <w:w w:val="95"/>
          <w:sz w:val="27"/>
        </w:rPr>
        <w:t>·f</w:t>
      </w:r>
      <w:r>
        <w:rPr>
          <w:rFonts w:ascii="Times New Roman" w:hAnsi="Times New Roman"/>
          <w:w w:val="95"/>
          <w:position w:val="-6"/>
          <w:sz w:val="16"/>
        </w:rPr>
        <w:t>q </w:t>
      </w:r>
      <w:r>
        <w:rPr>
          <w:rFonts w:ascii="Symbol" w:hAnsi="Symbol"/>
          <w:w w:val="95"/>
          <w:sz w:val="43"/>
        </w:rPr>
        <w:t></w:t>
      </w:r>
      <w:r>
        <w:rPr>
          <w:rFonts w:ascii="Times New Roman" w:hAnsi="Times New Roman"/>
          <w:w w:val="95"/>
          <w:sz w:val="27"/>
        </w:rPr>
        <w:t>v</w:t>
      </w:r>
    </w:p>
    <w:p>
      <w:pPr>
        <w:spacing w:line="384" w:lineRule="exact" w:before="151"/>
        <w:ind w:left="1120" w:right="0" w:firstLine="0"/>
        <w:jc w:val="left"/>
        <w:rPr>
          <w:rFonts w:ascii="Symbol" w:hAnsi="Symbol"/>
          <w:sz w:val="36"/>
        </w:rPr>
      </w:pPr>
      <w:r>
        <w:rPr/>
        <w:br w:type="column"/>
      </w:r>
      <w:r>
        <w:rPr>
          <w:rFonts w:ascii="Symbol" w:hAnsi="Symbol"/>
          <w:w w:val="95"/>
          <w:sz w:val="36"/>
        </w:rPr>
        <w:t></w:t>
      </w:r>
      <w:r>
        <w:rPr>
          <w:rFonts w:ascii="Times New Roman" w:hAnsi="Times New Roman"/>
          <w:w w:val="95"/>
          <w:sz w:val="27"/>
        </w:rPr>
        <w:t>8</w:t>
      </w:r>
      <w:r>
        <w:rPr>
          <w:rFonts w:ascii="Symbol" w:hAnsi="Symbol"/>
          <w:w w:val="95"/>
          <w:sz w:val="36"/>
        </w:rPr>
        <w:t></w:t>
      </w:r>
    </w:p>
    <w:p>
      <w:pPr>
        <w:spacing w:line="126" w:lineRule="exact" w:before="0"/>
        <w:ind w:left="76" w:right="0" w:firstLine="0"/>
        <w:jc w:val="left"/>
        <w:rPr>
          <w:rFonts w:ascii="Times New Roman"/>
          <w:sz w:val="16"/>
        </w:rPr>
      </w:pPr>
      <w:r>
        <w:rPr/>
        <w:pict>
          <v:shape style="position:absolute;margin-left:437.231171pt;margin-top:-19.054268pt;width:4.6pt;height:21.65pt;mso-position-horizontal-relative:page;mso-position-vertical-relative:paragraph;z-index:-330472" type="#_x0000_t202" filled="false" stroked="false">
            <v:textbox inset="0,0,0,0">
              <w:txbxContent>
                <w:p>
                  <w:pPr>
                    <w:spacing w:line="433" w:lineRule="exact" w:before="0"/>
                    <w:ind w:left="0" w:right="0" w:firstLine="0"/>
                    <w:jc w:val="left"/>
                    <w:rPr>
                      <w:rFonts w:ascii="Symbol" w:hAnsi="Symbol"/>
                      <w:sz w:val="43"/>
                    </w:rPr>
                  </w:pPr>
                  <w:r>
                    <w:rPr>
                      <w:rFonts w:ascii="Symbol" w:hAnsi="Symbol"/>
                      <w:w w:val="64"/>
                      <w:sz w:val="43"/>
                    </w:rPr>
                    <w:t></w:t>
                  </w:r>
                </w:p>
              </w:txbxContent>
            </v:textbox>
            <w10:wrap type="none"/>
          </v:shape>
        </w:pict>
      </w:r>
      <w:r>
        <w:rPr/>
        <w:pict>
          <v:shape style="position:absolute;margin-left:431.040527pt;margin-top:-4.214012pt;width:4.1pt;height:8.1pt;mso-position-horizontal-relative:page;mso-position-vertical-relative:paragraph;z-index:1864" type="#_x0000_t202" filled="false" stroked="false">
            <v:textbox inset="0,0,0,0">
              <w:txbxContent>
                <w:p>
                  <w:pPr>
                    <w:spacing w:line="161" w:lineRule="exact" w:before="0"/>
                    <w:ind w:left="0" w:right="0" w:firstLine="0"/>
                    <w:jc w:val="left"/>
                    <w:rPr>
                      <w:rFonts w:ascii="Times New Roman"/>
                      <w:sz w:val="16"/>
                    </w:rPr>
                  </w:pPr>
                  <w:r>
                    <w:rPr>
                      <w:rFonts w:ascii="Times New Roman"/>
                      <w:w w:val="101"/>
                      <w:sz w:val="16"/>
                    </w:rPr>
                    <w:t>q</w:t>
                  </w:r>
                </w:p>
              </w:txbxContent>
            </v:textbox>
            <w10:wrap type="none"/>
          </v:shape>
        </w:pict>
      </w:r>
      <w:r>
        <w:rPr>
          <w:rFonts w:ascii="Times New Roman"/>
          <w:sz w:val="16"/>
        </w:rPr>
        <w:t>ref</w:t>
      </w:r>
    </w:p>
    <w:p>
      <w:pPr>
        <w:spacing w:after="0" w:line="126" w:lineRule="exact"/>
        <w:jc w:val="left"/>
        <w:rPr>
          <w:rFonts w:ascii="Times New Roman"/>
          <w:sz w:val="16"/>
        </w:rPr>
        <w:sectPr>
          <w:type w:val="continuous"/>
          <w:pgSz w:w="12240" w:h="15840"/>
          <w:pgMar w:top="3080" w:bottom="2780" w:left="1440" w:right="1460"/>
          <w:cols w:num="12" w:equalWidth="0">
            <w:col w:w="1513" w:space="40"/>
            <w:col w:w="349" w:space="40"/>
            <w:col w:w="496" w:space="40"/>
            <w:col w:w="458" w:space="40"/>
            <w:col w:w="501" w:space="40"/>
            <w:col w:w="448" w:space="40"/>
            <w:col w:w="615" w:space="40"/>
            <w:col w:w="491" w:space="40"/>
            <w:col w:w="351" w:space="40"/>
            <w:col w:w="952" w:space="40"/>
            <w:col w:w="695" w:space="40"/>
            <w:col w:w="2031"/>
          </w:cols>
        </w:sectPr>
      </w:pPr>
    </w:p>
    <w:p>
      <w:pPr>
        <w:spacing w:line="42" w:lineRule="exact" w:before="91"/>
        <w:ind w:left="0" w:right="0" w:firstLine="0"/>
        <w:jc w:val="right"/>
        <w:rPr>
          <w:rFonts w:ascii="Times New Roman" w:hAnsi="Times New Roman"/>
          <w:sz w:val="16"/>
        </w:rPr>
      </w:pPr>
      <w:r>
        <w:rPr/>
        <w:pict>
          <v:shape style="position:absolute;margin-left:169.770004pt;margin-top:608.872253pt;width:3.05pt;height:18.650pt;mso-position-horizontal-relative:page;mso-position-vertical-relative:paragraph;z-index:1600" coordorigin="3395,12177" coordsize="61,373" path="m6178,-555l6111,-350m6111,-350l6178,-145e" filled="false" stroked="true" strokeweight=".154961pt" strokecolor="#000000">
            <v:path arrowok="t"/>
            <w10:wrap type="none"/>
          </v:shape>
        </w:pict>
      </w:r>
      <w:r>
        <w:rPr/>
        <w:pict>
          <v:shape style="position:absolute;margin-left:231.581421pt;margin-top:-17.689522pt;width:4.1pt;height:8.1pt;mso-position-horizontal-relative:page;mso-position-vertical-relative:paragraph;z-index:-330544" type="#_x0000_t202" filled="false" stroked="false">
            <v:textbox inset="0,0,0,0">
              <w:txbxContent>
                <w:p>
                  <w:pPr>
                    <w:spacing w:line="161" w:lineRule="exact" w:before="0"/>
                    <w:ind w:left="0" w:right="0" w:firstLine="0"/>
                    <w:jc w:val="left"/>
                    <w:rPr>
                      <w:rFonts w:ascii="Times New Roman"/>
                      <w:sz w:val="16"/>
                    </w:rPr>
                  </w:pPr>
                  <w:r>
                    <w:rPr>
                      <w:rFonts w:ascii="Times New Roman"/>
                      <w:w w:val="101"/>
                      <w:sz w:val="16"/>
                    </w:rPr>
                    <w:t>1</w:t>
                  </w:r>
                </w:p>
              </w:txbxContent>
            </v:textbox>
            <w10:wrap type="none"/>
          </v:shape>
        </w:pict>
      </w:r>
      <w:r>
        <w:rPr/>
        <w:pict>
          <v:shape style="position:absolute;margin-left:314.620728pt;margin-top:-17.689510pt;width:4.1pt;height:8.1pt;mso-position-horizontal-relative:page;mso-position-vertical-relative:paragraph;z-index:-330424" type="#_x0000_t202" filled="false" stroked="false">
            <v:textbox inset="0,0,0,0">
              <w:txbxContent>
                <w:p>
                  <w:pPr>
                    <w:spacing w:line="161" w:lineRule="exact" w:before="0"/>
                    <w:ind w:left="0" w:right="0" w:firstLine="0"/>
                    <w:jc w:val="left"/>
                    <w:rPr>
                      <w:rFonts w:ascii="Times New Roman"/>
                      <w:sz w:val="16"/>
                    </w:rPr>
                  </w:pPr>
                  <w:r>
                    <w:rPr>
                      <w:rFonts w:ascii="Times New Roman"/>
                      <w:w w:val="101"/>
                      <w:sz w:val="16"/>
                    </w:rPr>
                    <w:t>2</w:t>
                  </w:r>
                </w:p>
              </w:txbxContent>
            </v:textbox>
            <w10:wrap type="none"/>
          </v:shape>
        </w:pict>
      </w:r>
      <w:r>
        <w:rPr>
          <w:rFonts w:ascii="Times New Roman" w:hAnsi="Times New Roman"/>
          <w:sz w:val="16"/>
        </w:rPr>
        <w:t>q</w:t>
      </w:r>
      <w:r>
        <w:rPr>
          <w:rFonts w:ascii="Symbol" w:hAnsi="Symbol"/>
          <w:sz w:val="16"/>
        </w:rPr>
        <w:t></w:t>
      </w:r>
      <w:r>
        <w:rPr>
          <w:rFonts w:ascii="Times New Roman" w:hAnsi="Times New Roman"/>
          <w:sz w:val="16"/>
        </w:rPr>
        <w:t>qmax</w:t>
      </w:r>
    </w:p>
    <w:p>
      <w:pPr>
        <w:spacing w:line="42" w:lineRule="exact" w:before="91"/>
        <w:ind w:left="0" w:right="0" w:firstLine="0"/>
        <w:jc w:val="right"/>
        <w:rPr>
          <w:rFonts w:ascii="Times New Roman" w:hAnsi="Times New Roman"/>
          <w:sz w:val="16"/>
        </w:rPr>
      </w:pPr>
      <w:r>
        <w:rPr/>
        <w:br w:type="column"/>
      </w:r>
      <w:r>
        <w:rPr>
          <w:rFonts w:ascii="Times New Roman" w:hAnsi="Times New Roman"/>
          <w:sz w:val="16"/>
        </w:rPr>
        <w:t>q</w:t>
      </w:r>
      <w:r>
        <w:rPr>
          <w:rFonts w:ascii="Symbol" w:hAnsi="Symbol"/>
          <w:sz w:val="16"/>
        </w:rPr>
        <w:t></w:t>
      </w:r>
      <w:r>
        <w:rPr>
          <w:rFonts w:ascii="Times New Roman" w:hAnsi="Times New Roman"/>
          <w:sz w:val="16"/>
        </w:rPr>
        <w:t>qmax</w:t>
      </w:r>
    </w:p>
    <w:p>
      <w:pPr>
        <w:spacing w:line="42" w:lineRule="exact" w:before="91"/>
        <w:ind w:left="1177" w:right="0" w:firstLine="0"/>
        <w:jc w:val="left"/>
        <w:rPr>
          <w:rFonts w:ascii="Times New Roman" w:hAnsi="Times New Roman"/>
          <w:sz w:val="16"/>
        </w:rPr>
      </w:pPr>
      <w:r>
        <w:rPr/>
        <w:br w:type="column"/>
      </w:r>
      <w:r>
        <w:rPr>
          <w:rFonts w:ascii="Times New Roman" w:hAnsi="Times New Roman"/>
          <w:sz w:val="16"/>
        </w:rPr>
        <w:t>(i,k,j)</w:t>
      </w:r>
      <w:r>
        <w:rPr>
          <w:rFonts w:ascii="Symbol" w:hAnsi="Symbol"/>
          <w:sz w:val="16"/>
        </w:rPr>
        <w:t></w:t>
      </w:r>
      <w:r>
        <w:rPr>
          <w:rFonts w:ascii="Times New Roman" w:hAnsi="Times New Roman"/>
          <w:sz w:val="16"/>
        </w:rPr>
        <w:t>(i,k,j)max</w:t>
      </w:r>
    </w:p>
    <w:p>
      <w:pPr>
        <w:spacing w:after="0" w:line="42" w:lineRule="exact"/>
        <w:jc w:val="left"/>
        <w:rPr>
          <w:rFonts w:ascii="Times New Roman" w:hAnsi="Times New Roman"/>
          <w:sz w:val="16"/>
        </w:rPr>
        <w:sectPr>
          <w:type w:val="continuous"/>
          <w:pgSz w:w="12240" w:h="15840"/>
          <w:pgMar w:top="3080" w:bottom="2780" w:left="1440" w:right="1460"/>
          <w:cols w:num="3" w:equalWidth="0">
            <w:col w:w="1692" w:space="156"/>
            <w:col w:w="1693" w:space="662"/>
            <w:col w:w="5137"/>
          </w:cols>
        </w:sectPr>
      </w:pPr>
    </w:p>
    <w:p>
      <w:pPr>
        <w:spacing w:line="337" w:lineRule="exact" w:before="0"/>
        <w:ind w:left="930" w:right="0" w:firstLine="0"/>
        <w:jc w:val="left"/>
        <w:rPr>
          <w:rFonts w:ascii="Symbol" w:hAnsi="Symbol"/>
          <w:sz w:val="27"/>
        </w:rPr>
      </w:pPr>
      <w:r>
        <w:rPr/>
        <w:pict>
          <v:shape style="position:absolute;margin-left:416.265381pt;margin-top:7.495591pt;width:2.3pt;height:8.1pt;mso-position-horizontal-relative:page;mso-position-vertical-relative:paragraph;z-index:-330448" type="#_x0000_t202" filled="false" stroked="false">
            <v:textbox inset="0,0,0,0">
              <w:txbxContent>
                <w:p>
                  <w:pPr>
                    <w:spacing w:line="161" w:lineRule="exact" w:before="0"/>
                    <w:ind w:left="0" w:right="0" w:firstLine="0"/>
                    <w:jc w:val="left"/>
                    <w:rPr>
                      <w:rFonts w:ascii="Times New Roman"/>
                      <w:sz w:val="16"/>
                    </w:rPr>
                  </w:pPr>
                  <w:r>
                    <w:rPr>
                      <w:rFonts w:ascii="Times New Roman"/>
                      <w:w w:val="101"/>
                      <w:sz w:val="16"/>
                    </w:rPr>
                    <w:t>i</w:t>
                  </w:r>
                </w:p>
              </w:txbxContent>
            </v:textbox>
            <w10:wrap type="none"/>
          </v:shape>
        </w:pict>
      </w:r>
      <w:r>
        <w:rPr>
          <w:rFonts w:ascii="Symbol" w:hAnsi="Symbol"/>
          <w:sz w:val="27"/>
        </w:rPr>
        <w:t></w:t>
      </w:r>
      <w:r>
        <w:rPr>
          <w:rFonts w:ascii="Times New Roman" w:hAnsi="Times New Roman"/>
          <w:sz w:val="27"/>
        </w:rPr>
        <w:t>   </w:t>
      </w:r>
      <w:r>
        <w:rPr>
          <w:rFonts w:ascii="Symbol" w:hAnsi="Symbol"/>
          <w:position w:val="-5"/>
          <w:sz w:val="41"/>
        </w:rPr>
        <w:t></w:t>
      </w:r>
      <w:r>
        <w:rPr>
          <w:rFonts w:ascii="Times New Roman" w:hAnsi="Times New Roman"/>
          <w:sz w:val="27"/>
        </w:rPr>
        <w:t>a ·f  </w:t>
      </w:r>
      <w:r>
        <w:rPr>
          <w:rFonts w:ascii="Symbol" w:hAnsi="Symbol"/>
          <w:sz w:val="43"/>
        </w:rPr>
        <w:t></w:t>
      </w:r>
      <w:r>
        <w:rPr>
          <w:rFonts w:ascii="Times New Roman" w:hAnsi="Times New Roman"/>
          <w:sz w:val="27"/>
        </w:rPr>
        <w:t>Δv </w:t>
      </w:r>
      <w:r>
        <w:rPr>
          <w:rFonts w:ascii="Symbol" w:hAnsi="Symbol"/>
          <w:sz w:val="43"/>
        </w:rPr>
        <w:t></w:t>
      </w:r>
      <w:r>
        <w:rPr>
          <w:rFonts w:ascii="Symbol" w:hAnsi="Symbol"/>
          <w:sz w:val="27"/>
        </w:rPr>
        <w:t></w:t>
      </w:r>
    </w:p>
    <w:p>
      <w:pPr>
        <w:spacing w:line="290" w:lineRule="exact" w:before="47"/>
        <w:ind w:left="154" w:right="-12" w:firstLine="0"/>
        <w:jc w:val="left"/>
        <w:rPr>
          <w:rFonts w:ascii="Times New Roman" w:hAnsi="Times New Roman"/>
          <w:sz w:val="27"/>
        </w:rPr>
      </w:pPr>
      <w:r>
        <w:rPr/>
        <w:br w:type="column"/>
      </w:r>
      <w:r>
        <w:rPr>
          <w:rFonts w:ascii="Symbol" w:hAnsi="Symbol"/>
          <w:w w:val="105"/>
          <w:position w:val="-5"/>
          <w:sz w:val="41"/>
        </w:rPr>
        <w:t></w:t>
      </w:r>
      <w:r>
        <w:rPr>
          <w:rFonts w:ascii="Times New Roman" w:hAnsi="Times New Roman"/>
          <w:w w:val="105"/>
          <w:position w:val="-5"/>
          <w:sz w:val="41"/>
        </w:rPr>
        <w:t> </w:t>
      </w:r>
      <w:r>
        <w:rPr>
          <w:rFonts w:ascii="Times New Roman" w:hAnsi="Times New Roman"/>
          <w:w w:val="105"/>
          <w:sz w:val="27"/>
        </w:rPr>
        <w:t>a  ·f</w:t>
      </w:r>
    </w:p>
    <w:p>
      <w:pPr>
        <w:tabs>
          <w:tab w:pos="1755" w:val="left" w:leader="none"/>
        </w:tabs>
        <w:spacing w:line="337" w:lineRule="exact" w:before="0"/>
        <w:ind w:left="99" w:right="0" w:firstLine="0"/>
        <w:jc w:val="left"/>
        <w:rPr>
          <w:rFonts w:ascii="Symbol" w:hAnsi="Symbol"/>
          <w:sz w:val="43"/>
        </w:rPr>
      </w:pPr>
      <w:r>
        <w:rPr/>
        <w:br w:type="column"/>
      </w:r>
      <w:r>
        <w:rPr>
          <w:rFonts w:ascii="Symbol" w:hAnsi="Symbol"/>
          <w:spacing w:val="-29"/>
          <w:w w:val="57"/>
          <w:sz w:val="48"/>
        </w:rPr>
        <w:t></w:t>
      </w:r>
      <w:r>
        <w:rPr>
          <w:rFonts w:ascii="Times New Roman" w:hAnsi="Times New Roman"/>
          <w:spacing w:val="-26"/>
          <w:w w:val="103"/>
          <w:sz w:val="27"/>
        </w:rPr>
        <w:t>l</w:t>
      </w:r>
      <w:r>
        <w:rPr>
          <w:rFonts w:ascii="Times New Roman" w:hAnsi="Times New Roman"/>
          <w:spacing w:val="-4"/>
          <w:w w:val="103"/>
          <w:sz w:val="27"/>
        </w:rPr>
        <w:t>o</w:t>
      </w:r>
      <w:r>
        <w:rPr>
          <w:rFonts w:ascii="Times New Roman" w:hAnsi="Times New Roman"/>
          <w:w w:val="103"/>
          <w:sz w:val="27"/>
        </w:rPr>
        <w:t>g</w:t>
      </w:r>
      <w:r>
        <w:rPr>
          <w:rFonts w:ascii="Times New Roman" w:hAnsi="Times New Roman"/>
          <w:spacing w:val="-10"/>
          <w:sz w:val="27"/>
        </w:rPr>
        <w:t> </w:t>
      </w:r>
      <w:r>
        <w:rPr>
          <w:rFonts w:ascii="Symbol" w:hAnsi="Symbol"/>
          <w:spacing w:val="-9"/>
          <w:w w:val="103"/>
          <w:sz w:val="27"/>
        </w:rPr>
        <w:t></w:t>
      </w:r>
      <w:r>
        <w:rPr>
          <w:rFonts w:ascii="Times New Roman" w:hAnsi="Times New Roman"/>
          <w:w w:val="103"/>
          <w:sz w:val="27"/>
        </w:rPr>
        <w:t>v</w:t>
      </w:r>
      <w:r>
        <w:rPr>
          <w:rFonts w:ascii="Times New Roman" w:hAnsi="Times New Roman"/>
          <w:sz w:val="27"/>
        </w:rPr>
        <w:t> </w:t>
      </w:r>
      <w:r>
        <w:rPr>
          <w:rFonts w:ascii="Times New Roman" w:hAnsi="Times New Roman"/>
          <w:spacing w:val="33"/>
          <w:sz w:val="27"/>
        </w:rPr>
        <w:t> </w:t>
      </w:r>
      <w:r>
        <w:rPr>
          <w:rFonts w:ascii="Symbol" w:hAnsi="Symbol"/>
          <w:spacing w:val="16"/>
          <w:w w:val="57"/>
          <w:sz w:val="48"/>
        </w:rPr>
        <w:t></w:t>
      </w:r>
      <w:r>
        <w:rPr>
          <w:rFonts w:ascii="Symbol" w:hAnsi="Symbol"/>
          <w:w w:val="103"/>
          <w:sz w:val="27"/>
        </w:rPr>
        <w:t></w:t>
      </w:r>
      <w:r>
        <w:rPr>
          <w:rFonts w:ascii="Times New Roman" w:hAnsi="Times New Roman"/>
          <w:sz w:val="27"/>
        </w:rPr>
        <w:tab/>
      </w:r>
      <w:r>
        <w:rPr>
          <w:rFonts w:ascii="Symbol" w:hAnsi="Symbol"/>
          <w:spacing w:val="24"/>
          <w:w w:val="102"/>
          <w:position w:val="-5"/>
          <w:sz w:val="41"/>
        </w:rPr>
        <w:t></w:t>
      </w:r>
      <w:r>
        <w:rPr>
          <w:rFonts w:ascii="Times New Roman" w:hAnsi="Times New Roman"/>
          <w:w w:val="103"/>
          <w:sz w:val="27"/>
        </w:rPr>
        <w:t>a</w:t>
      </w:r>
      <w:r>
        <w:rPr>
          <w:rFonts w:ascii="Times New Roman" w:hAnsi="Times New Roman"/>
          <w:sz w:val="27"/>
        </w:rPr>
        <w:t>  </w:t>
      </w:r>
      <w:r>
        <w:rPr>
          <w:rFonts w:ascii="Times New Roman" w:hAnsi="Times New Roman"/>
          <w:spacing w:val="-13"/>
          <w:sz w:val="27"/>
        </w:rPr>
        <w:t> </w:t>
      </w:r>
      <w:r>
        <w:rPr>
          <w:rFonts w:ascii="Times New Roman" w:hAnsi="Times New Roman"/>
          <w:spacing w:val="-5"/>
          <w:w w:val="103"/>
          <w:sz w:val="27"/>
        </w:rPr>
        <w:t>·</w:t>
      </w:r>
      <w:r>
        <w:rPr>
          <w:rFonts w:ascii="Times New Roman" w:hAnsi="Times New Roman"/>
          <w:spacing w:val="-9"/>
          <w:w w:val="103"/>
          <w:sz w:val="27"/>
        </w:rPr>
        <w:t>Δ</w:t>
      </w:r>
      <w:r>
        <w:rPr>
          <w:rFonts w:ascii="Times New Roman" w:hAnsi="Times New Roman"/>
          <w:w w:val="103"/>
          <w:sz w:val="27"/>
        </w:rPr>
        <w:t>Δ</w:t>
      </w:r>
      <w:r>
        <w:rPr>
          <w:rFonts w:ascii="Times New Roman" w:hAnsi="Times New Roman"/>
          <w:spacing w:val="11"/>
          <w:sz w:val="27"/>
        </w:rPr>
        <w:t> </w:t>
      </w:r>
      <w:r>
        <w:rPr>
          <w:rFonts w:ascii="Tahoma" w:hAnsi="Tahoma"/>
          <w:spacing w:val="-16"/>
          <w:w w:val="103"/>
          <w:sz w:val="27"/>
        </w:rPr>
        <w:t>V</w:t>
      </w:r>
      <w:r>
        <w:rPr>
          <w:rFonts w:ascii="Times New Roman" w:hAnsi="Times New Roman"/>
          <w:w w:val="101"/>
          <w:position w:val="-6"/>
          <w:sz w:val="16"/>
        </w:rPr>
        <w:t>k</w:t>
      </w:r>
      <w:r>
        <w:rPr>
          <w:rFonts w:ascii="Times New Roman" w:hAnsi="Times New Roman"/>
          <w:spacing w:val="-3"/>
          <w:position w:val="-6"/>
          <w:sz w:val="16"/>
        </w:rPr>
        <w:t> </w:t>
      </w:r>
      <w:r>
        <w:rPr>
          <w:rFonts w:ascii="Symbol" w:hAnsi="Symbol"/>
          <w:spacing w:val="-24"/>
          <w:w w:val="64"/>
          <w:sz w:val="43"/>
        </w:rPr>
        <w:t></w:t>
      </w:r>
      <w:r>
        <w:rPr>
          <w:rFonts w:ascii="Times New Roman" w:hAnsi="Times New Roman"/>
          <w:spacing w:val="24"/>
          <w:w w:val="103"/>
          <w:sz w:val="27"/>
        </w:rPr>
        <w:t>c</w:t>
      </w:r>
      <w:r>
        <w:rPr>
          <w:rFonts w:ascii="Times New Roman" w:hAnsi="Times New Roman"/>
          <w:w w:val="101"/>
          <w:position w:val="-6"/>
          <w:sz w:val="16"/>
        </w:rPr>
        <w:t>j</w:t>
      </w:r>
      <w:r>
        <w:rPr>
          <w:rFonts w:ascii="Times New Roman" w:hAnsi="Times New Roman"/>
          <w:spacing w:val="-8"/>
          <w:position w:val="-6"/>
          <w:sz w:val="16"/>
        </w:rPr>
        <w:t> </w:t>
      </w:r>
      <w:r>
        <w:rPr>
          <w:rFonts w:ascii="Symbol" w:hAnsi="Symbol"/>
          <w:w w:val="64"/>
          <w:sz w:val="43"/>
        </w:rPr>
        <w:t></w:t>
      </w:r>
    </w:p>
    <w:p>
      <w:pPr>
        <w:spacing w:after="0" w:line="337" w:lineRule="exact"/>
        <w:jc w:val="left"/>
        <w:rPr>
          <w:rFonts w:ascii="Symbol" w:hAnsi="Symbol"/>
          <w:sz w:val="43"/>
        </w:rPr>
        <w:sectPr>
          <w:type w:val="continuous"/>
          <w:pgSz w:w="12240" w:h="15840"/>
          <w:pgMar w:top="3080" w:bottom="2780" w:left="1440" w:right="1460"/>
          <w:cols w:num="3" w:equalWidth="0">
            <w:col w:w="2933" w:space="40"/>
            <w:col w:w="1033" w:space="40"/>
            <w:col w:w="5294"/>
          </w:cols>
        </w:sectPr>
      </w:pPr>
    </w:p>
    <w:p>
      <w:pPr>
        <w:tabs>
          <w:tab w:pos="2037" w:val="left" w:leader="none"/>
          <w:tab w:pos="2541" w:val="left" w:leader="none"/>
        </w:tabs>
        <w:spacing w:line="161" w:lineRule="exact" w:before="0"/>
        <w:ind w:left="1747" w:right="0" w:firstLine="0"/>
        <w:jc w:val="left"/>
        <w:rPr>
          <w:rFonts w:ascii="Times New Roman"/>
          <w:sz w:val="16"/>
        </w:rPr>
      </w:pPr>
      <w:r>
        <w:rPr>
          <w:rFonts w:ascii="Times New Roman"/>
          <w:sz w:val="16"/>
        </w:rPr>
        <w:t>q</w:t>
        <w:tab/>
        <w:t>q</w:t>
        <w:tab/>
        <w:t>q</w:t>
      </w:r>
    </w:p>
    <w:p>
      <w:pPr>
        <w:spacing w:line="192" w:lineRule="exact" w:before="0"/>
        <w:ind w:left="1285" w:right="1050" w:firstLine="0"/>
        <w:jc w:val="center"/>
        <w:rPr>
          <w:rFonts w:ascii="Times New Roman" w:hAnsi="Times New Roman"/>
          <w:sz w:val="16"/>
        </w:rPr>
      </w:pPr>
      <w:r>
        <w:rPr>
          <w:rFonts w:ascii="Times New Roman" w:hAnsi="Times New Roman"/>
          <w:sz w:val="16"/>
        </w:rPr>
        <w:t>q</w:t>
      </w:r>
      <w:r>
        <w:rPr>
          <w:rFonts w:ascii="Symbol" w:hAnsi="Symbol"/>
          <w:sz w:val="16"/>
        </w:rPr>
        <w:t></w:t>
      </w:r>
      <w:r>
        <w:rPr>
          <w:rFonts w:ascii="Times New Roman" w:hAnsi="Times New Roman"/>
          <w:sz w:val="16"/>
        </w:rPr>
        <w:t>1</w:t>
      </w:r>
    </w:p>
    <w:p>
      <w:pPr>
        <w:tabs>
          <w:tab w:pos="289" w:val="left" w:leader="none"/>
        </w:tabs>
        <w:spacing w:line="161" w:lineRule="exact" w:before="0"/>
        <w:ind w:left="0" w:right="0" w:firstLine="0"/>
        <w:jc w:val="right"/>
        <w:rPr>
          <w:rFonts w:ascii="Times New Roman"/>
          <w:sz w:val="16"/>
        </w:rPr>
      </w:pPr>
      <w:r>
        <w:rPr/>
        <w:br w:type="column"/>
      </w:r>
      <w:r>
        <w:rPr>
          <w:rFonts w:ascii="Times New Roman"/>
          <w:sz w:val="16"/>
        </w:rPr>
        <w:t>q</w:t>
        <w:tab/>
        <w:t>q</w:t>
      </w:r>
    </w:p>
    <w:p>
      <w:pPr>
        <w:spacing w:line="192" w:lineRule="exact" w:before="0"/>
        <w:ind w:left="472" w:right="686" w:firstLine="0"/>
        <w:jc w:val="center"/>
        <w:rPr>
          <w:rFonts w:ascii="Times New Roman" w:hAnsi="Times New Roman"/>
          <w:sz w:val="16"/>
        </w:rPr>
      </w:pPr>
      <w:r>
        <w:rPr>
          <w:rFonts w:ascii="Times New Roman" w:hAnsi="Times New Roman"/>
          <w:sz w:val="16"/>
        </w:rPr>
        <w:t>q</w:t>
      </w:r>
      <w:r>
        <w:rPr>
          <w:rFonts w:ascii="Symbol" w:hAnsi="Symbol"/>
          <w:sz w:val="16"/>
        </w:rPr>
        <w:t></w:t>
      </w:r>
      <w:r>
        <w:rPr>
          <w:rFonts w:ascii="Times New Roman" w:hAnsi="Times New Roman"/>
          <w:sz w:val="16"/>
        </w:rPr>
        <w:t>1</w:t>
      </w:r>
    </w:p>
    <w:p>
      <w:pPr>
        <w:spacing w:line="161" w:lineRule="exact" w:before="0"/>
        <w:ind w:left="738" w:right="1208" w:firstLine="0"/>
        <w:jc w:val="center"/>
        <w:rPr>
          <w:rFonts w:ascii="Times New Roman"/>
          <w:sz w:val="16"/>
        </w:rPr>
      </w:pPr>
      <w:r>
        <w:rPr/>
        <w:br w:type="column"/>
      </w:r>
      <w:r>
        <w:rPr>
          <w:rFonts w:ascii="Times New Roman"/>
          <w:sz w:val="16"/>
        </w:rPr>
        <w:t>q</w:t>
      </w:r>
    </w:p>
    <w:p>
      <w:pPr>
        <w:spacing w:line="192" w:lineRule="exact" w:before="0"/>
        <w:ind w:left="0" w:right="0" w:firstLine="0"/>
        <w:jc w:val="right"/>
        <w:rPr>
          <w:rFonts w:ascii="Times New Roman" w:hAnsi="Times New Roman"/>
          <w:sz w:val="16"/>
        </w:rPr>
      </w:pPr>
      <w:r>
        <w:rPr>
          <w:rFonts w:ascii="Times New Roman" w:hAnsi="Times New Roman"/>
          <w:sz w:val="16"/>
        </w:rPr>
        <w:t>(i,k,j)</w:t>
      </w:r>
      <w:r>
        <w:rPr>
          <w:rFonts w:ascii="Symbol" w:hAnsi="Symbol"/>
          <w:sz w:val="16"/>
        </w:rPr>
        <w:t></w:t>
      </w:r>
      <w:r>
        <w:rPr>
          <w:rFonts w:ascii="Times New Roman" w:hAnsi="Times New Roman"/>
          <w:sz w:val="16"/>
        </w:rPr>
        <w:t>1</w:t>
      </w:r>
    </w:p>
    <w:p>
      <w:pPr>
        <w:spacing w:line="164" w:lineRule="exact" w:before="0"/>
        <w:ind w:left="10" w:right="0" w:firstLine="0"/>
        <w:jc w:val="left"/>
        <w:rPr>
          <w:rFonts w:ascii="Times New Roman"/>
          <w:sz w:val="16"/>
        </w:rPr>
      </w:pPr>
      <w:r>
        <w:rPr/>
        <w:br w:type="column"/>
      </w:r>
      <w:r>
        <w:rPr>
          <w:rFonts w:ascii="Times New Roman"/>
          <w:sz w:val="16"/>
        </w:rPr>
        <w:t>ikj</w:t>
      </w:r>
    </w:p>
    <w:p>
      <w:pPr>
        <w:spacing w:after="0" w:line="164" w:lineRule="exact"/>
        <w:jc w:val="left"/>
        <w:rPr>
          <w:rFonts w:ascii="Times New Roman"/>
          <w:sz w:val="16"/>
        </w:rPr>
        <w:sectPr>
          <w:type w:val="continuous"/>
          <w:pgSz w:w="12240" w:h="15840"/>
          <w:pgMar w:top="3080" w:bottom="2780" w:left="1440" w:right="1460"/>
          <w:cols w:num="4" w:equalWidth="0">
            <w:col w:w="2623" w:space="40"/>
            <w:col w:w="1447" w:space="40"/>
            <w:col w:w="2067" w:space="40"/>
            <w:col w:w="3083"/>
          </w:cols>
        </w:sectPr>
      </w:pPr>
    </w:p>
    <w:p>
      <w:pPr>
        <w:pStyle w:val="BodyText"/>
        <w:rPr>
          <w:rFonts w:ascii="Times New Roman"/>
          <w:sz w:val="20"/>
        </w:rPr>
      </w:pPr>
    </w:p>
    <w:p>
      <w:pPr>
        <w:pStyle w:val="BodyText"/>
        <w:spacing w:before="8"/>
        <w:rPr>
          <w:rFonts w:ascii="Times New Roman"/>
          <w:sz w:val="19"/>
        </w:rPr>
      </w:pPr>
    </w:p>
    <w:p>
      <w:pPr>
        <w:pStyle w:val="BodyText"/>
        <w:spacing w:line="362" w:lineRule="auto"/>
        <w:ind w:left="259" w:right="242" w:firstLine="283"/>
        <w:jc w:val="both"/>
      </w:pPr>
      <w:r>
        <w:rPr/>
        <w:t>F La función de salida '(μnr) nueva es una puntuación utilizado en lineal discriminante Análisis (LDA) para calcular la probabilidad de clasificación binaria de un insumo como μnr = 1 o μnr = 0 (salidas) (Hill y Lewicki, 2006).</w:t>
      </w:r>
    </w:p>
    <w:p>
      <w:pPr>
        <w:spacing w:after="0" w:line="362" w:lineRule="auto"/>
        <w:jc w:val="both"/>
        <w:sectPr>
          <w:type w:val="continuous"/>
          <w:pgSz w:w="12240" w:h="15840"/>
          <w:pgMar w:top="3080" w:bottom="2780" w:left="1440" w:right="1460"/>
        </w:sectPr>
      </w:pPr>
    </w:p>
    <w:p>
      <w:pPr>
        <w:pStyle w:val="BodyText"/>
        <w:spacing w:before="10"/>
        <w:rPr>
          <w:sz w:val="28"/>
        </w:rPr>
      </w:pPr>
    </w:p>
    <w:p>
      <w:pPr>
        <w:pStyle w:val="Heading1"/>
        <w:ind w:left="21"/>
      </w:pPr>
      <w:bookmarkStart w:name="_TOC_250012" w:id="28"/>
      <w:bookmarkEnd w:id="28"/>
      <w:r>
        <w:rPr>
          <w:color w:val="1F487C"/>
        </w:rPr>
        <w:t>JUSTIFICACIÓN</w:t>
      </w:r>
    </w:p>
    <w:p>
      <w:pPr>
        <w:pStyle w:val="BodyText"/>
        <w:rPr>
          <w:b/>
          <w:sz w:val="32"/>
        </w:rPr>
      </w:pPr>
    </w:p>
    <w:p>
      <w:pPr>
        <w:pStyle w:val="BodyText"/>
        <w:spacing w:line="362" w:lineRule="auto" w:before="252"/>
        <w:ind w:left="259" w:right="235" w:firstLine="456"/>
        <w:jc w:val="both"/>
      </w:pPr>
      <w:r>
        <w:rPr/>
        <w:t>Los productos de origen animal desempeñan un papel fundamental en la dieta del hombre. A las grasas de la carne y de la leche, provenientes de rumiantes, se les ha puesto especial atención para ser consideradas en una dieta saludable.</w:t>
      </w:r>
    </w:p>
    <w:p>
      <w:pPr>
        <w:pStyle w:val="BodyText"/>
        <w:spacing w:before="1"/>
        <w:rPr>
          <w:sz w:val="23"/>
        </w:rPr>
      </w:pPr>
    </w:p>
    <w:p>
      <w:pPr>
        <w:pStyle w:val="BodyText"/>
        <w:spacing w:line="362" w:lineRule="auto" w:before="1"/>
        <w:ind w:left="259" w:right="237" w:firstLine="456"/>
        <w:jc w:val="both"/>
      </w:pPr>
      <w:r>
        <w:rPr/>
        <w:t>Los metabolitos de ácidos grasos en el rumen están relacionados con la cantidad de depósitos de ácidos grasos en la leche o la grasa intermuscular, es decir, están en función del alimento que ingiere el rumiante. A los ácidos grasos omega 3 y omega 6  se les relaciona como benéficos para el hombre ya que se ha observado que pueden prevenir o curar las enfermedades de la vida moderna como lo son las cardiovasculares, las autoinmunes,</w:t>
      </w:r>
      <w:r>
        <w:rPr>
          <w:spacing w:val="-16"/>
        </w:rPr>
        <w:t> </w:t>
      </w:r>
      <w:r>
        <w:rPr/>
        <w:t>etc.</w:t>
      </w:r>
    </w:p>
    <w:p>
      <w:pPr>
        <w:pStyle w:val="BodyText"/>
        <w:spacing w:before="1"/>
        <w:rPr>
          <w:sz w:val="23"/>
        </w:rPr>
      </w:pPr>
    </w:p>
    <w:p>
      <w:pPr>
        <w:pStyle w:val="BodyText"/>
        <w:spacing w:line="362" w:lineRule="auto"/>
        <w:ind w:left="259" w:right="241" w:firstLine="456"/>
        <w:jc w:val="both"/>
      </w:pPr>
      <w:r>
        <w:rPr/>
        <w:t>Actualmente existen herramientas quimioinformáticas (QSAR, minería de datos, modelado de datos y aprendizaje automático), que nos permiten predecir algunas tendencias potenciales del alimento de los rumiantes en relación con los depósitos de ácidos grasos que tendrán. Estos métodos permiten disminuir el costo y el tiempo de investigación al igual que la  reducción del uso de animales</w:t>
      </w:r>
    </w:p>
    <w:p>
      <w:pPr>
        <w:spacing w:after="0" w:line="362" w:lineRule="auto"/>
        <w:jc w:val="both"/>
        <w:sectPr>
          <w:headerReference w:type="default" r:id="rId63"/>
          <w:pgSz w:w="12240" w:h="15840"/>
          <w:pgMar w:header="684" w:footer="1164" w:top="1220" w:bottom="1380" w:left="1440" w:right="1460"/>
        </w:sectPr>
      </w:pPr>
    </w:p>
    <w:p>
      <w:pPr>
        <w:pStyle w:val="BodyText"/>
        <w:spacing w:before="1"/>
        <w:rPr>
          <w:sz w:val="16"/>
        </w:rPr>
      </w:pPr>
    </w:p>
    <w:p>
      <w:pPr>
        <w:pStyle w:val="Heading1"/>
        <w:ind w:left="26"/>
      </w:pPr>
      <w:bookmarkStart w:name="_TOC_250011" w:id="29"/>
      <w:bookmarkEnd w:id="29"/>
      <w:r>
        <w:rPr>
          <w:color w:val="1F487C"/>
        </w:rPr>
        <w:t>HIPÓTESIS</w:t>
      </w:r>
    </w:p>
    <w:p>
      <w:pPr>
        <w:pStyle w:val="BodyText"/>
        <w:rPr>
          <w:b/>
          <w:sz w:val="32"/>
        </w:rPr>
      </w:pPr>
    </w:p>
    <w:p>
      <w:pPr>
        <w:pStyle w:val="BodyText"/>
        <w:spacing w:line="362" w:lineRule="auto" w:before="252"/>
        <w:ind w:left="259" w:right="239" w:firstLine="456"/>
        <w:jc w:val="both"/>
        <w:rPr>
          <w:i/>
        </w:rPr>
      </w:pPr>
      <w:r>
        <w:rPr/>
        <w:t>Los métodos de reemplazo de alto rendimiento </w:t>
      </w:r>
      <w:r>
        <w:rPr>
          <w:i/>
        </w:rPr>
        <w:t>In silico </w:t>
      </w:r>
      <w:r>
        <w:rPr/>
        <w:t>(QSAR, minería de datos (DATA MINING), modelado de datos y aprendizaje automático) permitirán  predecir </w:t>
      </w:r>
      <w:r>
        <w:rPr>
          <w:color w:val="171717"/>
        </w:rPr>
        <w:t>las redes complejas de distribución de ácidos grasos en los sistemas de fermentación ruminal </w:t>
      </w:r>
      <w:r>
        <w:rPr>
          <w:i/>
          <w:color w:val="171717"/>
        </w:rPr>
        <w:t>in vitro.</w:t>
      </w:r>
    </w:p>
    <w:p>
      <w:pPr>
        <w:spacing w:after="0" w:line="362" w:lineRule="auto"/>
        <w:jc w:val="both"/>
        <w:sectPr>
          <w:pgSz w:w="12240" w:h="15840"/>
          <w:pgMar w:header="684" w:footer="1164" w:top="1380" w:bottom="1380" w:left="1440" w:right="1460"/>
        </w:sectPr>
      </w:pPr>
    </w:p>
    <w:p>
      <w:pPr>
        <w:pStyle w:val="BodyText"/>
        <w:rPr>
          <w:i/>
          <w:sz w:val="20"/>
        </w:rPr>
      </w:pPr>
    </w:p>
    <w:p>
      <w:pPr>
        <w:pStyle w:val="BodyText"/>
        <w:spacing w:before="6"/>
        <w:rPr>
          <w:i/>
          <w:sz w:val="16"/>
        </w:rPr>
      </w:pPr>
    </w:p>
    <w:p>
      <w:pPr>
        <w:pStyle w:val="Heading1"/>
        <w:ind w:left="25"/>
      </w:pPr>
      <w:bookmarkStart w:name="_TOC_250010" w:id="30"/>
      <w:bookmarkEnd w:id="30"/>
      <w:r>
        <w:rPr>
          <w:color w:val="1F487C"/>
        </w:rPr>
        <w:t>OBJETIVOS</w:t>
      </w:r>
    </w:p>
    <w:p>
      <w:pPr>
        <w:pStyle w:val="BodyText"/>
        <w:rPr>
          <w:b/>
          <w:sz w:val="20"/>
        </w:rPr>
      </w:pPr>
    </w:p>
    <w:p>
      <w:pPr>
        <w:pStyle w:val="BodyText"/>
        <w:rPr>
          <w:b/>
          <w:sz w:val="20"/>
        </w:rPr>
      </w:pPr>
    </w:p>
    <w:p>
      <w:pPr>
        <w:pStyle w:val="BodyText"/>
        <w:rPr>
          <w:b/>
          <w:sz w:val="20"/>
        </w:rPr>
      </w:pPr>
    </w:p>
    <w:p>
      <w:pPr>
        <w:spacing w:before="207"/>
        <w:ind w:left="259" w:right="0" w:firstLine="0"/>
        <w:jc w:val="left"/>
        <w:rPr>
          <w:b/>
          <w:sz w:val="24"/>
        </w:rPr>
      </w:pPr>
      <w:r>
        <w:rPr>
          <w:b/>
          <w:sz w:val="24"/>
        </w:rPr>
        <w:t>Objetivo General</w:t>
      </w:r>
    </w:p>
    <w:p>
      <w:pPr>
        <w:pStyle w:val="BodyText"/>
        <w:spacing w:before="9"/>
        <w:rPr>
          <w:b/>
          <w:sz w:val="35"/>
        </w:rPr>
      </w:pPr>
    </w:p>
    <w:p>
      <w:pPr>
        <w:pStyle w:val="BodyText"/>
        <w:spacing w:line="362" w:lineRule="auto"/>
        <w:ind w:left="259" w:right="232" w:firstLine="456"/>
        <w:jc w:val="both"/>
      </w:pPr>
      <w:r>
        <w:rPr/>
        <w:t>Predecir y evaluar los efectos de cártamo y canola en los sistemas de fermentación ruminal </w:t>
      </w:r>
      <w:r>
        <w:rPr>
          <w:i/>
        </w:rPr>
        <w:t>in vitro </w:t>
      </w:r>
      <w:r>
        <w:rPr/>
        <w:t>de ovino por métodos métodos de reemplazo (QSAR, minería de datos (DATA MINING), modelado de datos y aprendizaje</w:t>
      </w:r>
      <w:r>
        <w:rPr>
          <w:spacing w:val="-20"/>
        </w:rPr>
        <w:t> </w:t>
      </w:r>
      <w:r>
        <w:rPr/>
        <w:t>automático).</w:t>
      </w:r>
    </w:p>
    <w:p>
      <w:pPr>
        <w:pStyle w:val="BodyText"/>
      </w:pPr>
    </w:p>
    <w:p>
      <w:pPr>
        <w:pStyle w:val="BodyText"/>
      </w:pPr>
    </w:p>
    <w:p>
      <w:pPr>
        <w:pStyle w:val="BodyText"/>
        <w:spacing w:before="4"/>
        <w:rPr>
          <w:sz w:val="35"/>
        </w:rPr>
      </w:pPr>
    </w:p>
    <w:p>
      <w:pPr>
        <w:spacing w:before="0"/>
        <w:ind w:left="259" w:right="0" w:firstLine="0"/>
        <w:jc w:val="left"/>
        <w:rPr>
          <w:b/>
          <w:sz w:val="24"/>
        </w:rPr>
      </w:pPr>
      <w:r>
        <w:rPr>
          <w:b/>
          <w:sz w:val="24"/>
        </w:rPr>
        <w:t>Objetivos Específicos</w:t>
      </w:r>
    </w:p>
    <w:p>
      <w:pPr>
        <w:pStyle w:val="BodyText"/>
        <w:spacing w:before="4"/>
        <w:rPr>
          <w:b/>
          <w:sz w:val="35"/>
        </w:rPr>
      </w:pPr>
    </w:p>
    <w:p>
      <w:pPr>
        <w:pStyle w:val="ListParagraph"/>
        <w:numPr>
          <w:ilvl w:val="0"/>
          <w:numId w:val="7"/>
        </w:numPr>
        <w:tabs>
          <w:tab w:pos="966" w:val="left" w:leader="none"/>
        </w:tabs>
        <w:spacing w:line="360" w:lineRule="auto" w:before="0" w:after="0"/>
        <w:ind w:left="980" w:right="248" w:hanging="360"/>
        <w:jc w:val="both"/>
        <w:rPr>
          <w:sz w:val="24"/>
        </w:rPr>
      </w:pPr>
      <w:r>
        <w:rPr>
          <w:sz w:val="24"/>
        </w:rPr>
        <w:t>Determinar las proporciones de harina de cártamo o de semillas de canola para los ovinos por sistemas de fermentación ruminal </w:t>
      </w:r>
      <w:r>
        <w:rPr>
          <w:i/>
          <w:sz w:val="24"/>
        </w:rPr>
        <w:t>in</w:t>
      </w:r>
      <w:r>
        <w:rPr>
          <w:i/>
          <w:spacing w:val="-22"/>
          <w:sz w:val="24"/>
        </w:rPr>
        <w:t> </w:t>
      </w:r>
      <w:r>
        <w:rPr>
          <w:i/>
          <w:sz w:val="24"/>
        </w:rPr>
        <w:t>vitro</w:t>
      </w:r>
      <w:r>
        <w:rPr>
          <w:sz w:val="24"/>
        </w:rPr>
        <w:t>.</w:t>
      </w:r>
    </w:p>
    <w:p>
      <w:pPr>
        <w:pStyle w:val="ListParagraph"/>
        <w:numPr>
          <w:ilvl w:val="0"/>
          <w:numId w:val="7"/>
        </w:numPr>
        <w:tabs>
          <w:tab w:pos="966" w:val="left" w:leader="none"/>
        </w:tabs>
        <w:spacing w:line="360" w:lineRule="auto" w:before="0" w:after="0"/>
        <w:ind w:left="980" w:right="252" w:hanging="360"/>
        <w:jc w:val="both"/>
        <w:rPr>
          <w:sz w:val="24"/>
        </w:rPr>
      </w:pPr>
      <w:r>
        <w:rPr>
          <w:sz w:val="24"/>
        </w:rPr>
        <w:t>Analizar las diferentes partes de las semillas de cártamo en sistemas de fermentación ruminal </w:t>
      </w:r>
      <w:r>
        <w:rPr>
          <w:i/>
          <w:sz w:val="24"/>
        </w:rPr>
        <w:t>in</w:t>
      </w:r>
      <w:r>
        <w:rPr>
          <w:i/>
          <w:spacing w:val="-14"/>
          <w:sz w:val="24"/>
        </w:rPr>
        <w:t> </w:t>
      </w:r>
      <w:r>
        <w:rPr>
          <w:i/>
          <w:sz w:val="24"/>
        </w:rPr>
        <w:t>vitro</w:t>
      </w:r>
      <w:r>
        <w:rPr>
          <w:sz w:val="24"/>
        </w:rPr>
        <w:t>.</w:t>
      </w:r>
    </w:p>
    <w:p>
      <w:pPr>
        <w:pStyle w:val="ListParagraph"/>
        <w:numPr>
          <w:ilvl w:val="0"/>
          <w:numId w:val="7"/>
        </w:numPr>
        <w:tabs>
          <w:tab w:pos="966" w:val="left" w:leader="none"/>
        </w:tabs>
        <w:spacing w:line="360" w:lineRule="auto" w:before="0" w:after="0"/>
        <w:ind w:left="980" w:right="250" w:hanging="360"/>
        <w:jc w:val="both"/>
        <w:rPr>
          <w:sz w:val="24"/>
        </w:rPr>
      </w:pPr>
      <w:r>
        <w:rPr>
          <w:sz w:val="24"/>
        </w:rPr>
        <w:t>Determinar el efecto de aceites vegetales en las composiciones de ácidos grasos de membrana microbiana</w:t>
      </w:r>
      <w:r>
        <w:rPr>
          <w:spacing w:val="-8"/>
          <w:sz w:val="24"/>
        </w:rPr>
        <w:t> </w:t>
      </w:r>
      <w:r>
        <w:rPr>
          <w:sz w:val="24"/>
        </w:rPr>
        <w:t>ruminal.</w:t>
      </w:r>
    </w:p>
    <w:p>
      <w:pPr>
        <w:pStyle w:val="ListParagraph"/>
        <w:numPr>
          <w:ilvl w:val="0"/>
          <w:numId w:val="7"/>
        </w:numPr>
        <w:tabs>
          <w:tab w:pos="966" w:val="left" w:leader="none"/>
        </w:tabs>
        <w:spacing w:line="362" w:lineRule="auto" w:before="0" w:after="0"/>
        <w:ind w:left="980" w:right="245" w:hanging="360"/>
        <w:jc w:val="both"/>
        <w:rPr>
          <w:sz w:val="24"/>
        </w:rPr>
      </w:pPr>
      <w:r>
        <w:rPr>
          <w:sz w:val="24"/>
        </w:rPr>
        <w:t>Diseñar modelo de aprendizaje automático de las redes complejas </w:t>
      </w:r>
      <w:r>
        <w:rPr>
          <w:spacing w:val="2"/>
          <w:sz w:val="24"/>
        </w:rPr>
        <w:t>de </w:t>
      </w:r>
      <w:r>
        <w:rPr>
          <w:sz w:val="24"/>
        </w:rPr>
        <w:t>distribución de los ácidos grasos basado en los estudios computacionales de la minería de datos, datos con la teoría de la estructura cuantitativa relación de actividad (QSAR) para predecir y evaluar los efectos de cártamo y canola en los sistemas de fermentación ruminal </w:t>
      </w:r>
      <w:r>
        <w:rPr>
          <w:i/>
          <w:sz w:val="24"/>
        </w:rPr>
        <w:t>in vitro </w:t>
      </w:r>
      <w:r>
        <w:rPr>
          <w:sz w:val="24"/>
        </w:rPr>
        <w:t>de ovino</w:t>
      </w:r>
      <w:r>
        <w:rPr>
          <w:spacing w:val="-15"/>
          <w:sz w:val="24"/>
        </w:rPr>
        <w:t> </w:t>
      </w:r>
      <w:r>
        <w:rPr>
          <w:sz w:val="24"/>
        </w:rPr>
        <w:t>.</w:t>
      </w:r>
    </w:p>
    <w:p>
      <w:pPr>
        <w:spacing w:after="0" w:line="362" w:lineRule="auto"/>
        <w:jc w:val="both"/>
        <w:rPr>
          <w:sz w:val="24"/>
        </w:rPr>
        <w:sectPr>
          <w:pgSz w:w="12240" w:h="15840"/>
          <w:pgMar w:header="684" w:footer="1164" w:top="1380" w:bottom="1380" w:left="1440" w:right="1460"/>
        </w:sectPr>
      </w:pPr>
    </w:p>
    <w:p>
      <w:pPr>
        <w:pStyle w:val="BodyText"/>
        <w:rPr>
          <w:sz w:val="20"/>
        </w:rPr>
      </w:pPr>
    </w:p>
    <w:p>
      <w:pPr>
        <w:pStyle w:val="BodyText"/>
        <w:rPr>
          <w:sz w:val="20"/>
        </w:rPr>
      </w:pPr>
    </w:p>
    <w:p>
      <w:pPr>
        <w:pStyle w:val="BodyText"/>
        <w:spacing w:before="8"/>
        <w:rPr>
          <w:sz w:val="20"/>
        </w:rPr>
      </w:pPr>
    </w:p>
    <w:p>
      <w:pPr>
        <w:pStyle w:val="Heading1"/>
        <w:ind w:left="2819"/>
        <w:jc w:val="left"/>
      </w:pPr>
      <w:bookmarkStart w:name="_TOC_250009" w:id="31"/>
      <w:bookmarkEnd w:id="31"/>
      <w:r>
        <w:rPr>
          <w:color w:val="1F487C"/>
        </w:rPr>
        <w:t>MATERIALES Y MÉTODOS</w:t>
      </w:r>
    </w:p>
    <w:p>
      <w:pPr>
        <w:pStyle w:val="BodyText"/>
        <w:rPr>
          <w:b/>
          <w:sz w:val="20"/>
        </w:rPr>
      </w:pPr>
    </w:p>
    <w:p>
      <w:pPr>
        <w:pStyle w:val="BodyText"/>
        <w:rPr>
          <w:b/>
          <w:sz w:val="20"/>
        </w:rPr>
      </w:pPr>
    </w:p>
    <w:p>
      <w:pPr>
        <w:pStyle w:val="ListParagraph"/>
        <w:numPr>
          <w:ilvl w:val="0"/>
          <w:numId w:val="8"/>
        </w:numPr>
        <w:tabs>
          <w:tab w:pos="515" w:val="left" w:leader="none"/>
        </w:tabs>
        <w:spacing w:line="240" w:lineRule="auto" w:before="207" w:after="0"/>
        <w:ind w:left="514" w:right="0" w:hanging="255"/>
        <w:jc w:val="left"/>
        <w:rPr>
          <w:b/>
          <w:sz w:val="24"/>
        </w:rPr>
      </w:pPr>
      <w:r>
        <w:rPr>
          <w:b/>
          <w:sz w:val="24"/>
        </w:rPr>
        <w:t>Parte</w:t>
      </w:r>
      <w:r>
        <w:rPr>
          <w:b/>
          <w:spacing w:val="-9"/>
          <w:sz w:val="24"/>
        </w:rPr>
        <w:t> </w:t>
      </w:r>
      <w:r>
        <w:rPr>
          <w:b/>
          <w:sz w:val="24"/>
        </w:rPr>
        <w:t>Experimental.</w:t>
      </w:r>
    </w:p>
    <w:p>
      <w:pPr>
        <w:pStyle w:val="BodyText"/>
        <w:spacing w:before="4"/>
        <w:rPr>
          <w:b/>
          <w:sz w:val="35"/>
        </w:rPr>
      </w:pPr>
    </w:p>
    <w:p>
      <w:pPr>
        <w:pStyle w:val="Heading4"/>
        <w:numPr>
          <w:ilvl w:val="1"/>
          <w:numId w:val="8"/>
        </w:numPr>
        <w:tabs>
          <w:tab w:pos="693" w:val="left" w:leader="none"/>
        </w:tabs>
        <w:spacing w:line="364" w:lineRule="auto" w:before="0" w:after="0"/>
        <w:ind w:left="259" w:right="251" w:firstLine="0"/>
        <w:jc w:val="left"/>
      </w:pPr>
      <w:r>
        <w:rPr>
          <w:i/>
        </w:rPr>
        <w:t>Métodos para determiner proporciones de harina de cártamo o semilla de </w:t>
      </w:r>
      <w:r>
        <w:rPr/>
        <w:t>canola con semillas de</w:t>
      </w:r>
      <w:r>
        <w:rPr>
          <w:spacing w:val="-20"/>
        </w:rPr>
        <w:t> </w:t>
      </w:r>
      <w:r>
        <w:rPr/>
        <w:t>sorgo</w:t>
      </w:r>
    </w:p>
    <w:p>
      <w:pPr>
        <w:pStyle w:val="BodyText"/>
        <w:spacing w:before="3"/>
        <w:rPr>
          <w:b/>
          <w:i/>
          <w:sz w:val="23"/>
        </w:rPr>
      </w:pPr>
    </w:p>
    <w:p>
      <w:pPr>
        <w:pStyle w:val="BodyText"/>
        <w:spacing w:line="360" w:lineRule="auto"/>
        <w:ind w:left="259" w:right="235" w:firstLine="283"/>
        <w:jc w:val="both"/>
      </w:pPr>
      <w:r>
        <w:rPr/>
        <w:t>Este experimento se llevó a cabo para estudiar el efecto de mezcla (semilla de canola o harina de cártamo: semillas de sorgo en las diferentes proporciones de 0: 100; 25:75; 50:50; 75:25; 100: 0, respectivamente) y el rastrojo de maíz (que fueron puestos en una pequeña bolsa) con la cantidad de 0.5 g: 0.5 g, sobre la cinética de la producción de gas, la producción de CH4, además se determinó el rendimiento de fermentación de </w:t>
      </w:r>
      <w:r>
        <w:rPr>
          <w:i/>
        </w:rPr>
        <w:t>in vitro </w:t>
      </w:r>
      <w:r>
        <w:rPr/>
        <w:t>(NH3-N, el pH y la DIVMS de rastrojo de</w:t>
      </w:r>
      <w:r>
        <w:rPr>
          <w:spacing w:val="-24"/>
        </w:rPr>
        <w:t> </w:t>
      </w:r>
      <w:r>
        <w:rPr/>
        <w:t>maíz).</w:t>
      </w:r>
    </w:p>
    <w:p>
      <w:pPr>
        <w:pStyle w:val="BodyText"/>
        <w:spacing w:before="2"/>
      </w:pPr>
    </w:p>
    <w:p>
      <w:pPr>
        <w:pStyle w:val="ListParagraph"/>
        <w:numPr>
          <w:ilvl w:val="2"/>
          <w:numId w:val="8"/>
        </w:numPr>
        <w:tabs>
          <w:tab w:pos="1120" w:val="left" w:leader="none"/>
        </w:tabs>
        <w:spacing w:line="240" w:lineRule="auto" w:before="0" w:after="0"/>
        <w:ind w:left="1119" w:right="0" w:hanging="576"/>
        <w:jc w:val="left"/>
        <w:rPr>
          <w:i/>
          <w:sz w:val="24"/>
        </w:rPr>
      </w:pPr>
      <w:r>
        <w:rPr>
          <w:i/>
          <w:sz w:val="24"/>
        </w:rPr>
        <w:t>Animales donantes y sustratos</w:t>
      </w:r>
      <w:r>
        <w:rPr>
          <w:i/>
          <w:spacing w:val="-26"/>
          <w:sz w:val="24"/>
        </w:rPr>
        <w:t> </w:t>
      </w:r>
      <w:r>
        <w:rPr>
          <w:i/>
          <w:sz w:val="24"/>
        </w:rPr>
        <w:t>materiales</w:t>
      </w:r>
    </w:p>
    <w:p>
      <w:pPr>
        <w:pStyle w:val="BodyText"/>
        <w:spacing w:before="4"/>
        <w:rPr>
          <w:i/>
          <w:sz w:val="35"/>
        </w:rPr>
      </w:pPr>
    </w:p>
    <w:p>
      <w:pPr>
        <w:pStyle w:val="BodyText"/>
        <w:spacing w:line="360" w:lineRule="auto"/>
        <w:ind w:left="259" w:right="239" w:firstLine="283"/>
        <w:jc w:val="both"/>
      </w:pPr>
      <w:r>
        <w:rPr/>
        <w:t>Se utilizaron cuatro adultos machos ovinos de la raza Pelibuey con fistula ruminal (peso corporal, 45 ± 5.0 kg) los cuales fueron utilizados como donantes de inóculo según la norma oficial mexicana (NOM-220-SSA1-2002). Cada ovino se mantuvo de forma individual y con libre acceso al agua, y una alimentación a base de 1.0 kg de forraje con 0.5 kg de rastrojo de maíz achicalado. Los ingredientes del forraje que se proporcionó fueron 64.2% de sorgo, 19.3% heno de alfalfa, 4.6% de harina de canola, 2.9% de aceite de canola, 5.0% rastrojo de maíz, 2.0% de melaza, 1.0% de sebo purificado, y 1.0% de urea, con una composición declarada de 87% de materia seca, proteína bruta 13.9%, 12.1 MJ / kg energía total, 5.3% de grasa cruda, 0.54% de calcio, 9.5% de fibra detergente ácido, y el 21.4% de fibra detergente neutro. Los sustratos (harina de cártamo, sorgo, semillas de canola y el rastrojo de maíz (500 g en cada uno)) se obtuvieron de la planta del Instituto Nacional de Investigaciones Forestales, Agrícolas y Pecuarias (CENID-INIFAP), México.</w:t>
      </w:r>
    </w:p>
    <w:p>
      <w:pPr>
        <w:spacing w:after="0" w:line="360" w:lineRule="auto"/>
        <w:jc w:val="both"/>
        <w:sectPr>
          <w:pgSz w:w="12240" w:h="15840"/>
          <w:pgMar w:header="684" w:footer="1164" w:top="1380" w:bottom="1380" w:left="1440" w:right="1460"/>
        </w:sectPr>
      </w:pPr>
    </w:p>
    <w:p>
      <w:pPr>
        <w:pStyle w:val="BodyText"/>
        <w:rPr>
          <w:sz w:val="16"/>
        </w:rPr>
      </w:pPr>
    </w:p>
    <w:p>
      <w:pPr>
        <w:pStyle w:val="ListParagraph"/>
        <w:numPr>
          <w:ilvl w:val="0"/>
          <w:numId w:val="8"/>
        </w:numPr>
        <w:tabs>
          <w:tab w:pos="717" w:val="left" w:leader="none"/>
        </w:tabs>
        <w:spacing w:line="240" w:lineRule="auto" w:before="66" w:after="0"/>
        <w:ind w:left="716" w:right="0" w:hanging="173"/>
        <w:jc w:val="left"/>
        <w:rPr>
          <w:i/>
          <w:sz w:val="24"/>
        </w:rPr>
      </w:pPr>
      <w:r>
        <w:rPr>
          <w:i/>
          <w:sz w:val="24"/>
        </w:rPr>
        <w:t>Fermentación ruminal in</w:t>
      </w:r>
      <w:r>
        <w:rPr>
          <w:i/>
          <w:spacing w:val="-14"/>
          <w:sz w:val="24"/>
        </w:rPr>
        <w:t> </w:t>
      </w:r>
      <w:r>
        <w:rPr>
          <w:i/>
          <w:sz w:val="24"/>
        </w:rPr>
        <w:t>vitro</w:t>
      </w:r>
    </w:p>
    <w:p>
      <w:pPr>
        <w:pStyle w:val="BodyText"/>
        <w:spacing w:before="4"/>
        <w:rPr>
          <w:i/>
          <w:sz w:val="35"/>
        </w:rPr>
      </w:pPr>
    </w:p>
    <w:p>
      <w:pPr>
        <w:pStyle w:val="BodyText"/>
        <w:spacing w:line="360" w:lineRule="auto" w:before="1"/>
        <w:ind w:left="259" w:right="237" w:firstLine="283"/>
        <w:jc w:val="both"/>
      </w:pPr>
      <w:r>
        <w:rPr/>
        <w:t>En la fermentación in vitro se llevó a cabo según la descripción de Tang et al., (2008). En 0700 am antes de la alimentación, el total de 600 ml de líquido </w:t>
      </w:r>
      <w:r>
        <w:rPr>
          <w:spacing w:val="3"/>
        </w:rPr>
        <w:t>rumen </w:t>
      </w:r>
      <w:r>
        <w:rPr/>
        <w:t>de ovejas Pelibuey cuatro adulto macho se obtuvieron, se mezcla y filtrar a través de cuatro capas de tela de queso en un matraz Erlenmeyer lleno de CO2. Las soluciones  de fermentación in vitro se prepararon mezclando mediante la mezcla de las ovejas fluido ruminal libre de partículas con una solución de tampón de saliva artificial (Menke y Steingass, 1988) en una proporción de 1: 4 (v / v) a 39 ºC bajo lavado continuo con CO2 durante 30</w:t>
      </w:r>
      <w:r>
        <w:rPr>
          <w:spacing w:val="-3"/>
        </w:rPr>
        <w:t> </w:t>
      </w:r>
      <w:r>
        <w:rPr/>
        <w:t>min.</w:t>
      </w:r>
    </w:p>
    <w:p>
      <w:pPr>
        <w:pStyle w:val="BodyText"/>
        <w:spacing w:before="4"/>
        <w:rPr>
          <w:sz w:val="23"/>
        </w:rPr>
      </w:pPr>
    </w:p>
    <w:p>
      <w:pPr>
        <w:pStyle w:val="BodyText"/>
        <w:spacing w:line="360" w:lineRule="auto" w:before="1"/>
        <w:ind w:left="259" w:right="239" w:firstLine="283"/>
        <w:jc w:val="both"/>
      </w:pPr>
      <w:r>
        <w:rPr/>
        <w:t>Sustratos (0,5 g paja de maíz con 0,5 g mezcla de cártamo comida (SFM) o semilla de canola (CAS) con semilla de sorgo en diferentes proporciones de 0: 100, 25:75, 50:50, 75:25, 100: 0) fueron incubadas con 100 solución tampón rumen ml a 39 ºC en 4 repeticiones de cada 72 h, para determinar la cinética de producción de gas con el equipo de determinación de gas ANKOM (ANKOM Technology Corp., Fairport, Nueva York, EE.UU.).</w:t>
      </w:r>
    </w:p>
    <w:p>
      <w:pPr>
        <w:pStyle w:val="BodyText"/>
        <w:spacing w:before="4"/>
        <w:rPr>
          <w:sz w:val="23"/>
        </w:rPr>
      </w:pPr>
    </w:p>
    <w:p>
      <w:pPr>
        <w:pStyle w:val="BodyText"/>
        <w:spacing w:line="360" w:lineRule="auto"/>
        <w:ind w:left="259" w:right="236" w:firstLine="283"/>
        <w:jc w:val="both"/>
      </w:pPr>
      <w:r>
        <w:rPr/>
        <w:t>Otros lotes de fermentación in vitro se llevó a cabo para determinar el pH, la concentración de NH3-N y DIVMS de rastrojo de maíz. Soluciones de fermentación (50 ml) se añadieron en las botellas pre-calentado con la mezcla de 0,5 g y 0,5 g rastrojo  de maíz que fueron ponderados previamente en una bolsa </w:t>
      </w:r>
      <w:r>
        <w:rPr>
          <w:spacing w:val="2"/>
        </w:rPr>
        <w:t>de </w:t>
      </w:r>
      <w:r>
        <w:rPr/>
        <w:t>nylon (tamaño de poro, 52 m; área de superficie específica, 44 cm2 / g) fue poco más alto que </w:t>
      </w:r>
      <w:r>
        <w:rPr>
          <w:spacing w:val="2"/>
        </w:rPr>
        <w:t>informe  </w:t>
      </w:r>
      <w:r>
        <w:rPr/>
        <w:t>anterior (Valentin et al., 1999) con 33 cm2 / g. Las botellas fueron sellados con tapones de goma y tornillos de tapones y se incubaron a 39 ºC en un oscilador de baño de agua a temperatura constante durante 24 h y 48 h en 3 repeticiones de cada tratamiento. Los volúmenes de gas se midieron y muestras de gas se obtuvieron de cada botella después de 24 hy 48 h de incubación a 25 ºC. La fermentación se termina haciendo girar las botellas en hielo, sin tope salarial, y luego para determinar el valor de pH de inmediato, sacó la bolsa de nylon se lava con agua desionizada durante 4 veces hasta que el agua estaba limpia. Mientras tanto, 1 ml de líquido de</w:t>
      </w:r>
      <w:r>
        <w:rPr>
          <w:spacing w:val="33"/>
        </w:rPr>
        <w:t> </w:t>
      </w:r>
      <w:r>
        <w:rPr/>
        <w:t>fermentación</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4" w:lineRule="auto" w:before="66"/>
        <w:ind w:left="259"/>
      </w:pPr>
      <w:r>
        <w:rPr/>
        <w:t>se mezcla con 0,25 ml de ácido Meta-fosfórico (25%; w / v) se almacenaron en -20 ºC para la determinación de la concentración de NH3-N.</w:t>
      </w:r>
    </w:p>
    <w:p>
      <w:pPr>
        <w:pStyle w:val="BodyText"/>
        <w:spacing w:before="4"/>
        <w:rPr>
          <w:sz w:val="23"/>
        </w:rPr>
      </w:pPr>
    </w:p>
    <w:p>
      <w:pPr>
        <w:pStyle w:val="ListParagraph"/>
        <w:numPr>
          <w:ilvl w:val="1"/>
          <w:numId w:val="9"/>
        </w:numPr>
        <w:tabs>
          <w:tab w:pos="894" w:val="left" w:leader="none"/>
        </w:tabs>
        <w:spacing w:line="240" w:lineRule="auto" w:before="0" w:after="0"/>
        <w:ind w:left="893" w:right="0" w:hanging="350"/>
        <w:jc w:val="left"/>
        <w:rPr>
          <w:i/>
          <w:sz w:val="24"/>
        </w:rPr>
      </w:pPr>
      <w:r>
        <w:rPr>
          <w:i/>
          <w:sz w:val="24"/>
        </w:rPr>
        <w:t>Análisis</w:t>
      </w:r>
      <w:r>
        <w:rPr>
          <w:i/>
          <w:spacing w:val="-1"/>
          <w:sz w:val="24"/>
        </w:rPr>
        <w:t> </w:t>
      </w:r>
      <w:r>
        <w:rPr>
          <w:i/>
          <w:sz w:val="24"/>
        </w:rPr>
        <w:t>químico</w:t>
      </w:r>
    </w:p>
    <w:p>
      <w:pPr>
        <w:pStyle w:val="BodyText"/>
        <w:spacing w:before="9"/>
        <w:rPr>
          <w:i/>
          <w:sz w:val="35"/>
        </w:rPr>
      </w:pPr>
    </w:p>
    <w:p>
      <w:pPr>
        <w:pStyle w:val="BodyText"/>
        <w:spacing w:line="360" w:lineRule="auto"/>
        <w:ind w:left="259" w:right="238" w:firstLine="283"/>
        <w:jc w:val="both"/>
      </w:pPr>
      <w:r>
        <w:rPr/>
        <w:t>Muestras de alimento fueron analizados mediante los métodos estándar de la AOAC (Cunniff, 1995) para DM (No. 967.03), proteína cruda (N ° 984.13) y el extracto de  éter (No. 954.02), contenido de cenizas (No. 942.05), la energía total y el se expresan inclusive de la ceniza residual. Concentración de NH3-N de líquido de incubación a 24 hy 48 h se determinó con fenol-hipoclorito y ninhidrina procedimientos colorimétricos descritos por Broderick y Kang (1980). La concentración de metano de las muestras de gas se determina mediante cromatografía de gases con columna de HP-SOLAR / Q (longitud 30 m; Identificación 0.530 mm; PELÍCULA: 40 micrómetros; gato, No.</w:t>
      </w:r>
      <w:r>
        <w:rPr>
          <w:spacing w:val="-4"/>
        </w:rPr>
        <w:t> </w:t>
      </w:r>
      <w:r>
        <w:rPr/>
        <w:t>19095P-QO4).</w:t>
      </w:r>
    </w:p>
    <w:p>
      <w:pPr>
        <w:pStyle w:val="BodyText"/>
        <w:spacing w:before="9"/>
        <w:rPr>
          <w:sz w:val="23"/>
        </w:rPr>
      </w:pPr>
    </w:p>
    <w:p>
      <w:pPr>
        <w:pStyle w:val="ListParagraph"/>
        <w:numPr>
          <w:ilvl w:val="1"/>
          <w:numId w:val="9"/>
        </w:numPr>
        <w:tabs>
          <w:tab w:pos="894" w:val="left" w:leader="none"/>
        </w:tabs>
        <w:spacing w:line="240" w:lineRule="auto" w:before="0" w:after="0"/>
        <w:ind w:left="893" w:right="0" w:hanging="350"/>
        <w:jc w:val="left"/>
        <w:rPr>
          <w:i/>
          <w:sz w:val="24"/>
        </w:rPr>
      </w:pPr>
      <w:r>
        <w:rPr>
          <w:i/>
          <w:sz w:val="24"/>
        </w:rPr>
        <w:t>Cálculos y Análisis de</w:t>
      </w:r>
      <w:r>
        <w:rPr>
          <w:i/>
          <w:spacing w:val="-10"/>
          <w:sz w:val="24"/>
        </w:rPr>
        <w:t> </w:t>
      </w:r>
      <w:r>
        <w:rPr>
          <w:i/>
          <w:sz w:val="24"/>
        </w:rPr>
        <w:t>datos</w:t>
      </w:r>
    </w:p>
    <w:p>
      <w:pPr>
        <w:pStyle w:val="BodyText"/>
        <w:spacing w:before="9"/>
        <w:rPr>
          <w:i/>
          <w:sz w:val="35"/>
        </w:rPr>
      </w:pPr>
    </w:p>
    <w:p>
      <w:pPr>
        <w:pStyle w:val="BodyText"/>
        <w:spacing w:line="360" w:lineRule="auto"/>
        <w:ind w:left="259" w:right="240" w:firstLine="283"/>
        <w:jc w:val="both"/>
      </w:pPr>
      <w:r>
        <w:rPr/>
        <w:t>En las curvas de gas in vitro fueron equipados con el modelo logístico-Exponencial (LE0) utilizando NLREG Versión 5.0 (Sherrod PH, 1995), El modelo LE0 descrito por Wang et al, (2011; 2013) fue descrito de la siguiente ecuación:</w:t>
      </w:r>
    </w:p>
    <w:p>
      <w:pPr>
        <w:pStyle w:val="BodyText"/>
        <w:spacing w:before="6"/>
        <w:rPr>
          <w:sz w:val="16"/>
        </w:rPr>
      </w:pPr>
    </w:p>
    <w:p>
      <w:pPr>
        <w:spacing w:after="0"/>
        <w:rPr>
          <w:sz w:val="16"/>
        </w:rPr>
        <w:sectPr>
          <w:pgSz w:w="12240" w:h="15840"/>
          <w:pgMar w:header="684" w:footer="1164" w:top="1380" w:bottom="1380" w:left="1440" w:right="1460"/>
        </w:sectPr>
      </w:pPr>
    </w:p>
    <w:p>
      <w:pPr>
        <w:spacing w:before="196"/>
        <w:ind w:left="0" w:right="0" w:firstLine="0"/>
        <w:jc w:val="right"/>
        <w:rPr>
          <w:rFonts w:ascii="Symbol" w:hAnsi="Symbol"/>
          <w:sz w:val="21"/>
        </w:rPr>
      </w:pPr>
      <w:r>
        <w:rPr>
          <w:rFonts w:ascii="Times New Roman" w:hAnsi="Times New Roman"/>
          <w:w w:val="105"/>
          <w:sz w:val="21"/>
        </w:rPr>
        <w:t>V = V</w:t>
      </w:r>
      <w:r>
        <w:rPr>
          <w:rFonts w:ascii="Times New Roman" w:hAnsi="Times New Roman"/>
          <w:w w:val="105"/>
          <w:position w:val="-4"/>
          <w:sz w:val="12"/>
        </w:rPr>
        <w:t>F </w:t>
      </w:r>
      <w:r>
        <w:rPr>
          <w:rFonts w:ascii="Symbol" w:hAnsi="Symbol"/>
          <w:w w:val="105"/>
          <w:sz w:val="21"/>
        </w:rPr>
        <w:t></w:t>
      </w:r>
    </w:p>
    <w:p>
      <w:pPr>
        <w:spacing w:before="61"/>
        <w:ind w:left="33" w:right="51" w:firstLine="0"/>
        <w:jc w:val="center"/>
        <w:rPr>
          <w:rFonts w:ascii="Times New Roman" w:hAnsi="Times New Roman"/>
          <w:sz w:val="21"/>
        </w:rPr>
      </w:pPr>
      <w:r>
        <w:rPr/>
        <w:br w:type="column"/>
      </w:r>
      <w:r>
        <w:rPr>
          <w:rFonts w:ascii="Times New Roman" w:hAnsi="Times New Roman"/>
          <w:w w:val="105"/>
          <w:sz w:val="21"/>
        </w:rPr>
        <w:t>1- exp(-</w:t>
      </w:r>
      <w:r>
        <w:rPr>
          <w:rFonts w:ascii="Symbol" w:hAnsi="Symbol"/>
          <w:i/>
          <w:w w:val="105"/>
          <w:sz w:val="22"/>
        </w:rPr>
        <w:t></w:t>
      </w:r>
      <w:r>
        <w:rPr>
          <w:rFonts w:ascii="Times New Roman" w:hAnsi="Times New Roman"/>
          <w:w w:val="105"/>
          <w:sz w:val="21"/>
        </w:rPr>
        <w:t>t)</w:t>
      </w:r>
    </w:p>
    <w:p>
      <w:pPr>
        <w:spacing w:before="12"/>
        <w:ind w:left="-21" w:right="0" w:firstLine="0"/>
        <w:jc w:val="center"/>
        <w:rPr>
          <w:rFonts w:ascii="Times New Roman" w:hAnsi="Times New Roman"/>
          <w:sz w:val="21"/>
        </w:rPr>
      </w:pPr>
      <w:r>
        <w:rPr/>
        <w:pict>
          <v:line style="position:absolute;mso-position-horizontal-relative:page;mso-position-vertical-relative:paragraph;z-index:-330376" from="285.204468pt,1.597723pt" to="341.258336pt,1.597735pt" stroked="true" strokeweight=".117611pt" strokecolor="#000000">
            <w10:wrap type="none"/>
          </v:line>
        </w:pict>
      </w:r>
      <w:r>
        <w:rPr>
          <w:rFonts w:ascii="Times New Roman" w:hAnsi="Times New Roman"/>
          <w:spacing w:val="6"/>
          <w:w w:val="105"/>
          <w:sz w:val="21"/>
        </w:rPr>
        <w:t>1+</w:t>
      </w:r>
      <w:r>
        <w:rPr>
          <w:rFonts w:ascii="Times New Roman" w:hAnsi="Times New Roman"/>
          <w:spacing w:val="-45"/>
          <w:w w:val="105"/>
          <w:sz w:val="21"/>
        </w:rPr>
        <w:t> </w:t>
      </w:r>
      <w:r>
        <w:rPr>
          <w:rFonts w:ascii="Times New Roman" w:hAnsi="Times New Roman"/>
          <w:spacing w:val="-5"/>
          <w:w w:val="105"/>
          <w:sz w:val="21"/>
        </w:rPr>
        <w:t>exp(b </w:t>
      </w:r>
      <w:r>
        <w:rPr>
          <w:rFonts w:ascii="Times New Roman" w:hAnsi="Times New Roman"/>
          <w:spacing w:val="-3"/>
          <w:w w:val="105"/>
          <w:sz w:val="21"/>
        </w:rPr>
        <w:t>-</w:t>
      </w:r>
      <w:r>
        <w:rPr>
          <w:rFonts w:ascii="Symbol" w:hAnsi="Symbol"/>
          <w:i/>
          <w:spacing w:val="-3"/>
          <w:w w:val="105"/>
          <w:sz w:val="22"/>
        </w:rPr>
        <w:t></w:t>
      </w:r>
      <w:r>
        <w:rPr>
          <w:rFonts w:ascii="Times New Roman" w:hAnsi="Times New Roman"/>
          <w:spacing w:val="-3"/>
          <w:w w:val="105"/>
          <w:sz w:val="21"/>
        </w:rPr>
        <w:t>t)</w:t>
      </w:r>
    </w:p>
    <w:p>
      <w:pPr>
        <w:spacing w:before="136"/>
        <w:ind w:left="511" w:right="0" w:firstLine="0"/>
        <w:jc w:val="left"/>
        <w:rPr>
          <w:rFonts w:ascii="Symbol" w:hAnsi="Symbol"/>
          <w:sz w:val="27"/>
        </w:rPr>
      </w:pPr>
      <w:r>
        <w:rPr/>
        <w:br w:type="column"/>
      </w:r>
      <w:r>
        <w:rPr>
          <w:rFonts w:ascii="Symbol" w:hAnsi="Symbol"/>
          <w:sz w:val="27"/>
        </w:rPr>
        <w:t></w:t>
      </w:r>
      <w:r>
        <w:rPr>
          <w:rFonts w:ascii="Times New Roman" w:hAnsi="Times New Roman"/>
          <w:sz w:val="21"/>
        </w:rPr>
        <w:t>1</w:t>
      </w:r>
      <w:r>
        <w:rPr>
          <w:rFonts w:ascii="Symbol" w:hAnsi="Symbol"/>
          <w:sz w:val="27"/>
        </w:rPr>
        <w:t></w:t>
      </w:r>
    </w:p>
    <w:p>
      <w:pPr>
        <w:spacing w:after="0"/>
        <w:jc w:val="left"/>
        <w:rPr>
          <w:rFonts w:ascii="Symbol" w:hAnsi="Symbol"/>
          <w:sz w:val="27"/>
        </w:rPr>
        <w:sectPr>
          <w:type w:val="continuous"/>
          <w:pgSz w:w="12240" w:h="15840"/>
          <w:pgMar w:top="3080" w:bottom="2780" w:left="1440" w:right="1460"/>
          <w:cols w:num="3" w:equalWidth="0">
            <w:col w:w="4229" w:space="40"/>
            <w:col w:w="1091" w:space="40"/>
            <w:col w:w="3940"/>
          </w:cols>
        </w:sectPr>
      </w:pPr>
    </w:p>
    <w:p>
      <w:pPr>
        <w:pStyle w:val="BodyText"/>
        <w:rPr>
          <w:rFonts w:ascii="Symbol" w:hAnsi="Symbol"/>
          <w:sz w:val="20"/>
        </w:rPr>
      </w:pPr>
    </w:p>
    <w:p>
      <w:pPr>
        <w:pStyle w:val="BodyText"/>
        <w:spacing w:line="360" w:lineRule="auto" w:before="212"/>
        <w:ind w:left="259" w:right="249" w:firstLine="283"/>
        <w:jc w:val="both"/>
      </w:pPr>
      <w:r>
        <w:rPr/>
        <w:t>Donde V es la producción de gas asintótico final (ml / g) en el tiempo t punto, VF es el volumen de gas asintótico final con dimensión de "ml ', k es la tasa fraccional de la producción de gas con dimensión de' / h '; yb es parámetro de forma y sin dimensión.</w:t>
      </w:r>
    </w:p>
    <w:p>
      <w:pPr>
        <w:pStyle w:val="BodyText"/>
        <w:spacing w:before="9"/>
        <w:rPr>
          <w:sz w:val="23"/>
        </w:rPr>
      </w:pPr>
    </w:p>
    <w:p>
      <w:pPr>
        <w:pStyle w:val="BodyText"/>
        <w:spacing w:line="362" w:lineRule="auto"/>
        <w:ind w:left="259" w:right="253" w:firstLine="283"/>
        <w:jc w:val="both"/>
      </w:pPr>
      <w:r>
        <w:rPr/>
        <w:t>Tasa fraccional de degradación inicial (FRD0), tasa de producción de gas (RGT), medio tiempo (t0,5) y la tasa fraccional de la producción de gas en la vida media  (μ0.5) propuesto por Wang et al, (2013) como.</w:t>
      </w:r>
      <w:r>
        <w:rPr>
          <w:spacing w:val="-24"/>
        </w:rPr>
        <w:t> </w:t>
      </w:r>
      <w:r>
        <w:rPr/>
        <w:t>siguiente:</w:t>
      </w:r>
    </w:p>
    <w:p>
      <w:pPr>
        <w:spacing w:after="0" w:line="362" w:lineRule="auto"/>
        <w:jc w:val="both"/>
        <w:sectPr>
          <w:type w:val="continuous"/>
          <w:pgSz w:w="12240" w:h="15840"/>
          <w:pgMar w:top="3080" w:bottom="2780" w:left="1440" w:right="1460"/>
        </w:sectPr>
      </w:pPr>
    </w:p>
    <w:p>
      <w:pPr>
        <w:pStyle w:val="BodyText"/>
        <w:spacing w:before="3"/>
        <w:rPr>
          <w:sz w:val="14"/>
        </w:rPr>
      </w:pPr>
    </w:p>
    <w:p>
      <w:pPr>
        <w:spacing w:after="0"/>
        <w:rPr>
          <w:sz w:val="14"/>
        </w:rPr>
        <w:sectPr>
          <w:pgSz w:w="12240" w:h="15840"/>
          <w:pgMar w:header="684" w:footer="1164" w:top="1380" w:bottom="1380" w:left="1440" w:right="1460"/>
        </w:sectPr>
      </w:pPr>
    </w:p>
    <w:p>
      <w:pPr>
        <w:spacing w:before="211"/>
        <w:ind w:left="0" w:right="0" w:firstLine="0"/>
        <w:jc w:val="right"/>
        <w:rPr>
          <w:rFonts w:ascii="Times New Roman"/>
          <w:sz w:val="21"/>
        </w:rPr>
      </w:pPr>
      <w:r>
        <w:rPr>
          <w:rFonts w:ascii="Times New Roman"/>
          <w:w w:val="105"/>
          <w:sz w:val="21"/>
        </w:rPr>
        <w:t>FRD</w:t>
      </w:r>
      <w:r>
        <w:rPr>
          <w:rFonts w:ascii="Times New Roman"/>
          <w:w w:val="105"/>
          <w:position w:val="-4"/>
          <w:sz w:val="12"/>
        </w:rPr>
        <w:t>0  </w:t>
      </w:r>
      <w:r>
        <w:rPr>
          <w:rFonts w:ascii="Times New Roman"/>
          <w:w w:val="105"/>
          <w:sz w:val="21"/>
        </w:rPr>
        <w:t>=</w:t>
      </w:r>
    </w:p>
    <w:p>
      <w:pPr>
        <w:spacing w:before="61"/>
        <w:ind w:left="1" w:right="0" w:firstLine="0"/>
        <w:jc w:val="center"/>
        <w:rPr>
          <w:rFonts w:ascii="Symbol" w:hAnsi="Symbol"/>
          <w:i/>
          <w:sz w:val="22"/>
        </w:rPr>
      </w:pPr>
      <w:r>
        <w:rPr/>
        <w:br w:type="column"/>
      </w:r>
      <w:r>
        <w:rPr>
          <w:rFonts w:ascii="Symbol" w:hAnsi="Symbol"/>
          <w:i/>
          <w:sz w:val="22"/>
        </w:rPr>
        <w:t></w:t>
      </w:r>
    </w:p>
    <w:p>
      <w:pPr>
        <w:spacing w:before="37"/>
        <w:ind w:left="9" w:right="0" w:firstLine="0"/>
        <w:jc w:val="center"/>
        <w:rPr>
          <w:rFonts w:ascii="Times New Roman"/>
          <w:sz w:val="21"/>
        </w:rPr>
      </w:pPr>
      <w:r>
        <w:rPr/>
        <w:pict>
          <v:line style="position:absolute;mso-position-horizontal-relative:page;mso-position-vertical-relative:paragraph;z-index:1912" from="284.67041pt,1.591385pt" to="326.009685pt,1.591404pt" stroked="true" strokeweight=".117611pt" strokecolor="#000000">
            <w10:wrap type="none"/>
          </v:line>
        </w:pict>
      </w:r>
      <w:r>
        <w:rPr>
          <w:rFonts w:ascii="Times New Roman"/>
          <w:spacing w:val="6"/>
          <w:w w:val="105"/>
          <w:sz w:val="21"/>
        </w:rPr>
        <w:t>1+</w:t>
      </w:r>
      <w:r>
        <w:rPr>
          <w:rFonts w:ascii="Times New Roman"/>
          <w:spacing w:val="-30"/>
          <w:w w:val="105"/>
          <w:sz w:val="21"/>
        </w:rPr>
        <w:t> </w:t>
      </w:r>
      <w:r>
        <w:rPr>
          <w:rFonts w:ascii="Times New Roman"/>
          <w:spacing w:val="-5"/>
          <w:w w:val="105"/>
          <w:sz w:val="21"/>
        </w:rPr>
        <w:t>exp(b)</w:t>
      </w:r>
    </w:p>
    <w:p>
      <w:pPr>
        <w:spacing w:before="136"/>
        <w:ind w:left="502" w:right="0" w:firstLine="0"/>
        <w:jc w:val="left"/>
        <w:rPr>
          <w:rFonts w:ascii="Symbol" w:hAnsi="Symbol"/>
          <w:sz w:val="27"/>
        </w:rPr>
      </w:pPr>
      <w:r>
        <w:rPr/>
        <w:br w:type="column"/>
      </w:r>
      <w:r>
        <w:rPr>
          <w:rFonts w:ascii="Symbol" w:hAnsi="Symbol"/>
          <w:sz w:val="27"/>
        </w:rPr>
        <w:t></w:t>
      </w:r>
      <w:r>
        <w:rPr>
          <w:rFonts w:ascii="Times New Roman" w:hAnsi="Times New Roman"/>
          <w:sz w:val="21"/>
        </w:rPr>
        <w:t>2</w:t>
      </w:r>
      <w:r>
        <w:rPr>
          <w:rFonts w:ascii="Symbol" w:hAnsi="Symbol"/>
          <w:sz w:val="27"/>
        </w:rPr>
        <w:t></w:t>
      </w:r>
    </w:p>
    <w:p>
      <w:pPr>
        <w:spacing w:after="0"/>
        <w:jc w:val="left"/>
        <w:rPr>
          <w:rFonts w:ascii="Symbol" w:hAnsi="Symbol"/>
          <w:sz w:val="27"/>
        </w:rPr>
        <w:sectPr>
          <w:type w:val="continuous"/>
          <w:pgSz w:w="12240" w:h="15840"/>
          <w:pgMar w:top="3080" w:bottom="2780" w:left="1440" w:right="1460"/>
          <w:cols w:num="3" w:equalWidth="0">
            <w:col w:w="4189" w:space="40"/>
            <w:col w:w="833" w:space="40"/>
            <w:col w:w="4238"/>
          </w:cols>
        </w:sectPr>
      </w:pPr>
    </w:p>
    <w:p>
      <w:pPr>
        <w:pStyle w:val="BodyText"/>
        <w:spacing w:before="10"/>
        <w:rPr>
          <w:rFonts w:ascii="Symbol" w:hAnsi="Symbol"/>
          <w:sz w:val="26"/>
        </w:rPr>
      </w:pPr>
    </w:p>
    <w:p>
      <w:pPr>
        <w:spacing w:after="0"/>
        <w:rPr>
          <w:rFonts w:ascii="Symbol" w:hAnsi="Symbol"/>
          <w:sz w:val="26"/>
        </w:rPr>
        <w:sectPr>
          <w:type w:val="continuous"/>
          <w:pgSz w:w="12240" w:h="15840"/>
          <w:pgMar w:top="3080" w:bottom="2780" w:left="1440" w:right="1460"/>
        </w:sectPr>
      </w:pPr>
    </w:p>
    <w:p>
      <w:pPr>
        <w:spacing w:line="348" w:lineRule="exact" w:before="48"/>
        <w:ind w:left="2852" w:right="-9" w:firstLine="0"/>
        <w:jc w:val="left"/>
        <w:rPr>
          <w:rFonts w:ascii="Symbol" w:hAnsi="Symbol"/>
          <w:sz w:val="28"/>
        </w:rPr>
      </w:pPr>
      <w:r>
        <w:rPr>
          <w:rFonts w:ascii="Times New Roman" w:hAnsi="Times New Roman"/>
          <w:spacing w:val="-8"/>
          <w:position w:val="-12"/>
          <w:sz w:val="21"/>
        </w:rPr>
        <w:t>RG   </w:t>
      </w:r>
      <w:r>
        <w:rPr>
          <w:rFonts w:ascii="Times New Roman" w:hAnsi="Times New Roman"/>
          <w:position w:val="-12"/>
          <w:sz w:val="21"/>
        </w:rPr>
        <w:t>= V </w:t>
      </w:r>
      <w:r>
        <w:rPr>
          <w:rFonts w:ascii="Symbol" w:hAnsi="Symbol"/>
          <w:spacing w:val="5"/>
          <w:position w:val="-12"/>
          <w:sz w:val="21"/>
        </w:rPr>
        <w:t></w:t>
      </w:r>
      <w:r>
        <w:rPr>
          <w:rFonts w:ascii="Symbol" w:hAnsi="Symbol"/>
          <w:i/>
          <w:spacing w:val="5"/>
          <w:position w:val="-12"/>
          <w:sz w:val="22"/>
        </w:rPr>
        <w:t></w:t>
      </w:r>
      <w:r>
        <w:rPr>
          <w:rFonts w:ascii="Times New Roman" w:hAnsi="Times New Roman"/>
          <w:i/>
          <w:spacing w:val="5"/>
          <w:position w:val="-12"/>
          <w:sz w:val="22"/>
        </w:rPr>
        <w:t> </w:t>
      </w:r>
      <w:r>
        <w:rPr>
          <w:rFonts w:ascii="Symbol" w:hAnsi="Symbol"/>
          <w:spacing w:val="-7"/>
          <w:sz w:val="28"/>
          <w:u w:val="single"/>
        </w:rPr>
        <w:t></w:t>
      </w:r>
      <w:r>
        <w:rPr>
          <w:rFonts w:ascii="Times New Roman" w:hAnsi="Times New Roman"/>
          <w:spacing w:val="-7"/>
          <w:sz w:val="21"/>
          <w:u w:val="single"/>
        </w:rPr>
        <w:t>1</w:t>
      </w:r>
      <w:r>
        <w:rPr>
          <w:rFonts w:ascii="Symbol" w:hAnsi="Symbol"/>
          <w:spacing w:val="-7"/>
          <w:sz w:val="21"/>
          <w:u w:val="single"/>
        </w:rPr>
        <w:t></w:t>
      </w:r>
      <w:r>
        <w:rPr>
          <w:rFonts w:ascii="Times New Roman" w:hAnsi="Times New Roman"/>
          <w:sz w:val="21"/>
          <w:u w:val="single"/>
        </w:rPr>
        <w:t> exp</w:t>
      </w:r>
      <w:r>
        <w:rPr>
          <w:rFonts w:ascii="Symbol" w:hAnsi="Symbol"/>
          <w:sz w:val="28"/>
          <w:u w:val="single"/>
        </w:rPr>
        <w:t></w:t>
      </w:r>
      <w:r>
        <w:rPr>
          <w:rFonts w:ascii="Times New Roman" w:hAnsi="Times New Roman"/>
          <w:i/>
          <w:sz w:val="21"/>
          <w:u w:val="single"/>
        </w:rPr>
        <w:t>b</w:t>
      </w:r>
      <w:r>
        <w:rPr>
          <w:rFonts w:ascii="Symbol" w:hAnsi="Symbol"/>
          <w:sz w:val="28"/>
          <w:u w:val="single"/>
        </w:rPr>
        <w:t></w:t>
      </w:r>
      <w:r>
        <w:rPr>
          <w:rFonts w:ascii="Symbol" w:hAnsi="Symbol"/>
          <w:sz w:val="21"/>
          <w:u w:val="single"/>
        </w:rPr>
        <w:t></w:t>
      </w:r>
      <w:r>
        <w:rPr>
          <w:rFonts w:ascii="Times New Roman" w:hAnsi="Times New Roman"/>
          <w:sz w:val="21"/>
          <w:u w:val="single"/>
        </w:rPr>
        <w:t>exp</w:t>
      </w:r>
      <w:r>
        <w:rPr>
          <w:rFonts w:ascii="Symbol" w:hAnsi="Symbol"/>
          <w:sz w:val="28"/>
          <w:u w:val="single"/>
        </w:rPr>
        <w:t></w:t>
      </w:r>
      <w:r>
        <w:rPr>
          <w:rFonts w:ascii="Symbol" w:hAnsi="Symbol"/>
          <w:sz w:val="21"/>
          <w:u w:val="single"/>
        </w:rPr>
        <w:t></w:t>
      </w:r>
      <w:r>
        <w:rPr>
          <w:rFonts w:ascii="Symbol" w:hAnsi="Symbol"/>
          <w:i/>
          <w:sz w:val="22"/>
          <w:u w:val="single"/>
        </w:rPr>
        <w:t></w:t>
      </w:r>
      <w:r>
        <w:rPr>
          <w:rFonts w:ascii="Times New Roman" w:hAnsi="Times New Roman"/>
          <w:i/>
          <w:sz w:val="21"/>
          <w:u w:val="single"/>
        </w:rPr>
        <w:t>t</w:t>
      </w:r>
      <w:r>
        <w:rPr>
          <w:rFonts w:ascii="Symbol" w:hAnsi="Symbol"/>
          <w:sz w:val="28"/>
          <w:u w:val="single"/>
        </w:rPr>
        <w:t></w:t>
      </w:r>
    </w:p>
    <w:p>
      <w:pPr>
        <w:spacing w:line="221" w:lineRule="exact" w:before="175"/>
        <w:ind w:left="480" w:right="0" w:firstLine="0"/>
        <w:jc w:val="left"/>
        <w:rPr>
          <w:rFonts w:ascii="Symbol" w:hAnsi="Symbol"/>
          <w:sz w:val="28"/>
        </w:rPr>
      </w:pPr>
      <w:r>
        <w:rPr/>
        <w:br w:type="column"/>
      </w:r>
      <w:r>
        <w:rPr>
          <w:rFonts w:ascii="Symbol" w:hAnsi="Symbol"/>
          <w:sz w:val="28"/>
        </w:rPr>
        <w:t></w:t>
      </w:r>
      <w:r>
        <w:rPr>
          <w:rFonts w:ascii="Times New Roman" w:hAnsi="Times New Roman"/>
          <w:sz w:val="21"/>
        </w:rPr>
        <w:t>3</w:t>
      </w:r>
      <w:r>
        <w:rPr>
          <w:rFonts w:ascii="Symbol" w:hAnsi="Symbol"/>
          <w:sz w:val="28"/>
        </w:rPr>
        <w:t></w:t>
      </w:r>
    </w:p>
    <w:p>
      <w:pPr>
        <w:spacing w:after="0" w:line="221" w:lineRule="exact"/>
        <w:jc w:val="left"/>
        <w:rPr>
          <w:rFonts w:ascii="Symbol" w:hAnsi="Symbol"/>
          <w:sz w:val="28"/>
        </w:rPr>
        <w:sectPr>
          <w:type w:val="continuous"/>
          <w:pgSz w:w="12240" w:h="15840"/>
          <w:pgMar w:top="3080" w:bottom="2780" w:left="1440" w:right="1460"/>
          <w:cols w:num="2" w:equalWidth="0">
            <w:col w:w="5761" w:space="40"/>
            <w:col w:w="3539"/>
          </w:cols>
        </w:sectPr>
      </w:pPr>
    </w:p>
    <w:p>
      <w:pPr>
        <w:tabs>
          <w:tab w:pos="433" w:val="left" w:leader="none"/>
          <w:tab w:pos="1026" w:val="left" w:leader="none"/>
        </w:tabs>
        <w:spacing w:line="291" w:lineRule="exact" w:before="0"/>
        <w:ind w:left="0" w:right="678" w:firstLine="0"/>
        <w:jc w:val="center"/>
        <w:rPr>
          <w:rFonts w:ascii="Times New Roman" w:hAnsi="Times New Roman"/>
          <w:sz w:val="12"/>
        </w:rPr>
      </w:pPr>
      <w:r>
        <w:rPr>
          <w:rFonts w:ascii="Times New Roman" w:hAnsi="Times New Roman"/>
          <w:w w:val="109"/>
          <w:position w:val="12"/>
          <w:sz w:val="12"/>
        </w:rPr>
        <w:t>t</w:t>
      </w:r>
      <w:r>
        <w:rPr>
          <w:rFonts w:ascii="Times New Roman" w:hAnsi="Times New Roman"/>
          <w:position w:val="12"/>
          <w:sz w:val="12"/>
        </w:rPr>
        <w:tab/>
      </w:r>
      <w:r>
        <w:rPr>
          <w:rFonts w:ascii="Times New Roman" w:hAnsi="Times New Roman"/>
          <w:w w:val="109"/>
          <w:position w:val="12"/>
          <w:sz w:val="12"/>
        </w:rPr>
        <w:t>F</w:t>
      </w:r>
      <w:r>
        <w:rPr>
          <w:rFonts w:ascii="Times New Roman" w:hAnsi="Times New Roman"/>
          <w:position w:val="12"/>
          <w:sz w:val="12"/>
        </w:rPr>
        <w:tab/>
      </w:r>
      <w:r>
        <w:rPr>
          <w:rFonts w:ascii="Symbol" w:hAnsi="Symbol"/>
          <w:spacing w:val="-31"/>
          <w:w w:val="79"/>
          <w:sz w:val="28"/>
        </w:rPr>
        <w:t></w:t>
      </w:r>
      <w:r>
        <w:rPr>
          <w:rFonts w:ascii="Times New Roman" w:hAnsi="Times New Roman"/>
          <w:spacing w:val="9"/>
          <w:w w:val="107"/>
          <w:sz w:val="21"/>
        </w:rPr>
        <w:t>1</w:t>
      </w:r>
      <w:r>
        <w:rPr>
          <w:rFonts w:ascii="Times New Roman" w:hAnsi="Times New Roman"/>
          <w:w w:val="107"/>
          <w:sz w:val="21"/>
        </w:rPr>
        <w:t>+</w:t>
      </w:r>
      <w:r>
        <w:rPr>
          <w:rFonts w:ascii="Times New Roman" w:hAnsi="Times New Roman"/>
          <w:spacing w:val="-27"/>
          <w:sz w:val="21"/>
        </w:rPr>
        <w:t> </w:t>
      </w:r>
      <w:r>
        <w:rPr>
          <w:rFonts w:ascii="Times New Roman" w:hAnsi="Times New Roman"/>
          <w:spacing w:val="-5"/>
          <w:w w:val="107"/>
          <w:sz w:val="21"/>
        </w:rPr>
        <w:t>e</w:t>
      </w:r>
      <w:r>
        <w:rPr>
          <w:rFonts w:ascii="Times New Roman" w:hAnsi="Times New Roman"/>
          <w:spacing w:val="-19"/>
          <w:w w:val="107"/>
          <w:sz w:val="21"/>
        </w:rPr>
        <w:t>x</w:t>
      </w:r>
      <w:r>
        <w:rPr>
          <w:rFonts w:ascii="Times New Roman" w:hAnsi="Times New Roman"/>
          <w:spacing w:val="-4"/>
          <w:w w:val="107"/>
          <w:sz w:val="21"/>
        </w:rPr>
        <w:t>p</w:t>
      </w:r>
      <w:r>
        <w:rPr>
          <w:rFonts w:ascii="Times New Roman" w:hAnsi="Times New Roman"/>
          <w:spacing w:val="-8"/>
          <w:w w:val="107"/>
          <w:sz w:val="21"/>
        </w:rPr>
        <w:t>(</w:t>
      </w:r>
      <w:r>
        <w:rPr>
          <w:rFonts w:ascii="Times New Roman" w:hAnsi="Times New Roman"/>
          <w:w w:val="107"/>
          <w:sz w:val="21"/>
        </w:rPr>
        <w:t>b</w:t>
      </w:r>
      <w:r>
        <w:rPr>
          <w:rFonts w:ascii="Times New Roman" w:hAnsi="Times New Roman"/>
          <w:spacing w:val="-18"/>
          <w:sz w:val="21"/>
        </w:rPr>
        <w:t> </w:t>
      </w:r>
      <w:r>
        <w:rPr>
          <w:rFonts w:ascii="Times New Roman" w:hAnsi="Times New Roman"/>
          <w:spacing w:val="14"/>
          <w:w w:val="107"/>
          <w:sz w:val="21"/>
        </w:rPr>
        <w:t>-</w:t>
      </w:r>
      <w:r>
        <w:rPr>
          <w:rFonts w:ascii="Symbol" w:hAnsi="Symbol"/>
          <w:i/>
          <w:spacing w:val="-15"/>
          <w:w w:val="102"/>
          <w:sz w:val="22"/>
        </w:rPr>
        <w:t></w:t>
      </w:r>
      <w:r>
        <w:rPr>
          <w:rFonts w:ascii="Times New Roman" w:hAnsi="Times New Roman"/>
          <w:spacing w:val="-9"/>
          <w:w w:val="107"/>
          <w:sz w:val="21"/>
        </w:rPr>
        <w:t>t</w:t>
      </w:r>
      <w:r>
        <w:rPr>
          <w:rFonts w:ascii="Times New Roman" w:hAnsi="Times New Roman"/>
          <w:spacing w:val="9"/>
          <w:w w:val="107"/>
          <w:sz w:val="21"/>
        </w:rPr>
        <w:t>)</w:t>
      </w:r>
      <w:r>
        <w:rPr>
          <w:rFonts w:ascii="Symbol" w:hAnsi="Symbol"/>
          <w:spacing w:val="-12"/>
          <w:w w:val="79"/>
          <w:sz w:val="28"/>
        </w:rPr>
        <w:t></w:t>
      </w:r>
      <w:r>
        <w:rPr>
          <w:rFonts w:ascii="Times New Roman" w:hAnsi="Times New Roman"/>
          <w:w w:val="109"/>
          <w:position w:val="11"/>
          <w:sz w:val="12"/>
        </w:rPr>
        <w:t>2</w:t>
      </w:r>
    </w:p>
    <w:p>
      <w:pPr>
        <w:pStyle w:val="BodyText"/>
        <w:spacing w:before="10"/>
        <w:rPr>
          <w:rFonts w:ascii="Times New Roman"/>
          <w:sz w:val="26"/>
        </w:rPr>
      </w:pPr>
    </w:p>
    <w:p>
      <w:pPr>
        <w:tabs>
          <w:tab w:pos="330" w:val="left" w:leader="none"/>
          <w:tab w:pos="2193" w:val="left" w:leader="none"/>
        </w:tabs>
        <w:spacing w:line="411" w:lineRule="exact" w:before="51"/>
        <w:ind w:left="28" w:right="0" w:firstLine="0"/>
        <w:jc w:val="center"/>
        <w:rPr>
          <w:rFonts w:ascii="Symbol" w:hAnsi="Symbol"/>
          <w:sz w:val="28"/>
        </w:rPr>
      </w:pPr>
      <w:r>
        <w:rPr>
          <w:rFonts w:ascii="Times New Roman" w:hAnsi="Times New Roman"/>
          <w:position w:val="-12"/>
          <w:sz w:val="21"/>
        </w:rPr>
        <w:t>t</w:t>
        <w:tab/>
        <w:t>=</w:t>
      </w:r>
      <w:r>
        <w:rPr>
          <w:rFonts w:ascii="Times New Roman" w:hAnsi="Times New Roman"/>
          <w:spacing w:val="12"/>
          <w:position w:val="-12"/>
          <w:sz w:val="21"/>
        </w:rPr>
        <w:t> </w:t>
      </w:r>
      <w:r>
        <w:rPr>
          <w:rFonts w:ascii="Times New Roman" w:hAnsi="Times New Roman"/>
          <w:spacing w:val="-4"/>
          <w:sz w:val="21"/>
          <w:u w:val="single"/>
        </w:rPr>
        <w:t>ln</w:t>
      </w:r>
      <w:r>
        <w:rPr>
          <w:rFonts w:ascii="Symbol" w:hAnsi="Symbol"/>
          <w:spacing w:val="-4"/>
          <w:sz w:val="28"/>
          <w:u w:val="single"/>
        </w:rPr>
        <w:t></w:t>
      </w:r>
      <w:r>
        <w:rPr>
          <w:rFonts w:ascii="Times New Roman" w:hAnsi="Times New Roman"/>
          <w:spacing w:val="-4"/>
          <w:sz w:val="21"/>
          <w:u w:val="single"/>
        </w:rPr>
        <w:t>2</w:t>
      </w:r>
      <w:r>
        <w:rPr>
          <w:rFonts w:ascii="Times New Roman" w:hAnsi="Times New Roman"/>
          <w:spacing w:val="-27"/>
          <w:sz w:val="21"/>
          <w:u w:val="single"/>
        </w:rPr>
        <w:t> </w:t>
      </w:r>
      <w:r>
        <w:rPr>
          <w:rFonts w:ascii="Symbol" w:hAnsi="Symbol"/>
          <w:spacing w:val="-3"/>
          <w:sz w:val="21"/>
          <w:u w:val="single"/>
        </w:rPr>
        <w:t></w:t>
      </w:r>
      <w:r>
        <w:rPr>
          <w:rFonts w:ascii="Times New Roman" w:hAnsi="Times New Roman"/>
          <w:spacing w:val="-3"/>
          <w:sz w:val="21"/>
          <w:u w:val="single"/>
        </w:rPr>
        <w:t>exp</w:t>
      </w:r>
      <w:r>
        <w:rPr>
          <w:rFonts w:ascii="Symbol" w:hAnsi="Symbol"/>
          <w:spacing w:val="-3"/>
          <w:sz w:val="28"/>
          <w:u w:val="single"/>
        </w:rPr>
        <w:t></w:t>
      </w:r>
      <w:r>
        <w:rPr>
          <w:rFonts w:ascii="Times New Roman" w:hAnsi="Times New Roman"/>
          <w:i/>
          <w:spacing w:val="-3"/>
          <w:sz w:val="21"/>
          <w:u w:val="single"/>
        </w:rPr>
        <w:t>b</w:t>
      </w:r>
      <w:r>
        <w:rPr>
          <w:rFonts w:ascii="Symbol" w:hAnsi="Symbol"/>
          <w:spacing w:val="-3"/>
          <w:sz w:val="28"/>
          <w:u w:val="single"/>
        </w:rPr>
        <w:t></w:t>
      </w:r>
      <w:r>
        <w:rPr>
          <w:rFonts w:ascii="Times New Roman" w:hAnsi="Times New Roman"/>
          <w:spacing w:val="-3"/>
          <w:sz w:val="28"/>
        </w:rPr>
        <w:tab/>
      </w:r>
      <w:r>
        <w:rPr>
          <w:rFonts w:ascii="Symbol" w:hAnsi="Symbol"/>
          <w:spacing w:val="-4"/>
          <w:position w:val="-12"/>
          <w:sz w:val="28"/>
        </w:rPr>
        <w:t></w:t>
      </w:r>
      <w:r>
        <w:rPr>
          <w:rFonts w:ascii="Times New Roman" w:hAnsi="Times New Roman"/>
          <w:spacing w:val="-4"/>
          <w:position w:val="-12"/>
          <w:sz w:val="21"/>
        </w:rPr>
        <w:t>4</w:t>
      </w:r>
      <w:r>
        <w:rPr>
          <w:rFonts w:ascii="Symbol" w:hAnsi="Symbol"/>
          <w:spacing w:val="-4"/>
          <w:position w:val="-12"/>
          <w:sz w:val="28"/>
        </w:rPr>
        <w:t></w:t>
      </w:r>
    </w:p>
    <w:p>
      <w:pPr>
        <w:tabs>
          <w:tab w:pos="4458" w:val="left" w:leader="none"/>
        </w:tabs>
        <w:spacing w:line="208" w:lineRule="exact" w:before="0"/>
        <w:ind w:left="3548" w:right="0" w:firstLine="0"/>
        <w:jc w:val="left"/>
        <w:rPr>
          <w:rFonts w:ascii="Symbol" w:hAnsi="Symbol"/>
          <w:i/>
          <w:sz w:val="22"/>
        </w:rPr>
      </w:pPr>
      <w:r>
        <w:rPr>
          <w:rFonts w:ascii="Times New Roman" w:hAnsi="Times New Roman"/>
          <w:w w:val="105"/>
          <w:sz w:val="12"/>
        </w:rPr>
        <w:t>0.5</w:t>
        <w:tab/>
      </w:r>
      <w:r>
        <w:rPr>
          <w:rFonts w:ascii="Symbol" w:hAnsi="Symbol"/>
          <w:i/>
          <w:w w:val="105"/>
          <w:position w:val="-10"/>
          <w:sz w:val="22"/>
        </w:rPr>
        <w:t></w:t>
      </w:r>
    </w:p>
    <w:p>
      <w:pPr>
        <w:pStyle w:val="BodyText"/>
        <w:spacing w:before="7"/>
        <w:rPr>
          <w:rFonts w:ascii="Symbol" w:hAnsi="Symbol"/>
          <w:i/>
          <w:sz w:val="22"/>
        </w:rPr>
      </w:pPr>
    </w:p>
    <w:p>
      <w:pPr>
        <w:spacing w:after="0"/>
        <w:rPr>
          <w:rFonts w:ascii="Symbol" w:hAnsi="Symbol"/>
          <w:sz w:val="22"/>
        </w:rPr>
        <w:sectPr>
          <w:type w:val="continuous"/>
          <w:pgSz w:w="12240" w:h="15840"/>
          <w:pgMar w:top="3080" w:bottom="2780" w:left="1440" w:right="1460"/>
        </w:sectPr>
      </w:pPr>
    </w:p>
    <w:p>
      <w:pPr>
        <w:pStyle w:val="BodyText"/>
        <w:spacing w:before="7"/>
        <w:rPr>
          <w:rFonts w:ascii="Symbol" w:hAnsi="Symbol"/>
          <w:i/>
          <w:sz w:val="19"/>
        </w:rPr>
      </w:pPr>
    </w:p>
    <w:p>
      <w:pPr>
        <w:spacing w:before="0"/>
        <w:ind w:left="0" w:right="0" w:firstLine="0"/>
        <w:jc w:val="right"/>
        <w:rPr>
          <w:rFonts w:ascii="Times New Roman" w:hAnsi="Times New Roman"/>
          <w:sz w:val="12"/>
        </w:rPr>
      </w:pPr>
      <w:r>
        <w:rPr>
          <w:rFonts w:ascii="Symbol" w:hAnsi="Symbol"/>
          <w:i/>
          <w:w w:val="105"/>
          <w:position w:val="5"/>
          <w:sz w:val="22"/>
        </w:rPr>
        <w:t></w:t>
      </w:r>
      <w:r>
        <w:rPr>
          <w:rFonts w:ascii="Times New Roman" w:hAnsi="Times New Roman"/>
          <w:w w:val="105"/>
          <w:sz w:val="12"/>
        </w:rPr>
        <w:t>0.5</w:t>
      </w:r>
    </w:p>
    <w:p>
      <w:pPr>
        <w:tabs>
          <w:tab w:pos="1586" w:val="left" w:leader="none"/>
        </w:tabs>
        <w:spacing w:line="415" w:lineRule="exact" w:before="50"/>
        <w:ind w:left="27" w:right="0" w:firstLine="0"/>
        <w:jc w:val="left"/>
        <w:rPr>
          <w:rFonts w:ascii="Symbol" w:hAnsi="Symbol"/>
          <w:sz w:val="28"/>
        </w:rPr>
      </w:pPr>
      <w:r>
        <w:rPr/>
        <w:br w:type="column"/>
      </w:r>
      <w:r>
        <w:rPr>
          <w:rFonts w:ascii="Times New Roman" w:hAnsi="Times New Roman"/>
          <w:position w:val="-12"/>
          <w:sz w:val="21"/>
        </w:rPr>
        <w:t>= </w:t>
      </w:r>
      <w:r>
        <w:rPr>
          <w:rFonts w:ascii="Times New Roman" w:hAnsi="Times New Roman"/>
          <w:spacing w:val="-2"/>
          <w:sz w:val="21"/>
          <w:u w:val="single"/>
        </w:rPr>
        <w:t>k</w:t>
      </w:r>
      <w:r>
        <w:rPr>
          <w:rFonts w:ascii="Symbol" w:hAnsi="Symbol"/>
          <w:spacing w:val="-2"/>
          <w:sz w:val="28"/>
          <w:u w:val="single"/>
        </w:rPr>
        <w:t></w:t>
      </w:r>
      <w:r>
        <w:rPr>
          <w:rFonts w:ascii="Times New Roman" w:hAnsi="Times New Roman"/>
          <w:i/>
          <w:spacing w:val="-2"/>
          <w:sz w:val="21"/>
          <w:u w:val="single"/>
        </w:rPr>
        <w:t>d</w:t>
      </w:r>
      <w:r>
        <w:rPr>
          <w:rFonts w:ascii="Times New Roman" w:hAnsi="Times New Roman"/>
          <w:i/>
          <w:spacing w:val="18"/>
          <w:sz w:val="21"/>
          <w:u w:val="single"/>
        </w:rPr>
        <w:t> </w:t>
      </w:r>
      <w:r>
        <w:rPr>
          <w:rFonts w:ascii="Symbol" w:hAnsi="Symbol"/>
          <w:sz w:val="21"/>
          <w:u w:val="single"/>
        </w:rPr>
        <w:t></w:t>
      </w:r>
      <w:r>
        <w:rPr>
          <w:rFonts w:ascii="Times New Roman" w:hAnsi="Times New Roman"/>
          <w:spacing w:val="-23"/>
          <w:sz w:val="21"/>
          <w:u w:val="single"/>
        </w:rPr>
        <w:t> </w:t>
      </w:r>
      <w:r>
        <w:rPr>
          <w:rFonts w:ascii="Times New Roman" w:hAnsi="Times New Roman"/>
          <w:spacing w:val="-4"/>
          <w:sz w:val="21"/>
          <w:u w:val="single"/>
        </w:rPr>
        <w:t>0.5</w:t>
      </w:r>
      <w:r>
        <w:rPr>
          <w:rFonts w:ascii="Symbol" w:hAnsi="Symbol"/>
          <w:spacing w:val="-4"/>
          <w:sz w:val="28"/>
          <w:u w:val="single"/>
        </w:rPr>
        <w:t></w:t>
      </w:r>
      <w:r>
        <w:rPr>
          <w:rFonts w:ascii="Times New Roman" w:hAnsi="Times New Roman"/>
          <w:spacing w:val="-4"/>
          <w:sz w:val="28"/>
        </w:rPr>
        <w:tab/>
      </w:r>
      <w:r>
        <w:rPr>
          <w:rFonts w:ascii="Symbol" w:hAnsi="Symbol"/>
          <w:spacing w:val="-6"/>
          <w:position w:val="-12"/>
          <w:sz w:val="28"/>
        </w:rPr>
        <w:t></w:t>
      </w:r>
      <w:r>
        <w:rPr>
          <w:rFonts w:ascii="Times New Roman" w:hAnsi="Times New Roman"/>
          <w:spacing w:val="-6"/>
          <w:position w:val="-12"/>
          <w:sz w:val="21"/>
        </w:rPr>
        <w:t>5</w:t>
      </w:r>
      <w:r>
        <w:rPr>
          <w:rFonts w:ascii="Symbol" w:hAnsi="Symbol"/>
          <w:spacing w:val="-6"/>
          <w:position w:val="-12"/>
          <w:sz w:val="28"/>
        </w:rPr>
        <w:t></w:t>
      </w:r>
    </w:p>
    <w:p>
      <w:pPr>
        <w:spacing w:line="199" w:lineRule="exact" w:before="0"/>
        <w:ind w:left="419" w:right="0" w:firstLine="0"/>
        <w:jc w:val="left"/>
        <w:rPr>
          <w:rFonts w:ascii="Times New Roman" w:hAnsi="Times New Roman"/>
          <w:i/>
          <w:sz w:val="21"/>
        </w:rPr>
      </w:pPr>
      <w:r>
        <w:rPr>
          <w:rFonts w:ascii="Times New Roman" w:hAnsi="Times New Roman"/>
          <w:w w:val="110"/>
          <w:sz w:val="21"/>
        </w:rPr>
        <w:t>1</w:t>
      </w:r>
      <w:r>
        <w:rPr>
          <w:rFonts w:ascii="Symbol" w:hAnsi="Symbol"/>
          <w:w w:val="110"/>
          <w:sz w:val="21"/>
        </w:rPr>
        <w:t></w:t>
      </w:r>
      <w:r>
        <w:rPr>
          <w:rFonts w:ascii="Times New Roman" w:hAnsi="Times New Roman"/>
          <w:w w:val="110"/>
          <w:sz w:val="21"/>
        </w:rPr>
        <w:t> </w:t>
      </w:r>
      <w:r>
        <w:rPr>
          <w:rFonts w:ascii="Times New Roman" w:hAnsi="Times New Roman"/>
          <w:i/>
          <w:w w:val="110"/>
          <w:sz w:val="21"/>
        </w:rPr>
        <w:t>d</w:t>
      </w:r>
    </w:p>
    <w:p>
      <w:pPr>
        <w:spacing w:after="0" w:line="199" w:lineRule="exact"/>
        <w:jc w:val="left"/>
        <w:rPr>
          <w:rFonts w:ascii="Times New Roman" w:hAnsi="Times New Roman"/>
          <w:sz w:val="21"/>
        </w:rPr>
        <w:sectPr>
          <w:type w:val="continuous"/>
          <w:pgSz w:w="12240" w:h="15840"/>
          <w:pgMar w:top="3080" w:bottom="2780" w:left="1440" w:right="1460"/>
          <w:cols w:num="2" w:equalWidth="0">
            <w:col w:w="3898" w:space="40"/>
            <w:col w:w="5402"/>
          </w:cols>
        </w:sectPr>
      </w:pPr>
    </w:p>
    <w:p>
      <w:pPr>
        <w:pStyle w:val="BodyText"/>
        <w:spacing w:before="10"/>
        <w:rPr>
          <w:rFonts w:ascii="Times New Roman"/>
          <w:i/>
          <w:sz w:val="29"/>
        </w:rPr>
      </w:pPr>
    </w:p>
    <w:p>
      <w:pPr>
        <w:pStyle w:val="BodyText"/>
        <w:spacing w:line="362" w:lineRule="auto" w:before="67"/>
        <w:ind w:left="259" w:right="245" w:firstLine="283"/>
        <w:jc w:val="both"/>
      </w:pPr>
      <w:r>
        <w:rPr/>
        <w:t>Los análisis estadísticos se realizaron utilizando el procedimiento GLM de SAS 9.0 (2001) y los medios dentro se compararon los errores estándar con medios mínimos cuadrados. Se reportaron menos medios plazas en todo el texto, y significaciones estadísticas fueron declarados si P &lt;0,05.</w:t>
      </w:r>
    </w:p>
    <w:p>
      <w:pPr>
        <w:pStyle w:val="BodyText"/>
        <w:spacing w:before="1"/>
        <w:rPr>
          <w:sz w:val="23"/>
        </w:rPr>
      </w:pPr>
    </w:p>
    <w:p>
      <w:pPr>
        <w:pStyle w:val="ListParagraph"/>
        <w:numPr>
          <w:ilvl w:val="1"/>
          <w:numId w:val="10"/>
        </w:numPr>
        <w:tabs>
          <w:tab w:pos="745" w:val="left" w:leader="none"/>
        </w:tabs>
        <w:spacing w:line="364" w:lineRule="auto" w:before="1" w:after="0"/>
        <w:ind w:left="259" w:right="245" w:firstLine="0"/>
        <w:jc w:val="left"/>
        <w:rPr>
          <w:b/>
          <w:sz w:val="24"/>
        </w:rPr>
      </w:pPr>
      <w:r>
        <w:rPr>
          <w:b/>
          <w:sz w:val="24"/>
        </w:rPr>
        <w:t>Métodos para influir en las diferentes partes de la semilla de cártamo en fermentación in</w:t>
      </w:r>
      <w:r>
        <w:rPr>
          <w:b/>
          <w:spacing w:val="-11"/>
          <w:sz w:val="24"/>
        </w:rPr>
        <w:t> </w:t>
      </w:r>
      <w:r>
        <w:rPr>
          <w:b/>
          <w:sz w:val="24"/>
        </w:rPr>
        <w:t>vitro</w:t>
      </w:r>
    </w:p>
    <w:p>
      <w:pPr>
        <w:pStyle w:val="BodyText"/>
        <w:spacing w:before="3"/>
        <w:rPr>
          <w:b/>
          <w:sz w:val="23"/>
        </w:rPr>
      </w:pPr>
    </w:p>
    <w:p>
      <w:pPr>
        <w:pStyle w:val="Heading4"/>
        <w:ind w:left="259" w:firstLine="0"/>
        <w:jc w:val="left"/>
        <w:rPr>
          <w:i/>
        </w:rPr>
      </w:pPr>
      <w:r>
        <w:rPr>
          <w:i/>
        </w:rPr>
        <w:t>Diseño experimental</w:t>
      </w:r>
    </w:p>
    <w:p>
      <w:pPr>
        <w:pStyle w:val="BodyText"/>
        <w:spacing w:before="9"/>
        <w:rPr>
          <w:b/>
          <w:i/>
          <w:sz w:val="35"/>
        </w:rPr>
      </w:pPr>
    </w:p>
    <w:p>
      <w:pPr>
        <w:pStyle w:val="BodyText"/>
        <w:spacing w:line="360" w:lineRule="auto"/>
        <w:ind w:left="259" w:right="239" w:firstLine="283"/>
        <w:jc w:val="both"/>
      </w:pPr>
      <w:r>
        <w:rPr/>
        <w:t>Este experimento se llevó a cabo en dos partes: En primer lugar, para separar toda semilla en casco y partes del núcleo, y preparar la comida de cártamo (extraído con hexano, SMH; extrajo con éter de petróleo, SMP), después de que para determinar la composición nutricional de cada parte de semilla de cártamo obtenerse. En segundo lugar, para hacer en el experimento de fermentación in vitro, cada parte de semilla de cártamo se fermentó por separado para obtener los datos de la producción de gas, aparente fibra detergente neutro / ácido (/ ADF NDF) digestibilidad y digestibilidad de la materia seca en tres ejemplares cada uno, después de que el uso de la ecuación  de calcular la energía metabolizable (EM) y digestibilidad de la materia orgánica (DMO).</w:t>
      </w:r>
    </w:p>
    <w:p>
      <w:pPr>
        <w:spacing w:after="0" w:line="360" w:lineRule="auto"/>
        <w:jc w:val="both"/>
        <w:sectPr>
          <w:type w:val="continuous"/>
          <w:pgSz w:w="12240" w:h="15840"/>
          <w:pgMar w:top="3080" w:bottom="2780" w:left="1440" w:right="1460"/>
        </w:sectPr>
      </w:pPr>
    </w:p>
    <w:p>
      <w:pPr>
        <w:pStyle w:val="BodyText"/>
        <w:rPr>
          <w:sz w:val="16"/>
        </w:rPr>
      </w:pPr>
    </w:p>
    <w:p>
      <w:pPr>
        <w:pStyle w:val="Heading4"/>
        <w:spacing w:before="66"/>
        <w:ind w:left="259" w:firstLine="0"/>
        <w:jc w:val="left"/>
        <w:rPr>
          <w:i/>
        </w:rPr>
      </w:pPr>
      <w:r>
        <w:rPr>
          <w:i/>
        </w:rPr>
        <w:t>Animales donantes y preparación de sustratos</w:t>
      </w:r>
    </w:p>
    <w:p>
      <w:pPr>
        <w:pStyle w:val="BodyText"/>
        <w:spacing w:before="4"/>
        <w:rPr>
          <w:b/>
          <w:i/>
          <w:sz w:val="35"/>
        </w:rPr>
      </w:pPr>
    </w:p>
    <w:p>
      <w:pPr>
        <w:pStyle w:val="BodyText"/>
        <w:spacing w:line="360" w:lineRule="auto" w:before="1"/>
        <w:ind w:left="259" w:right="239" w:firstLine="283"/>
        <w:jc w:val="both"/>
      </w:pPr>
      <w:r>
        <w:rPr/>
        <w:t>Cuatro adultos varones ovinos Pelibuey (45 ± 5,0 kg / cada uno) con permanente rumen-fístula, ubicado de forma individual y el libre acceso al agua potable, fueron utilizados como donantes de inóculo de acuerdo a la Norma Oficial Mexicana (NOM- 220-SSA1-2002). Cada oveja fue proporcionado diariamente 1,0 kg de forraje, que compuesto con el 64,2% del sorgo, el 19,3% de heno de alfalfa, 4,6% de harina de canola, 2,9% de aceite de canola, 5,0% rastrojo de maíz, 2,0% de melaza, 1,0% de sebo purificado, y 1,0% de urea, con una composición declarada de materia seca del 87%, proteína cruda 13,9%, 12,1 MJ / kg de energía total, el 5,3% de grasa cruda, 0.54% de calcio, 9,5% de fibra detergente ácido, y el 21,4% de fibra detergente neutro.</w:t>
      </w:r>
    </w:p>
    <w:p>
      <w:pPr>
        <w:pStyle w:val="BodyText"/>
        <w:spacing w:before="4"/>
        <w:rPr>
          <w:sz w:val="23"/>
        </w:rPr>
      </w:pPr>
    </w:p>
    <w:p>
      <w:pPr>
        <w:pStyle w:val="BodyText"/>
        <w:spacing w:line="362" w:lineRule="auto"/>
        <w:ind w:left="259" w:right="246" w:firstLine="283"/>
        <w:jc w:val="both"/>
      </w:pPr>
      <w:r>
        <w:rPr/>
        <w:t>Semilla de cártamo (0,5 kg) fueron comprados de Querétaro en México, separa artificialmente en casco y kernel, y luego molida esas muestras en pequeñas partículas para la solución como casco de cártamo, kernel y particiones de semillas enteras.  Otros 0,5 kg de semilla de cártamo se trituraron y se extrajo con hexano y éter de petróleo para preparar dos tipos de harina de cártamo extraído (SMH y</w:t>
      </w:r>
      <w:r>
        <w:rPr>
          <w:spacing w:val="-32"/>
        </w:rPr>
        <w:t> </w:t>
      </w:r>
      <w:r>
        <w:rPr/>
        <w:t>SMP).</w:t>
      </w:r>
    </w:p>
    <w:p>
      <w:pPr>
        <w:pStyle w:val="BodyText"/>
        <w:spacing w:before="6"/>
        <w:rPr>
          <w:sz w:val="23"/>
        </w:rPr>
      </w:pPr>
    </w:p>
    <w:p>
      <w:pPr>
        <w:pStyle w:val="Heading4"/>
        <w:ind w:left="259" w:firstLine="0"/>
        <w:jc w:val="left"/>
        <w:rPr>
          <w:i/>
        </w:rPr>
      </w:pPr>
      <w:r>
        <w:rPr>
          <w:i/>
        </w:rPr>
        <w:t>Fermentación in vitro</w:t>
      </w:r>
    </w:p>
    <w:p>
      <w:pPr>
        <w:pStyle w:val="BodyText"/>
        <w:spacing w:before="4"/>
        <w:rPr>
          <w:b/>
          <w:i/>
          <w:sz w:val="35"/>
        </w:rPr>
      </w:pPr>
    </w:p>
    <w:p>
      <w:pPr>
        <w:pStyle w:val="BodyText"/>
        <w:spacing w:line="360" w:lineRule="auto"/>
        <w:ind w:left="259" w:right="233" w:firstLine="283"/>
        <w:jc w:val="both"/>
      </w:pPr>
      <w:r>
        <w:rPr/>
        <w:t>El líquido ruminal obtenido, se mezcló y se tensa a través de cuatro capas de queso de tela en un matraz Erlenmeyer con un espacio de cabeza-O2 libre, de animales donantes a las 07:00 am antes de alimentar. Fluido ruminal libre de partículas se mezcló con la solución tampón de saliva artificial (Menke y Steingass, 1988) en una proporción de 1:. 4 (v / v) a 39 ºC bajo lavado continuo con CO2 (Mauricio et al, 1999; Tang et al., 2008). Experimento 1: La producción de gas. Cada parte de la semilla de cártamo (casco, de almendra, harina de cártamo, cártamo suelo, 1,0 g, respectivamente, como sustrato de fermentación, respectivamente) se incubó con 100 ml del rumen solución tampón a 39ºC en cuádruples de cada uno, para determinar la cinética de la producción de gas con la determinación de gas ANKOM equipo (ANKOM Technology Corp., Fairport, Nueva York, EE.UU.) durante 48 h descritos por Cone et al.</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40"/>
        <w:jc w:val="both"/>
      </w:pPr>
      <w:r>
        <w:rPr/>
        <w:t>(1996). </w:t>
      </w:r>
      <w:r>
        <w:rPr>
          <w:b/>
        </w:rPr>
        <w:t>Experimento 2: </w:t>
      </w:r>
      <w:r>
        <w:rPr/>
        <w:t>Botellas eran precalentado (39ºC) antes de añadir 50 ml de fluido ruminal tamponada (casco, de almendra, harina de cártamo, cártamo suelo, 0,5 g como sustrato de fermentación, respectivamente) en virtud de lavado de CO2, sellados con tapones de goma y nillador en los casquillos y se incubaron a 39ºC en la temperatura del baño de agua oscilador constante durante 48 h. Cada se llevó a cabo en 3 repeticiones dentro de 3 espacios en blanco (sin sustrato) para la corrección. </w:t>
      </w:r>
      <w:r>
        <w:rPr>
          <w:spacing w:val="4"/>
        </w:rPr>
        <w:t>Las </w:t>
      </w:r>
      <w:r>
        <w:rPr/>
        <w:t>botellas fueron retirados del oscilador baño de agua después de 48 h de incubación, para filtrar el sustrato de cada uno, se secó en 105ºC durante la noche y se pesaron el residuo de cada sustrato, y luego para calcular ADF / NDF digestibilidad y en la desaparición de materia seca in vitro</w:t>
      </w:r>
      <w:r>
        <w:rPr>
          <w:spacing w:val="-19"/>
        </w:rPr>
        <w:t> </w:t>
      </w:r>
      <w:r>
        <w:rPr/>
        <w:t>(DIVMS).</w:t>
      </w:r>
    </w:p>
    <w:p>
      <w:pPr>
        <w:pStyle w:val="BodyText"/>
        <w:spacing w:before="9"/>
        <w:rPr>
          <w:sz w:val="23"/>
        </w:rPr>
      </w:pPr>
    </w:p>
    <w:p>
      <w:pPr>
        <w:pStyle w:val="Heading4"/>
        <w:ind w:left="259" w:firstLine="0"/>
        <w:rPr>
          <w:i/>
        </w:rPr>
      </w:pPr>
      <w:r>
        <w:rPr>
          <w:i/>
        </w:rPr>
        <w:t>Análisis de composición química</w:t>
      </w:r>
    </w:p>
    <w:p>
      <w:pPr>
        <w:pStyle w:val="BodyText"/>
        <w:spacing w:before="4"/>
        <w:rPr>
          <w:b/>
          <w:i/>
          <w:sz w:val="35"/>
        </w:rPr>
      </w:pPr>
    </w:p>
    <w:p>
      <w:pPr>
        <w:pStyle w:val="BodyText"/>
        <w:spacing w:line="362" w:lineRule="auto"/>
        <w:ind w:left="259" w:right="246" w:firstLine="283"/>
        <w:jc w:val="both"/>
      </w:pPr>
      <w:r>
        <w:rPr/>
        <w:t>Dieta y muestras (sustratos) se midieron por los métodos estándar de la AOAC (Cunniff, 1995) para la materia seca (Nº 967.03), proteína cruda (N ° 984.13) y el extracto de éter (Nº 954.02), contenido de cenizas (Nº 942.05 ), la energía total, y se expresaron como el integrador de la ceniza residual.</w:t>
      </w:r>
    </w:p>
    <w:p>
      <w:pPr>
        <w:pStyle w:val="BodyText"/>
        <w:spacing w:before="6"/>
        <w:rPr>
          <w:sz w:val="23"/>
        </w:rPr>
      </w:pPr>
    </w:p>
    <w:p>
      <w:pPr>
        <w:pStyle w:val="Heading4"/>
        <w:ind w:left="259" w:firstLine="0"/>
        <w:rPr>
          <w:i/>
        </w:rPr>
      </w:pPr>
      <w:r>
        <w:rPr>
          <w:i/>
        </w:rPr>
        <w:t>Cálculo y análisis de datos</w:t>
      </w:r>
    </w:p>
    <w:p>
      <w:pPr>
        <w:pStyle w:val="BodyText"/>
        <w:spacing w:before="4"/>
        <w:rPr>
          <w:b/>
          <w:i/>
          <w:sz w:val="35"/>
        </w:rPr>
      </w:pPr>
    </w:p>
    <w:p>
      <w:pPr>
        <w:pStyle w:val="BodyText"/>
        <w:ind w:left="543"/>
      </w:pPr>
      <w:r>
        <w:rPr/>
        <w:t>En las curvas de producción de gas in vitro fueron equipados con NLREG Versión</w:t>
      </w:r>
    </w:p>
    <w:p>
      <w:pPr>
        <w:pStyle w:val="BodyText"/>
        <w:spacing w:line="362" w:lineRule="auto" w:before="141"/>
        <w:ind w:left="259" w:right="237"/>
        <w:jc w:val="both"/>
      </w:pPr>
      <w:r>
        <w:rPr/>
        <w:t>5.0 (Sherrod, 1995), utilizando la combinación de la Gauss-Newton y Métodos Levenberg-Marquardt (John et al., 1981). Para calcular los parámetros de la cinética  de producción de gas, se utilizó el modelo logístico de Exponencial (LE0) como se describe por Wang et al. (2013), y los parámetros se obtuvieron basa en la inspección visual de las parcelas con el fin de llegar a la</w:t>
      </w:r>
      <w:r>
        <w:rPr>
          <w:spacing w:val="-25"/>
        </w:rPr>
        <w:t> </w:t>
      </w:r>
      <w:r>
        <w:rPr/>
        <w:t>convergencia.</w:t>
      </w:r>
    </w:p>
    <w:p>
      <w:pPr>
        <w:pStyle w:val="BodyText"/>
        <w:spacing w:before="10"/>
        <w:rPr>
          <w:sz w:val="15"/>
        </w:rPr>
      </w:pPr>
    </w:p>
    <w:p>
      <w:pPr>
        <w:spacing w:after="0"/>
        <w:rPr>
          <w:sz w:val="15"/>
        </w:rPr>
        <w:sectPr>
          <w:pgSz w:w="12240" w:h="15840"/>
          <w:pgMar w:header="684" w:footer="1164" w:top="1380" w:bottom="1380" w:left="1440" w:right="1460"/>
        </w:sectPr>
      </w:pPr>
    </w:p>
    <w:p>
      <w:pPr>
        <w:spacing w:before="196"/>
        <w:ind w:left="0" w:right="0" w:firstLine="0"/>
        <w:jc w:val="right"/>
        <w:rPr>
          <w:rFonts w:ascii="Symbol" w:hAnsi="Symbol"/>
          <w:sz w:val="21"/>
        </w:rPr>
      </w:pPr>
      <w:r>
        <w:rPr/>
        <w:pict>
          <v:line style="position:absolute;mso-position-horizontal-relative:page;mso-position-vertical-relative:paragraph;z-index:-330328" from="284.368408pt,18.135027pt" to="340.583712pt,18.135027pt" stroked="true" strokeweight=".1174pt" strokecolor="#000000">
            <w10:wrap type="none"/>
          </v:line>
        </w:pict>
      </w:r>
      <w:r>
        <w:rPr>
          <w:rFonts w:ascii="Times New Roman" w:hAnsi="Times New Roman"/>
          <w:w w:val="105"/>
          <w:sz w:val="21"/>
        </w:rPr>
        <w:t>V = V</w:t>
      </w:r>
      <w:r>
        <w:rPr>
          <w:rFonts w:ascii="Times New Roman" w:hAnsi="Times New Roman"/>
          <w:w w:val="105"/>
          <w:position w:val="-4"/>
          <w:sz w:val="12"/>
        </w:rPr>
        <w:t>F </w:t>
      </w:r>
      <w:r>
        <w:rPr>
          <w:rFonts w:ascii="Symbol" w:hAnsi="Symbol"/>
          <w:w w:val="105"/>
          <w:sz w:val="21"/>
        </w:rPr>
        <w:t></w:t>
      </w:r>
    </w:p>
    <w:p>
      <w:pPr>
        <w:spacing w:line="249" w:lineRule="auto" w:before="60"/>
        <w:ind w:left="-20" w:right="-14" w:firstLine="113"/>
        <w:jc w:val="left"/>
        <w:rPr>
          <w:rFonts w:ascii="Times New Roman" w:hAnsi="Times New Roman"/>
          <w:sz w:val="21"/>
        </w:rPr>
      </w:pPr>
      <w:r>
        <w:rPr/>
        <w:br w:type="column"/>
      </w:r>
      <w:r>
        <w:rPr>
          <w:rFonts w:ascii="Times New Roman" w:hAnsi="Times New Roman"/>
          <w:spacing w:val="5"/>
          <w:w w:val="105"/>
          <w:sz w:val="21"/>
        </w:rPr>
        <w:t>1- </w:t>
      </w:r>
      <w:r>
        <w:rPr>
          <w:rFonts w:ascii="Times New Roman" w:hAnsi="Times New Roman"/>
          <w:spacing w:val="-7"/>
          <w:w w:val="105"/>
          <w:sz w:val="21"/>
        </w:rPr>
        <w:t>exp(-</w:t>
      </w:r>
      <w:r>
        <w:rPr>
          <w:rFonts w:ascii="Symbol" w:hAnsi="Symbol"/>
          <w:i/>
          <w:spacing w:val="-7"/>
          <w:w w:val="105"/>
          <w:sz w:val="22"/>
        </w:rPr>
        <w:t></w:t>
      </w:r>
      <w:r>
        <w:rPr>
          <w:rFonts w:ascii="Times New Roman" w:hAnsi="Times New Roman"/>
          <w:spacing w:val="-7"/>
          <w:w w:val="105"/>
          <w:sz w:val="21"/>
        </w:rPr>
        <w:t>t) </w:t>
      </w:r>
      <w:r>
        <w:rPr>
          <w:rFonts w:ascii="Times New Roman" w:hAnsi="Times New Roman"/>
          <w:spacing w:val="6"/>
          <w:w w:val="105"/>
          <w:sz w:val="21"/>
        </w:rPr>
        <w:t>1+</w:t>
      </w:r>
      <w:r>
        <w:rPr>
          <w:rFonts w:ascii="Times New Roman" w:hAnsi="Times New Roman"/>
          <w:spacing w:val="-43"/>
          <w:w w:val="105"/>
          <w:sz w:val="21"/>
        </w:rPr>
        <w:t> </w:t>
      </w:r>
      <w:r>
        <w:rPr>
          <w:rFonts w:ascii="Times New Roman" w:hAnsi="Times New Roman"/>
          <w:spacing w:val="-5"/>
          <w:w w:val="105"/>
          <w:sz w:val="21"/>
        </w:rPr>
        <w:t>exp(b </w:t>
      </w:r>
      <w:r>
        <w:rPr>
          <w:rFonts w:ascii="Times New Roman" w:hAnsi="Times New Roman"/>
          <w:spacing w:val="-3"/>
          <w:w w:val="105"/>
          <w:sz w:val="21"/>
        </w:rPr>
        <w:t>-</w:t>
      </w:r>
      <w:r>
        <w:rPr>
          <w:rFonts w:ascii="Symbol" w:hAnsi="Symbol"/>
          <w:i/>
          <w:spacing w:val="-3"/>
          <w:w w:val="105"/>
          <w:sz w:val="22"/>
        </w:rPr>
        <w:t></w:t>
      </w:r>
      <w:r>
        <w:rPr>
          <w:rFonts w:ascii="Times New Roman" w:hAnsi="Times New Roman"/>
          <w:spacing w:val="-3"/>
          <w:w w:val="105"/>
          <w:sz w:val="21"/>
        </w:rPr>
        <w:t>t)</w:t>
      </w:r>
    </w:p>
    <w:p>
      <w:pPr>
        <w:spacing w:before="135"/>
        <w:ind w:left="513" w:right="0" w:firstLine="0"/>
        <w:jc w:val="left"/>
        <w:rPr>
          <w:rFonts w:ascii="Symbol" w:hAnsi="Symbol"/>
          <w:sz w:val="27"/>
        </w:rPr>
      </w:pPr>
      <w:r>
        <w:rPr/>
        <w:br w:type="column"/>
      </w:r>
      <w:r>
        <w:rPr>
          <w:rFonts w:ascii="Symbol" w:hAnsi="Symbol"/>
          <w:sz w:val="27"/>
        </w:rPr>
        <w:t></w:t>
      </w:r>
      <w:r>
        <w:rPr>
          <w:rFonts w:ascii="Times New Roman" w:hAnsi="Times New Roman"/>
          <w:sz w:val="21"/>
        </w:rPr>
        <w:t>6</w:t>
      </w:r>
      <w:r>
        <w:rPr>
          <w:rFonts w:ascii="Symbol" w:hAnsi="Symbol"/>
          <w:sz w:val="27"/>
        </w:rPr>
        <w:t></w:t>
      </w:r>
    </w:p>
    <w:p>
      <w:pPr>
        <w:spacing w:after="0"/>
        <w:jc w:val="left"/>
        <w:rPr>
          <w:rFonts w:ascii="Symbol" w:hAnsi="Symbol"/>
          <w:sz w:val="27"/>
        </w:rPr>
        <w:sectPr>
          <w:type w:val="continuous"/>
          <w:pgSz w:w="12240" w:h="15840"/>
          <w:pgMar w:top="3080" w:bottom="2780" w:left="1440" w:right="1460"/>
          <w:cols w:num="3" w:equalWidth="0">
            <w:col w:w="4212" w:space="40"/>
            <w:col w:w="1095" w:space="40"/>
            <w:col w:w="3953"/>
          </w:cols>
        </w:sectPr>
      </w:pPr>
    </w:p>
    <w:p>
      <w:pPr>
        <w:pStyle w:val="BodyText"/>
        <w:rPr>
          <w:rFonts w:ascii="Symbol" w:hAnsi="Symbol"/>
          <w:sz w:val="20"/>
        </w:rPr>
      </w:pPr>
    </w:p>
    <w:p>
      <w:pPr>
        <w:pStyle w:val="BodyText"/>
        <w:spacing w:line="360" w:lineRule="auto" w:before="202"/>
        <w:ind w:left="259" w:firstLine="283"/>
      </w:pPr>
      <w:r>
        <w:rPr/>
        <w:t>donde V es la producción acumulada de gas (ml) en t, VF es el volumen de gas asintótica final con dimensión de 'ml', k es la tasa fraccional de la producción de gas</w:t>
      </w:r>
    </w:p>
    <w:p>
      <w:pPr>
        <w:spacing w:after="0" w:line="360" w:lineRule="auto"/>
        <w:sectPr>
          <w:type w:val="continuous"/>
          <w:pgSz w:w="12240" w:h="15840"/>
          <w:pgMar w:top="3080" w:bottom="2780" w:left="1440" w:right="1460"/>
        </w:sectPr>
      </w:pPr>
    </w:p>
    <w:p>
      <w:pPr>
        <w:pStyle w:val="BodyText"/>
        <w:spacing w:before="7"/>
        <w:rPr>
          <w:sz w:val="15"/>
        </w:rPr>
      </w:pPr>
    </w:p>
    <w:p>
      <w:pPr>
        <w:pStyle w:val="BodyText"/>
        <w:spacing w:line="362" w:lineRule="auto" w:before="66"/>
        <w:ind w:left="259" w:right="243"/>
        <w:jc w:val="both"/>
      </w:pPr>
      <w:r>
        <w:rPr/>
        <w:t>con la dimensión de '/ h'; yb es parámetro de forma y sin dimensión. Tasa fraccional de degradación inicial, FRD0 = k / (1 + exp (b)) (Wang et al, 2013.); la tasa de producción de gas, RG = VF k (1 + exp (b)) exp (kt) / (1 + exp (b-kt) 2 (Jiao et al, 2013);. la media hora en la que un medio de la producción de gas final, t0,5 = ln (2 + exp (b)) / k; tasa fraccional de la producción de gas en un medio de vida, μ0.5 = k (d + 0,5) / (1 + d) (Wang et al.,</w:t>
      </w:r>
      <w:r>
        <w:rPr>
          <w:spacing w:val="-11"/>
        </w:rPr>
        <w:t> </w:t>
      </w:r>
      <w:r>
        <w:rPr/>
        <w:t>2013).</w:t>
      </w:r>
    </w:p>
    <w:p>
      <w:pPr>
        <w:pStyle w:val="BodyText"/>
        <w:spacing w:before="1"/>
        <w:rPr>
          <w:sz w:val="23"/>
        </w:rPr>
      </w:pPr>
    </w:p>
    <w:p>
      <w:pPr>
        <w:pStyle w:val="BodyText"/>
        <w:spacing w:line="362" w:lineRule="auto" w:before="1"/>
        <w:ind w:left="259" w:right="247" w:firstLine="283"/>
        <w:jc w:val="both"/>
      </w:pPr>
      <w:r>
        <w:rPr/>
        <w:t>La energía metabolizable (ME, MJ / kg MS) y la digestibilidad de la materia orgánica (DMO,%) de diferentes partes de semillas de cártamo se calcularon utilizando el modelo de Menke et al. (1979) como sigue:</w:t>
      </w:r>
    </w:p>
    <w:p>
      <w:pPr>
        <w:pStyle w:val="BodyText"/>
        <w:spacing w:before="1"/>
        <w:rPr>
          <w:sz w:val="14"/>
        </w:rPr>
      </w:pPr>
    </w:p>
    <w:p>
      <w:pPr>
        <w:spacing w:after="0"/>
        <w:rPr>
          <w:sz w:val="14"/>
        </w:rPr>
        <w:sectPr>
          <w:pgSz w:w="12240" w:h="15840"/>
          <w:pgMar w:header="684" w:footer="1164" w:top="1380" w:bottom="1380" w:left="1440" w:right="1460"/>
        </w:sectPr>
      </w:pPr>
    </w:p>
    <w:p>
      <w:pPr>
        <w:spacing w:before="121"/>
        <w:ind w:left="1004" w:right="0" w:firstLine="0"/>
        <w:jc w:val="left"/>
        <w:rPr>
          <w:rFonts w:ascii="Times New Roman" w:hAnsi="Times New Roman"/>
          <w:sz w:val="12"/>
        </w:rPr>
      </w:pPr>
      <w:r>
        <w:rPr>
          <w:rFonts w:ascii="Times New Roman" w:hAnsi="Times New Roman"/>
          <w:spacing w:val="-5"/>
          <w:w w:val="105"/>
          <w:sz w:val="21"/>
        </w:rPr>
        <w:t>ME</w:t>
      </w:r>
      <w:r>
        <w:rPr>
          <w:rFonts w:ascii="Times New Roman" w:hAnsi="Times New Roman"/>
          <w:spacing w:val="-11"/>
          <w:w w:val="105"/>
          <w:sz w:val="21"/>
        </w:rPr>
        <w:t> </w:t>
      </w:r>
      <w:r>
        <w:rPr>
          <w:rFonts w:ascii="Times New Roman" w:hAnsi="Times New Roman"/>
          <w:spacing w:val="-6"/>
          <w:w w:val="105"/>
          <w:sz w:val="21"/>
        </w:rPr>
        <w:t>(MJ/kg</w:t>
      </w:r>
      <w:r>
        <w:rPr>
          <w:rFonts w:ascii="Times New Roman" w:hAnsi="Times New Roman"/>
          <w:spacing w:val="2"/>
          <w:w w:val="105"/>
          <w:sz w:val="21"/>
        </w:rPr>
        <w:t> </w:t>
      </w:r>
      <w:r>
        <w:rPr>
          <w:rFonts w:ascii="Times New Roman" w:hAnsi="Times New Roman"/>
          <w:spacing w:val="-8"/>
          <w:w w:val="105"/>
          <w:sz w:val="21"/>
        </w:rPr>
        <w:t>DM)</w:t>
      </w:r>
      <w:r>
        <w:rPr>
          <w:rFonts w:ascii="Times New Roman" w:hAnsi="Times New Roman"/>
          <w:spacing w:val="-5"/>
          <w:w w:val="105"/>
          <w:sz w:val="21"/>
        </w:rPr>
        <w:t> </w:t>
      </w:r>
      <w:r>
        <w:rPr>
          <w:rFonts w:ascii="Times New Roman" w:hAnsi="Times New Roman"/>
          <w:w w:val="105"/>
          <w:sz w:val="21"/>
        </w:rPr>
        <w:t>=</w:t>
      </w:r>
      <w:r>
        <w:rPr>
          <w:rFonts w:ascii="Times New Roman" w:hAnsi="Times New Roman"/>
          <w:spacing w:val="-5"/>
          <w:w w:val="105"/>
          <w:sz w:val="21"/>
        </w:rPr>
        <w:t> </w:t>
      </w:r>
      <w:r>
        <w:rPr>
          <w:rFonts w:ascii="Times New Roman" w:hAnsi="Times New Roman"/>
          <w:spacing w:val="-3"/>
          <w:w w:val="105"/>
          <w:sz w:val="21"/>
        </w:rPr>
        <w:t>2.20</w:t>
      </w:r>
      <w:r>
        <w:rPr>
          <w:rFonts w:ascii="Times New Roman" w:hAnsi="Times New Roman"/>
          <w:spacing w:val="-27"/>
          <w:w w:val="105"/>
          <w:sz w:val="21"/>
        </w:rPr>
        <w:t> </w:t>
      </w:r>
      <w:r>
        <w:rPr>
          <w:rFonts w:ascii="Times New Roman" w:hAnsi="Times New Roman"/>
          <w:w w:val="105"/>
          <w:sz w:val="21"/>
        </w:rPr>
        <w:t>+</w:t>
      </w:r>
      <w:r>
        <w:rPr>
          <w:rFonts w:ascii="Times New Roman" w:hAnsi="Times New Roman"/>
          <w:spacing w:val="-21"/>
          <w:w w:val="105"/>
          <w:sz w:val="21"/>
        </w:rPr>
        <w:t> </w:t>
      </w:r>
      <w:r>
        <w:rPr>
          <w:rFonts w:ascii="Times New Roman" w:hAnsi="Times New Roman"/>
          <w:w w:val="105"/>
          <w:sz w:val="21"/>
        </w:rPr>
        <w:t>0.136</w:t>
      </w:r>
      <w:r>
        <w:rPr>
          <w:rFonts w:ascii="Symbol" w:hAnsi="Symbol"/>
          <w:w w:val="105"/>
          <w:sz w:val="21"/>
        </w:rPr>
        <w:t></w:t>
      </w:r>
      <w:r>
        <w:rPr>
          <w:rFonts w:ascii="Times New Roman" w:hAnsi="Times New Roman"/>
          <w:spacing w:val="-29"/>
          <w:w w:val="105"/>
          <w:sz w:val="21"/>
        </w:rPr>
        <w:t> </w:t>
      </w:r>
      <w:r>
        <w:rPr>
          <w:rFonts w:ascii="Times New Roman" w:hAnsi="Times New Roman"/>
          <w:spacing w:val="-7"/>
          <w:w w:val="105"/>
          <w:sz w:val="21"/>
        </w:rPr>
        <w:t>GP</w:t>
      </w:r>
      <w:r>
        <w:rPr>
          <w:rFonts w:ascii="Times New Roman" w:hAnsi="Times New Roman"/>
          <w:spacing w:val="-10"/>
          <w:w w:val="105"/>
          <w:sz w:val="21"/>
        </w:rPr>
        <w:t> </w:t>
      </w:r>
      <w:r>
        <w:rPr>
          <w:rFonts w:ascii="Times New Roman" w:hAnsi="Times New Roman"/>
          <w:w w:val="105"/>
          <w:sz w:val="21"/>
        </w:rPr>
        <w:t>+</w:t>
      </w:r>
      <w:r>
        <w:rPr>
          <w:rFonts w:ascii="Times New Roman" w:hAnsi="Times New Roman"/>
          <w:spacing w:val="-21"/>
          <w:w w:val="105"/>
          <w:sz w:val="21"/>
        </w:rPr>
        <w:t> </w:t>
      </w:r>
      <w:r>
        <w:rPr>
          <w:rFonts w:ascii="Times New Roman" w:hAnsi="Times New Roman"/>
          <w:spacing w:val="5"/>
          <w:w w:val="105"/>
          <w:sz w:val="21"/>
        </w:rPr>
        <w:t>0.057</w:t>
      </w:r>
      <w:r>
        <w:rPr>
          <w:rFonts w:ascii="Symbol" w:hAnsi="Symbol"/>
          <w:spacing w:val="5"/>
          <w:w w:val="105"/>
          <w:sz w:val="21"/>
        </w:rPr>
        <w:t></w:t>
      </w:r>
      <w:r>
        <w:rPr>
          <w:rFonts w:ascii="Times New Roman" w:hAnsi="Times New Roman"/>
          <w:spacing w:val="5"/>
          <w:w w:val="105"/>
          <w:sz w:val="21"/>
        </w:rPr>
        <w:t>CP+</w:t>
      </w:r>
      <w:r>
        <w:rPr>
          <w:rFonts w:ascii="Times New Roman" w:hAnsi="Times New Roman"/>
          <w:spacing w:val="-21"/>
          <w:w w:val="105"/>
          <w:sz w:val="21"/>
        </w:rPr>
        <w:t> </w:t>
      </w:r>
      <w:r>
        <w:rPr>
          <w:rFonts w:ascii="Times New Roman" w:hAnsi="Times New Roman"/>
          <w:w w:val="105"/>
          <w:sz w:val="21"/>
        </w:rPr>
        <w:t>0.0029</w:t>
      </w:r>
      <w:r>
        <w:rPr>
          <w:rFonts w:ascii="Symbol" w:hAnsi="Symbol"/>
          <w:w w:val="105"/>
          <w:sz w:val="21"/>
        </w:rPr>
        <w:t></w:t>
      </w:r>
      <w:r>
        <w:rPr>
          <w:rFonts w:ascii="Times New Roman" w:hAnsi="Times New Roman"/>
          <w:w w:val="105"/>
          <w:sz w:val="21"/>
        </w:rPr>
        <w:t>CF</w:t>
      </w:r>
      <w:r>
        <w:rPr>
          <w:rFonts w:ascii="Times New Roman" w:hAnsi="Times New Roman"/>
          <w:w w:val="105"/>
          <w:position w:val="9"/>
          <w:sz w:val="12"/>
        </w:rPr>
        <w:t>2</w:t>
      </w:r>
    </w:p>
    <w:p>
      <w:pPr>
        <w:spacing w:before="51"/>
        <w:ind w:left="502" w:right="0" w:firstLine="0"/>
        <w:jc w:val="left"/>
        <w:rPr>
          <w:rFonts w:ascii="Symbol" w:hAnsi="Symbol"/>
          <w:sz w:val="28"/>
        </w:rPr>
      </w:pPr>
      <w:r>
        <w:rPr/>
        <w:br w:type="column"/>
      </w:r>
      <w:r>
        <w:rPr>
          <w:rFonts w:ascii="Symbol" w:hAnsi="Symbol"/>
          <w:sz w:val="28"/>
        </w:rPr>
        <w:t></w:t>
      </w:r>
      <w:r>
        <w:rPr>
          <w:rFonts w:ascii="Times New Roman" w:hAnsi="Times New Roman"/>
          <w:sz w:val="21"/>
        </w:rPr>
        <w:t>7</w:t>
      </w:r>
      <w:r>
        <w:rPr>
          <w:rFonts w:ascii="Symbol" w:hAnsi="Symbol"/>
          <w:sz w:val="28"/>
        </w:rPr>
        <w:t></w:t>
      </w:r>
    </w:p>
    <w:p>
      <w:pPr>
        <w:spacing w:after="0"/>
        <w:jc w:val="left"/>
        <w:rPr>
          <w:rFonts w:ascii="Symbol" w:hAnsi="Symbol"/>
          <w:sz w:val="28"/>
        </w:rPr>
        <w:sectPr>
          <w:type w:val="continuous"/>
          <w:pgSz w:w="12240" w:h="15840"/>
          <w:pgMar w:top="3080" w:bottom="2780" w:left="1440" w:right="1460"/>
          <w:cols w:num="2" w:equalWidth="0">
            <w:col w:w="6307" w:space="40"/>
            <w:col w:w="2993"/>
          </w:cols>
        </w:sectPr>
      </w:pPr>
    </w:p>
    <w:p>
      <w:pPr>
        <w:pStyle w:val="BodyText"/>
        <w:spacing w:before="3"/>
        <w:rPr>
          <w:rFonts w:ascii="Symbol" w:hAnsi="Symbol"/>
          <w:sz w:val="23"/>
        </w:rPr>
      </w:pPr>
    </w:p>
    <w:p>
      <w:pPr>
        <w:spacing w:after="0"/>
        <w:rPr>
          <w:rFonts w:ascii="Symbol" w:hAnsi="Symbol"/>
          <w:sz w:val="23"/>
        </w:rPr>
        <w:sectPr>
          <w:type w:val="continuous"/>
          <w:pgSz w:w="12240" w:h="15840"/>
          <w:pgMar w:top="3080" w:bottom="2780" w:left="1440" w:right="1460"/>
        </w:sectPr>
      </w:pPr>
    </w:p>
    <w:p>
      <w:pPr>
        <w:spacing w:before="120"/>
        <w:ind w:left="1001" w:right="0" w:firstLine="0"/>
        <w:jc w:val="left"/>
        <w:rPr>
          <w:rFonts w:ascii="Times New Roman" w:hAnsi="Times New Roman"/>
          <w:sz w:val="20"/>
        </w:rPr>
      </w:pPr>
      <w:r>
        <w:rPr>
          <w:rFonts w:ascii="Times New Roman" w:hAnsi="Times New Roman"/>
          <w:spacing w:val="-6"/>
          <w:w w:val="115"/>
          <w:sz w:val="20"/>
        </w:rPr>
        <w:t>OMD(%)</w:t>
      </w:r>
      <w:r>
        <w:rPr>
          <w:rFonts w:ascii="Times New Roman" w:hAnsi="Times New Roman"/>
          <w:w w:val="115"/>
          <w:sz w:val="20"/>
        </w:rPr>
        <w:t> =14.88+</w:t>
      </w:r>
      <w:r>
        <w:rPr>
          <w:rFonts w:ascii="Times New Roman" w:hAnsi="Times New Roman"/>
          <w:spacing w:val="-23"/>
          <w:w w:val="115"/>
          <w:sz w:val="20"/>
        </w:rPr>
        <w:t> </w:t>
      </w:r>
      <w:r>
        <w:rPr>
          <w:rFonts w:ascii="Times New Roman" w:hAnsi="Times New Roman"/>
          <w:spacing w:val="-3"/>
          <w:w w:val="115"/>
          <w:sz w:val="20"/>
        </w:rPr>
        <w:t>0.889</w:t>
      </w:r>
      <w:r>
        <w:rPr>
          <w:rFonts w:ascii="Symbol" w:hAnsi="Symbol"/>
          <w:spacing w:val="-3"/>
          <w:w w:val="115"/>
          <w:sz w:val="20"/>
        </w:rPr>
        <w:t></w:t>
      </w:r>
      <w:r>
        <w:rPr>
          <w:rFonts w:ascii="Times New Roman" w:hAnsi="Times New Roman"/>
          <w:spacing w:val="-3"/>
          <w:w w:val="115"/>
          <w:sz w:val="20"/>
        </w:rPr>
        <w:t>GP</w:t>
      </w:r>
      <w:r>
        <w:rPr>
          <w:rFonts w:ascii="Times New Roman" w:hAnsi="Times New Roman"/>
          <w:spacing w:val="-8"/>
          <w:w w:val="115"/>
          <w:sz w:val="20"/>
        </w:rPr>
        <w:t> </w:t>
      </w:r>
      <w:r>
        <w:rPr>
          <w:rFonts w:ascii="Times New Roman" w:hAnsi="Times New Roman"/>
          <w:w w:val="115"/>
          <w:sz w:val="20"/>
        </w:rPr>
        <w:t>+</w:t>
      </w:r>
      <w:r>
        <w:rPr>
          <w:rFonts w:ascii="Times New Roman" w:hAnsi="Times New Roman"/>
          <w:spacing w:val="-23"/>
          <w:w w:val="115"/>
          <w:sz w:val="20"/>
        </w:rPr>
        <w:t> </w:t>
      </w:r>
      <w:r>
        <w:rPr>
          <w:rFonts w:ascii="Times New Roman" w:hAnsi="Times New Roman"/>
          <w:spacing w:val="2"/>
          <w:w w:val="115"/>
          <w:sz w:val="20"/>
        </w:rPr>
        <w:t>0.45</w:t>
      </w:r>
      <w:r>
        <w:rPr>
          <w:rFonts w:ascii="Symbol" w:hAnsi="Symbol"/>
          <w:spacing w:val="2"/>
          <w:w w:val="115"/>
          <w:sz w:val="20"/>
        </w:rPr>
        <w:t></w:t>
      </w:r>
      <w:r>
        <w:rPr>
          <w:rFonts w:ascii="Times New Roman" w:hAnsi="Times New Roman"/>
          <w:spacing w:val="2"/>
          <w:w w:val="115"/>
          <w:sz w:val="20"/>
        </w:rPr>
        <w:t>CP+</w:t>
      </w:r>
      <w:r>
        <w:rPr>
          <w:rFonts w:ascii="Times New Roman" w:hAnsi="Times New Roman"/>
          <w:spacing w:val="-23"/>
          <w:w w:val="115"/>
          <w:sz w:val="20"/>
        </w:rPr>
        <w:t> </w:t>
      </w:r>
      <w:r>
        <w:rPr>
          <w:rFonts w:ascii="Times New Roman" w:hAnsi="Times New Roman"/>
          <w:spacing w:val="-6"/>
          <w:w w:val="115"/>
          <w:sz w:val="20"/>
        </w:rPr>
        <w:t>0.0651</w:t>
      </w:r>
      <w:r>
        <w:rPr>
          <w:rFonts w:ascii="Symbol" w:hAnsi="Symbol"/>
          <w:spacing w:val="-6"/>
          <w:w w:val="115"/>
          <w:sz w:val="20"/>
        </w:rPr>
        <w:t></w:t>
      </w:r>
      <w:r>
        <w:rPr>
          <w:rFonts w:ascii="Times New Roman" w:hAnsi="Times New Roman"/>
          <w:spacing w:val="-6"/>
          <w:w w:val="115"/>
          <w:sz w:val="20"/>
        </w:rPr>
        <w:t>Ash</w:t>
      </w:r>
    </w:p>
    <w:p>
      <w:pPr>
        <w:spacing w:before="59"/>
        <w:ind w:left="489" w:right="0" w:firstLine="0"/>
        <w:jc w:val="left"/>
        <w:rPr>
          <w:rFonts w:ascii="Symbol" w:hAnsi="Symbol"/>
          <w:sz w:val="26"/>
        </w:rPr>
      </w:pPr>
      <w:r>
        <w:rPr/>
        <w:br w:type="column"/>
      </w:r>
      <w:r>
        <w:rPr>
          <w:rFonts w:ascii="Symbol" w:hAnsi="Symbol"/>
          <w:sz w:val="26"/>
        </w:rPr>
        <w:t></w:t>
      </w:r>
      <w:r>
        <w:rPr>
          <w:rFonts w:ascii="Times New Roman" w:hAnsi="Times New Roman"/>
          <w:sz w:val="20"/>
        </w:rPr>
        <w:t>8</w:t>
      </w:r>
      <w:r>
        <w:rPr>
          <w:rFonts w:ascii="Symbol" w:hAnsi="Symbol"/>
          <w:sz w:val="26"/>
        </w:rPr>
        <w:t></w:t>
      </w:r>
    </w:p>
    <w:p>
      <w:pPr>
        <w:spacing w:after="0"/>
        <w:jc w:val="left"/>
        <w:rPr>
          <w:rFonts w:ascii="Symbol" w:hAnsi="Symbol"/>
          <w:sz w:val="26"/>
        </w:rPr>
        <w:sectPr>
          <w:type w:val="continuous"/>
          <w:pgSz w:w="12240" w:h="15840"/>
          <w:pgMar w:top="3080" w:bottom="2780" w:left="1440" w:right="1460"/>
          <w:cols w:num="2" w:equalWidth="0">
            <w:col w:w="5721" w:space="40"/>
            <w:col w:w="3579"/>
          </w:cols>
        </w:sectPr>
      </w:pPr>
    </w:p>
    <w:p>
      <w:pPr>
        <w:pStyle w:val="BodyText"/>
        <w:rPr>
          <w:rFonts w:ascii="Symbol" w:hAnsi="Symbol"/>
          <w:sz w:val="20"/>
        </w:rPr>
      </w:pPr>
    </w:p>
    <w:p>
      <w:pPr>
        <w:pStyle w:val="BodyText"/>
        <w:spacing w:line="360" w:lineRule="auto" w:before="197"/>
        <w:ind w:left="259" w:right="288" w:firstLine="283"/>
      </w:pPr>
      <w:r>
        <w:rPr/>
        <w:t>where GP is 24 h net gas production (ml/200 mg); CP is crude protein (%); CF is crude fat (%).</w:t>
      </w:r>
    </w:p>
    <w:p>
      <w:pPr>
        <w:pStyle w:val="BodyText"/>
        <w:spacing w:before="9"/>
        <w:rPr>
          <w:sz w:val="23"/>
        </w:rPr>
      </w:pPr>
    </w:p>
    <w:p>
      <w:pPr>
        <w:pStyle w:val="BodyText"/>
        <w:spacing w:line="364" w:lineRule="auto"/>
        <w:ind w:left="259" w:right="288" w:firstLine="283"/>
      </w:pPr>
      <w:r>
        <w:rPr/>
        <w:t>NDF/ ADF, fiber and Non-fiber disappearance were calculated with formula as follows:</w:t>
      </w:r>
    </w:p>
    <w:p>
      <w:pPr>
        <w:pStyle w:val="BodyText"/>
      </w:pPr>
    </w:p>
    <w:p>
      <w:pPr>
        <w:tabs>
          <w:tab w:pos="4435" w:val="left" w:leader="none"/>
        </w:tabs>
        <w:spacing w:line="309" w:lineRule="exact" w:before="0"/>
        <w:ind w:left="991" w:right="0" w:firstLine="0"/>
        <w:jc w:val="left"/>
        <w:rPr>
          <w:rFonts w:ascii="Symbol" w:hAnsi="Symbol"/>
          <w:sz w:val="24"/>
        </w:rPr>
      </w:pPr>
      <w:r>
        <w:rPr/>
        <w:pict>
          <v:line style="position:absolute;mso-position-horizontal-relative:page;mso-position-vertical-relative:paragraph;z-index:-330304" from="195.385544pt,12.856493pt" to="271.977389pt,12.856504pt" stroked="true" strokeweight=".099158pt" strokecolor="#000000">
            <w10:wrap type="none"/>
          </v:line>
        </w:pict>
      </w:r>
      <w:r>
        <w:rPr>
          <w:rFonts w:ascii="Symbol" w:hAnsi="Symbol"/>
          <w:spacing w:val="-10"/>
          <w:w w:val="110"/>
          <w:position w:val="-8"/>
          <w:sz w:val="24"/>
        </w:rPr>
        <w:t></w:t>
      </w:r>
      <w:r>
        <w:rPr>
          <w:rFonts w:ascii="Times New Roman" w:hAnsi="Times New Roman"/>
          <w:spacing w:val="-10"/>
          <w:w w:val="110"/>
          <w:position w:val="-8"/>
          <w:sz w:val="18"/>
        </w:rPr>
        <w:t>IVDMD</w:t>
      </w:r>
      <w:r>
        <w:rPr>
          <w:rFonts w:ascii="Symbol" w:hAnsi="Symbol"/>
          <w:spacing w:val="-10"/>
          <w:w w:val="110"/>
          <w:position w:val="-8"/>
          <w:sz w:val="24"/>
        </w:rPr>
        <w:t></w:t>
      </w:r>
      <w:r>
        <w:rPr>
          <w:rFonts w:ascii="Times New Roman" w:hAnsi="Times New Roman"/>
          <w:spacing w:val="-10"/>
          <w:w w:val="110"/>
          <w:position w:val="-8"/>
          <w:sz w:val="18"/>
        </w:rPr>
        <w:t>(g/kg) </w:t>
      </w:r>
      <w:r>
        <w:rPr>
          <w:rFonts w:ascii="Times New Roman" w:hAnsi="Times New Roman"/>
          <w:w w:val="110"/>
          <w:position w:val="-8"/>
          <w:sz w:val="18"/>
        </w:rPr>
        <w:t>= </w:t>
      </w:r>
      <w:r>
        <w:rPr>
          <w:rFonts w:ascii="Times New Roman" w:hAnsi="Times New Roman"/>
          <w:spacing w:val="-3"/>
          <w:w w:val="110"/>
          <w:position w:val="4"/>
          <w:sz w:val="18"/>
        </w:rPr>
        <w:t>W.</w:t>
      </w:r>
      <w:r>
        <w:rPr>
          <w:rFonts w:ascii="Symbol" w:hAnsi="Symbol"/>
          <w:spacing w:val="-3"/>
          <w:w w:val="110"/>
          <w:sz w:val="13"/>
        </w:rPr>
        <w:t></w:t>
      </w:r>
      <w:r>
        <w:rPr>
          <w:rFonts w:ascii="Times New Roman" w:hAnsi="Times New Roman"/>
          <w:spacing w:val="-3"/>
          <w:w w:val="110"/>
          <w:sz w:val="10"/>
        </w:rPr>
        <w:t>original</w:t>
      </w:r>
      <w:r>
        <w:rPr>
          <w:rFonts w:ascii="Symbol" w:hAnsi="Symbol"/>
          <w:spacing w:val="-3"/>
          <w:w w:val="110"/>
          <w:sz w:val="13"/>
        </w:rPr>
        <w:t></w:t>
      </w:r>
      <w:r>
        <w:rPr>
          <w:rFonts w:ascii="Times New Roman" w:hAnsi="Times New Roman"/>
          <w:spacing w:val="-3"/>
          <w:w w:val="110"/>
          <w:sz w:val="13"/>
        </w:rPr>
        <w:t> </w:t>
      </w:r>
      <w:r>
        <w:rPr>
          <w:rFonts w:ascii="Times New Roman" w:hAnsi="Times New Roman"/>
          <w:w w:val="110"/>
          <w:position w:val="4"/>
          <w:sz w:val="18"/>
        </w:rPr>
        <w:t>-</w:t>
      </w:r>
      <w:r>
        <w:rPr>
          <w:rFonts w:ascii="Times New Roman" w:hAnsi="Times New Roman"/>
          <w:spacing w:val="20"/>
          <w:w w:val="110"/>
          <w:position w:val="4"/>
          <w:sz w:val="18"/>
        </w:rPr>
        <w:t> </w:t>
      </w:r>
      <w:r>
        <w:rPr>
          <w:rFonts w:ascii="Times New Roman" w:hAnsi="Times New Roman"/>
          <w:spacing w:val="-4"/>
          <w:w w:val="110"/>
          <w:position w:val="4"/>
          <w:sz w:val="18"/>
        </w:rPr>
        <w:t>W.</w:t>
      </w:r>
      <w:r>
        <w:rPr>
          <w:rFonts w:ascii="Times New Roman" w:hAnsi="Times New Roman"/>
          <w:spacing w:val="-12"/>
          <w:w w:val="110"/>
          <w:position w:val="4"/>
          <w:sz w:val="18"/>
        </w:rPr>
        <w:t> </w:t>
      </w:r>
      <w:r>
        <w:rPr>
          <w:rFonts w:ascii="Symbol" w:hAnsi="Symbol"/>
          <w:w w:val="110"/>
          <w:sz w:val="13"/>
        </w:rPr>
        <w:t></w:t>
      </w:r>
      <w:r>
        <w:rPr>
          <w:rFonts w:ascii="Times New Roman" w:hAnsi="Times New Roman"/>
          <w:w w:val="110"/>
          <w:sz w:val="10"/>
        </w:rPr>
        <w:t>residue</w:t>
      </w:r>
      <w:r>
        <w:rPr>
          <w:rFonts w:ascii="Symbol" w:hAnsi="Symbol"/>
          <w:w w:val="110"/>
          <w:sz w:val="13"/>
        </w:rPr>
        <w:t></w:t>
      </w:r>
      <w:r>
        <w:rPr>
          <w:rFonts w:ascii="Times New Roman" w:hAnsi="Times New Roman"/>
          <w:w w:val="110"/>
          <w:sz w:val="13"/>
        </w:rPr>
        <w:tab/>
      </w:r>
      <w:r>
        <w:rPr>
          <w:rFonts w:ascii="Symbol" w:hAnsi="Symbol"/>
          <w:spacing w:val="-5"/>
          <w:w w:val="110"/>
          <w:position w:val="-8"/>
          <w:sz w:val="24"/>
        </w:rPr>
        <w:t></w:t>
      </w:r>
      <w:r>
        <w:rPr>
          <w:rFonts w:ascii="Times New Roman" w:hAnsi="Times New Roman"/>
          <w:spacing w:val="-5"/>
          <w:w w:val="110"/>
          <w:position w:val="-8"/>
          <w:sz w:val="18"/>
        </w:rPr>
        <w:t>9</w:t>
      </w:r>
      <w:r>
        <w:rPr>
          <w:rFonts w:ascii="Symbol" w:hAnsi="Symbol"/>
          <w:spacing w:val="-5"/>
          <w:w w:val="110"/>
          <w:position w:val="-8"/>
          <w:sz w:val="24"/>
        </w:rPr>
        <w:t></w:t>
      </w:r>
    </w:p>
    <w:p>
      <w:pPr>
        <w:spacing w:line="188" w:lineRule="exact" w:before="0"/>
        <w:ind w:left="2898" w:right="0" w:firstLine="0"/>
        <w:jc w:val="left"/>
        <w:rPr>
          <w:rFonts w:ascii="Times New Roman"/>
          <w:sz w:val="10"/>
        </w:rPr>
      </w:pPr>
      <w:r>
        <w:rPr>
          <w:rFonts w:ascii="Times New Roman"/>
          <w:w w:val="115"/>
          <w:position w:val="4"/>
          <w:sz w:val="18"/>
        </w:rPr>
        <w:t>W. </w:t>
      </w:r>
      <w:r>
        <w:rPr>
          <w:rFonts w:ascii="Times New Roman"/>
          <w:w w:val="115"/>
          <w:sz w:val="10"/>
        </w:rPr>
        <w:t>(original)</w:t>
      </w:r>
    </w:p>
    <w:p>
      <w:pPr>
        <w:pStyle w:val="BodyText"/>
        <w:spacing w:before="9"/>
        <w:rPr>
          <w:rFonts w:ascii="Times New Roman"/>
          <w:sz w:val="28"/>
        </w:rPr>
      </w:pPr>
    </w:p>
    <w:p>
      <w:pPr>
        <w:spacing w:after="0"/>
        <w:rPr>
          <w:rFonts w:ascii="Times New Roman"/>
          <w:sz w:val="28"/>
        </w:rPr>
        <w:sectPr>
          <w:type w:val="continuous"/>
          <w:pgSz w:w="12240" w:h="15840"/>
          <w:pgMar w:top="3080" w:bottom="2780" w:left="1440" w:right="1460"/>
        </w:sectPr>
      </w:pPr>
    </w:p>
    <w:p>
      <w:pPr>
        <w:spacing w:line="345" w:lineRule="exact" w:before="55"/>
        <w:ind w:left="991" w:right="0" w:firstLine="0"/>
        <w:jc w:val="left"/>
        <w:rPr>
          <w:rFonts w:ascii="Times New Roman" w:hAnsi="Times New Roman"/>
          <w:sz w:val="18"/>
        </w:rPr>
      </w:pPr>
      <w:r>
        <w:rPr/>
        <w:pict>
          <v:line style="position:absolute;mso-position-horizontal-relative:page;mso-position-vertical-relative:paragraph;z-index:-330280" from="201.453079pt,19.4594pt" to="360.98238pt,19.459415pt" stroked="true" strokeweight=".09916pt" strokecolor="#000000">
            <w10:wrap type="none"/>
          </v:line>
        </w:pict>
      </w:r>
      <w:r>
        <w:rPr>
          <w:rFonts w:ascii="Symbol" w:hAnsi="Symbol"/>
          <w:spacing w:val="-8"/>
          <w:w w:val="110"/>
          <w:position w:val="-12"/>
          <w:sz w:val="24"/>
        </w:rPr>
        <w:t></w:t>
      </w:r>
      <w:r>
        <w:rPr>
          <w:rFonts w:ascii="Times New Roman" w:hAnsi="Times New Roman"/>
          <w:spacing w:val="-8"/>
          <w:w w:val="110"/>
          <w:position w:val="-12"/>
          <w:sz w:val="18"/>
        </w:rPr>
        <w:t>NDF/</w:t>
      </w:r>
      <w:r>
        <w:rPr>
          <w:rFonts w:ascii="Times New Roman" w:hAnsi="Times New Roman"/>
          <w:spacing w:val="-22"/>
          <w:w w:val="110"/>
          <w:position w:val="-12"/>
          <w:sz w:val="18"/>
        </w:rPr>
        <w:t> </w:t>
      </w:r>
      <w:r>
        <w:rPr>
          <w:rFonts w:ascii="Times New Roman" w:hAnsi="Times New Roman"/>
          <w:spacing w:val="-10"/>
          <w:w w:val="110"/>
          <w:position w:val="-12"/>
          <w:sz w:val="18"/>
        </w:rPr>
        <w:t>ADF</w:t>
      </w:r>
      <w:r>
        <w:rPr>
          <w:rFonts w:ascii="Symbol" w:hAnsi="Symbol"/>
          <w:spacing w:val="-10"/>
          <w:w w:val="110"/>
          <w:position w:val="-12"/>
          <w:sz w:val="24"/>
        </w:rPr>
        <w:t></w:t>
      </w:r>
      <w:r>
        <w:rPr>
          <w:rFonts w:ascii="Times New Roman" w:hAnsi="Times New Roman"/>
          <w:spacing w:val="17"/>
          <w:w w:val="110"/>
          <w:position w:val="-12"/>
          <w:sz w:val="24"/>
        </w:rPr>
        <w:t> </w:t>
      </w:r>
      <w:r>
        <w:rPr>
          <w:rFonts w:ascii="Times New Roman" w:hAnsi="Times New Roman"/>
          <w:spacing w:val="-6"/>
          <w:w w:val="110"/>
          <w:position w:val="-12"/>
          <w:sz w:val="18"/>
        </w:rPr>
        <w:t>(%)</w:t>
      </w:r>
      <w:r>
        <w:rPr>
          <w:rFonts w:ascii="Times New Roman" w:hAnsi="Times New Roman"/>
          <w:spacing w:val="-19"/>
          <w:w w:val="110"/>
          <w:position w:val="-12"/>
          <w:sz w:val="18"/>
        </w:rPr>
        <w:t> </w:t>
      </w:r>
      <w:r>
        <w:rPr>
          <w:rFonts w:ascii="Times New Roman" w:hAnsi="Times New Roman"/>
          <w:w w:val="110"/>
          <w:position w:val="-12"/>
          <w:sz w:val="18"/>
        </w:rPr>
        <w:t>=</w:t>
      </w:r>
      <w:r>
        <w:rPr>
          <w:rFonts w:ascii="Times New Roman" w:hAnsi="Times New Roman"/>
          <w:spacing w:val="-17"/>
          <w:w w:val="110"/>
          <w:position w:val="-12"/>
          <w:sz w:val="18"/>
        </w:rPr>
        <w:t> </w:t>
      </w:r>
      <w:r>
        <w:rPr>
          <w:rFonts w:ascii="Times New Roman" w:hAnsi="Times New Roman"/>
          <w:spacing w:val="-8"/>
          <w:w w:val="110"/>
          <w:sz w:val="18"/>
        </w:rPr>
        <w:t>[</w:t>
      </w:r>
      <w:r>
        <w:rPr>
          <w:rFonts w:ascii="Symbol" w:hAnsi="Symbol"/>
          <w:spacing w:val="-8"/>
          <w:w w:val="110"/>
          <w:sz w:val="24"/>
        </w:rPr>
        <w:t></w:t>
      </w:r>
      <w:r>
        <w:rPr>
          <w:rFonts w:ascii="Times New Roman" w:hAnsi="Times New Roman"/>
          <w:spacing w:val="-8"/>
          <w:w w:val="110"/>
          <w:sz w:val="18"/>
        </w:rPr>
        <w:t>NDF/</w:t>
      </w:r>
      <w:r>
        <w:rPr>
          <w:rFonts w:ascii="Times New Roman" w:hAnsi="Times New Roman"/>
          <w:spacing w:val="-22"/>
          <w:w w:val="110"/>
          <w:sz w:val="18"/>
        </w:rPr>
        <w:t> </w:t>
      </w:r>
      <w:r>
        <w:rPr>
          <w:rFonts w:ascii="Times New Roman" w:hAnsi="Times New Roman"/>
          <w:spacing w:val="-10"/>
          <w:w w:val="110"/>
          <w:sz w:val="18"/>
        </w:rPr>
        <w:t>ADF</w:t>
      </w:r>
      <w:r>
        <w:rPr>
          <w:rFonts w:ascii="Symbol" w:hAnsi="Symbol"/>
          <w:spacing w:val="-10"/>
          <w:w w:val="110"/>
          <w:sz w:val="24"/>
        </w:rPr>
        <w:t></w:t>
      </w:r>
      <w:r>
        <w:rPr>
          <w:rFonts w:ascii="Times New Roman" w:hAnsi="Times New Roman"/>
          <w:spacing w:val="-45"/>
          <w:w w:val="110"/>
          <w:sz w:val="24"/>
        </w:rPr>
        <w:t> </w:t>
      </w:r>
      <w:r>
        <w:rPr>
          <w:rFonts w:ascii="Times New Roman" w:hAnsi="Times New Roman"/>
          <w:w w:val="110"/>
          <w:position w:val="-3"/>
          <w:sz w:val="10"/>
        </w:rPr>
        <w:t>(original)</w:t>
      </w:r>
      <w:r>
        <w:rPr>
          <w:rFonts w:ascii="Times New Roman" w:hAnsi="Times New Roman"/>
          <w:spacing w:val="-11"/>
          <w:w w:val="110"/>
          <w:position w:val="-3"/>
          <w:sz w:val="10"/>
        </w:rPr>
        <w:t> </w:t>
      </w:r>
      <w:r>
        <w:rPr>
          <w:rFonts w:ascii="Times New Roman" w:hAnsi="Times New Roman"/>
          <w:w w:val="110"/>
          <w:sz w:val="18"/>
        </w:rPr>
        <w:t>-</w:t>
      </w:r>
      <w:r>
        <w:rPr>
          <w:rFonts w:ascii="Times New Roman" w:hAnsi="Times New Roman"/>
          <w:spacing w:val="-32"/>
          <w:w w:val="110"/>
          <w:sz w:val="18"/>
        </w:rPr>
        <w:t> </w:t>
      </w:r>
      <w:r>
        <w:rPr>
          <w:rFonts w:ascii="Symbol" w:hAnsi="Symbol"/>
          <w:spacing w:val="-8"/>
          <w:w w:val="110"/>
          <w:sz w:val="24"/>
        </w:rPr>
        <w:t></w:t>
      </w:r>
      <w:r>
        <w:rPr>
          <w:rFonts w:ascii="Times New Roman" w:hAnsi="Times New Roman"/>
          <w:spacing w:val="-8"/>
          <w:w w:val="110"/>
          <w:sz w:val="18"/>
        </w:rPr>
        <w:t>NDF/</w:t>
      </w:r>
      <w:r>
        <w:rPr>
          <w:rFonts w:ascii="Times New Roman" w:hAnsi="Times New Roman"/>
          <w:spacing w:val="-21"/>
          <w:w w:val="110"/>
          <w:sz w:val="18"/>
        </w:rPr>
        <w:t> </w:t>
      </w:r>
      <w:r>
        <w:rPr>
          <w:rFonts w:ascii="Times New Roman" w:hAnsi="Times New Roman"/>
          <w:spacing w:val="-10"/>
          <w:w w:val="110"/>
          <w:sz w:val="18"/>
        </w:rPr>
        <w:t>ADF</w:t>
      </w:r>
      <w:r>
        <w:rPr>
          <w:rFonts w:ascii="Symbol" w:hAnsi="Symbol"/>
          <w:spacing w:val="-10"/>
          <w:w w:val="110"/>
          <w:sz w:val="24"/>
        </w:rPr>
        <w:t></w:t>
      </w:r>
      <w:r>
        <w:rPr>
          <w:rFonts w:ascii="Times New Roman" w:hAnsi="Times New Roman"/>
          <w:spacing w:val="-45"/>
          <w:w w:val="110"/>
          <w:sz w:val="24"/>
        </w:rPr>
        <w:t> </w:t>
      </w:r>
      <w:r>
        <w:rPr>
          <w:rFonts w:ascii="Symbol" w:hAnsi="Symbol"/>
          <w:w w:val="110"/>
          <w:position w:val="-3"/>
          <w:sz w:val="13"/>
        </w:rPr>
        <w:t></w:t>
      </w:r>
      <w:r>
        <w:rPr>
          <w:rFonts w:ascii="Times New Roman" w:hAnsi="Times New Roman"/>
          <w:w w:val="110"/>
          <w:position w:val="-3"/>
          <w:sz w:val="10"/>
        </w:rPr>
        <w:t>residue</w:t>
      </w:r>
      <w:r>
        <w:rPr>
          <w:rFonts w:ascii="Symbol" w:hAnsi="Symbol"/>
          <w:w w:val="110"/>
          <w:position w:val="-3"/>
          <w:sz w:val="13"/>
        </w:rPr>
        <w:t></w:t>
      </w:r>
      <w:r>
        <w:rPr>
          <w:rFonts w:ascii="Times New Roman" w:hAnsi="Times New Roman"/>
          <w:w w:val="110"/>
          <w:sz w:val="18"/>
        </w:rPr>
        <w:t>]</w:t>
      </w:r>
      <w:r>
        <w:rPr>
          <w:rFonts w:ascii="Times New Roman" w:hAnsi="Times New Roman"/>
          <w:spacing w:val="-24"/>
          <w:w w:val="110"/>
          <w:sz w:val="18"/>
        </w:rPr>
        <w:t> </w:t>
      </w:r>
      <w:r>
        <w:rPr>
          <w:rFonts w:ascii="Times New Roman" w:hAnsi="Times New Roman"/>
          <w:spacing w:val="-3"/>
          <w:w w:val="110"/>
          <w:position w:val="-12"/>
          <w:sz w:val="18"/>
        </w:rPr>
        <w:t>*100</w:t>
      </w:r>
    </w:p>
    <w:p>
      <w:pPr>
        <w:spacing w:line="13" w:lineRule="exact" w:before="0"/>
        <w:ind w:left="3402" w:right="0" w:firstLine="0"/>
        <w:jc w:val="left"/>
        <w:rPr>
          <w:rFonts w:ascii="Times New Roman" w:hAnsi="Times New Roman"/>
          <w:sz w:val="18"/>
        </w:rPr>
      </w:pPr>
      <w:r>
        <w:rPr>
          <w:rFonts w:ascii="Times New Roman" w:hAnsi="Times New Roman"/>
          <w:w w:val="110"/>
          <w:sz w:val="18"/>
        </w:rPr>
        <w:t>[</w:t>
      </w:r>
      <w:r>
        <w:rPr>
          <w:rFonts w:ascii="Symbol" w:hAnsi="Symbol"/>
          <w:w w:val="110"/>
          <w:sz w:val="24"/>
        </w:rPr>
        <w:t></w:t>
      </w:r>
      <w:r>
        <w:rPr>
          <w:rFonts w:ascii="Times New Roman" w:hAnsi="Times New Roman"/>
          <w:w w:val="110"/>
          <w:sz w:val="18"/>
        </w:rPr>
        <w:t>NDF/ ADF</w:t>
      </w:r>
      <w:r>
        <w:rPr>
          <w:rFonts w:ascii="Symbol" w:hAnsi="Symbol"/>
          <w:w w:val="110"/>
          <w:sz w:val="24"/>
        </w:rPr>
        <w:t></w:t>
      </w:r>
      <w:r>
        <w:rPr>
          <w:rFonts w:ascii="Times New Roman" w:hAnsi="Times New Roman"/>
          <w:w w:val="110"/>
          <w:sz w:val="24"/>
        </w:rPr>
        <w:t> </w:t>
      </w:r>
      <w:r>
        <w:rPr>
          <w:rFonts w:ascii="Times New Roman" w:hAnsi="Times New Roman"/>
          <w:w w:val="110"/>
          <w:position w:val="-3"/>
          <w:sz w:val="10"/>
        </w:rPr>
        <w:t>(original)</w:t>
      </w:r>
      <w:r>
        <w:rPr>
          <w:rFonts w:ascii="Times New Roman" w:hAnsi="Times New Roman"/>
          <w:w w:val="110"/>
          <w:sz w:val="18"/>
        </w:rPr>
        <w:t>]</w:t>
      </w:r>
    </w:p>
    <w:p>
      <w:pPr>
        <w:spacing w:line="201" w:lineRule="exact" w:before="186"/>
        <w:ind w:left="381" w:right="0" w:firstLine="0"/>
        <w:jc w:val="left"/>
        <w:rPr>
          <w:rFonts w:ascii="Symbol" w:hAnsi="Symbol"/>
          <w:sz w:val="24"/>
        </w:rPr>
      </w:pPr>
      <w:r>
        <w:rPr/>
        <w:br w:type="column"/>
      </w:r>
      <w:r>
        <w:rPr>
          <w:rFonts w:ascii="Symbol" w:hAnsi="Symbol"/>
          <w:sz w:val="24"/>
        </w:rPr>
        <w:t></w:t>
      </w:r>
      <w:r>
        <w:rPr>
          <w:rFonts w:ascii="Times New Roman" w:hAnsi="Times New Roman"/>
          <w:sz w:val="18"/>
        </w:rPr>
        <w:t>10</w:t>
      </w:r>
      <w:r>
        <w:rPr>
          <w:rFonts w:ascii="Symbol" w:hAnsi="Symbol"/>
          <w:sz w:val="24"/>
        </w:rPr>
        <w:t></w:t>
      </w:r>
    </w:p>
    <w:p>
      <w:pPr>
        <w:spacing w:after="0" w:line="201" w:lineRule="exact"/>
        <w:jc w:val="left"/>
        <w:rPr>
          <w:rFonts w:ascii="Symbol" w:hAnsi="Symbol"/>
          <w:sz w:val="24"/>
        </w:rPr>
        <w:sectPr>
          <w:type w:val="continuous"/>
          <w:pgSz w:w="12240" w:h="15840"/>
          <w:pgMar w:top="3080" w:bottom="2780" w:left="1440" w:right="1460"/>
          <w:cols w:num="2" w:equalWidth="0">
            <w:col w:w="6208" w:space="40"/>
            <w:col w:w="3092"/>
          </w:cols>
        </w:sectPr>
      </w:pPr>
    </w:p>
    <w:p>
      <w:pPr>
        <w:spacing w:line="93" w:lineRule="exact" w:before="0"/>
        <w:ind w:left="1989" w:right="0" w:firstLine="0"/>
        <w:jc w:val="left"/>
        <w:rPr>
          <w:rFonts w:ascii="Times New Roman"/>
          <w:sz w:val="10"/>
        </w:rPr>
      </w:pPr>
      <w:r>
        <w:rPr>
          <w:rFonts w:ascii="Times New Roman"/>
          <w:w w:val="119"/>
          <w:sz w:val="10"/>
        </w:rPr>
        <w:t>d</w:t>
      </w:r>
    </w:p>
    <w:p>
      <w:pPr>
        <w:pStyle w:val="BodyText"/>
        <w:rPr>
          <w:rFonts w:ascii="Times New Roman"/>
          <w:sz w:val="20"/>
        </w:rPr>
      </w:pPr>
    </w:p>
    <w:p>
      <w:pPr>
        <w:pStyle w:val="BodyText"/>
        <w:spacing w:before="4"/>
        <w:rPr>
          <w:rFonts w:ascii="Times New Roman"/>
          <w:sz w:val="19"/>
        </w:rPr>
      </w:pPr>
    </w:p>
    <w:p>
      <w:pPr>
        <w:tabs>
          <w:tab w:pos="5993" w:val="left" w:leader="none"/>
        </w:tabs>
        <w:spacing w:before="53"/>
        <w:ind w:left="1004" w:right="0" w:firstLine="0"/>
        <w:jc w:val="left"/>
        <w:rPr>
          <w:rFonts w:ascii="Symbol" w:hAnsi="Symbol"/>
          <w:sz w:val="29"/>
        </w:rPr>
      </w:pPr>
      <w:r>
        <w:rPr>
          <w:rFonts w:ascii="Times New Roman" w:hAnsi="Times New Roman"/>
          <w:spacing w:val="-12"/>
          <w:w w:val="105"/>
          <w:position w:val="5"/>
          <w:sz w:val="22"/>
        </w:rPr>
        <w:t>Fiber</w:t>
      </w:r>
      <w:r>
        <w:rPr>
          <w:rFonts w:ascii="Times New Roman" w:hAnsi="Times New Roman"/>
          <w:spacing w:val="-12"/>
          <w:w w:val="105"/>
          <w:sz w:val="13"/>
        </w:rPr>
        <w:t>d </w:t>
      </w:r>
      <w:r>
        <w:rPr>
          <w:rFonts w:ascii="Times New Roman" w:hAnsi="Times New Roman"/>
          <w:spacing w:val="-11"/>
          <w:w w:val="105"/>
          <w:sz w:val="13"/>
        </w:rPr>
        <w:t> </w:t>
      </w:r>
      <w:r>
        <w:rPr>
          <w:rFonts w:ascii="Symbol" w:hAnsi="Symbol"/>
          <w:spacing w:val="-8"/>
          <w:w w:val="105"/>
          <w:position w:val="5"/>
          <w:sz w:val="29"/>
        </w:rPr>
        <w:t></w:t>
      </w:r>
      <w:r>
        <w:rPr>
          <w:rFonts w:ascii="Times New Roman" w:hAnsi="Times New Roman"/>
          <w:spacing w:val="-8"/>
          <w:w w:val="105"/>
          <w:position w:val="5"/>
          <w:sz w:val="22"/>
        </w:rPr>
        <w:t>g/kg</w:t>
      </w:r>
      <w:r>
        <w:rPr>
          <w:rFonts w:ascii="Symbol" w:hAnsi="Symbol"/>
          <w:spacing w:val="-8"/>
          <w:w w:val="105"/>
          <w:position w:val="5"/>
          <w:sz w:val="29"/>
        </w:rPr>
        <w:t></w:t>
      </w:r>
      <w:r>
        <w:rPr>
          <w:rFonts w:ascii="Times New Roman" w:hAnsi="Times New Roman"/>
          <w:spacing w:val="-51"/>
          <w:w w:val="105"/>
          <w:position w:val="5"/>
          <w:sz w:val="29"/>
        </w:rPr>
        <w:t> </w:t>
      </w:r>
      <w:r>
        <w:rPr>
          <w:rFonts w:ascii="Symbol" w:hAnsi="Symbol"/>
          <w:w w:val="105"/>
          <w:position w:val="5"/>
          <w:sz w:val="22"/>
        </w:rPr>
        <w:t></w:t>
      </w:r>
      <w:r>
        <w:rPr>
          <w:rFonts w:ascii="Times New Roman" w:hAnsi="Times New Roman"/>
          <w:spacing w:val="-31"/>
          <w:w w:val="105"/>
          <w:position w:val="5"/>
          <w:sz w:val="22"/>
        </w:rPr>
        <w:t> </w:t>
      </w:r>
      <w:r>
        <w:rPr>
          <w:rFonts w:ascii="Symbol" w:hAnsi="Symbol"/>
          <w:spacing w:val="-10"/>
          <w:w w:val="105"/>
          <w:position w:val="5"/>
          <w:sz w:val="30"/>
        </w:rPr>
        <w:t></w:t>
      </w:r>
      <w:r>
        <w:rPr>
          <w:rFonts w:ascii="Times New Roman" w:hAnsi="Times New Roman"/>
          <w:i/>
          <w:spacing w:val="-10"/>
          <w:w w:val="105"/>
          <w:position w:val="5"/>
          <w:sz w:val="22"/>
        </w:rPr>
        <w:t>NDF</w:t>
      </w:r>
      <w:r>
        <w:rPr>
          <w:rFonts w:ascii="Times New Roman" w:hAnsi="Times New Roman"/>
          <w:i/>
          <w:spacing w:val="-26"/>
          <w:w w:val="105"/>
          <w:position w:val="5"/>
          <w:sz w:val="22"/>
        </w:rPr>
        <w:t> </w:t>
      </w:r>
      <w:r>
        <w:rPr>
          <w:rFonts w:ascii="Symbol" w:hAnsi="Symbol"/>
          <w:w w:val="105"/>
          <w:position w:val="5"/>
          <w:sz w:val="22"/>
        </w:rPr>
        <w:t></w:t>
      </w:r>
      <w:r>
        <w:rPr>
          <w:rFonts w:ascii="Times New Roman" w:hAnsi="Times New Roman"/>
          <w:spacing w:val="-22"/>
          <w:w w:val="105"/>
          <w:position w:val="5"/>
          <w:sz w:val="22"/>
        </w:rPr>
        <w:t> </w:t>
      </w:r>
      <w:r>
        <w:rPr>
          <w:rFonts w:ascii="Times New Roman" w:hAnsi="Times New Roman"/>
          <w:i/>
          <w:spacing w:val="-6"/>
          <w:w w:val="105"/>
          <w:position w:val="5"/>
          <w:sz w:val="22"/>
        </w:rPr>
        <w:t>ADF</w:t>
      </w:r>
      <w:r>
        <w:rPr>
          <w:rFonts w:ascii="Symbol" w:hAnsi="Symbol"/>
          <w:spacing w:val="-6"/>
          <w:w w:val="105"/>
          <w:position w:val="5"/>
          <w:sz w:val="30"/>
        </w:rPr>
        <w:t></w:t>
      </w:r>
      <w:r>
        <w:rPr>
          <w:rFonts w:ascii="Times New Roman" w:hAnsi="Times New Roman"/>
          <w:spacing w:val="-55"/>
          <w:w w:val="105"/>
          <w:position w:val="5"/>
          <w:sz w:val="30"/>
        </w:rPr>
        <w:t> </w:t>
      </w:r>
      <w:r>
        <w:rPr>
          <w:rFonts w:ascii="Symbol" w:hAnsi="Symbol"/>
          <w:spacing w:val="-7"/>
          <w:w w:val="105"/>
          <w:sz w:val="17"/>
        </w:rPr>
        <w:t></w:t>
      </w:r>
      <w:r>
        <w:rPr>
          <w:rFonts w:ascii="Times New Roman" w:hAnsi="Times New Roman"/>
          <w:spacing w:val="-7"/>
          <w:w w:val="105"/>
          <w:sz w:val="13"/>
        </w:rPr>
        <w:t>difference</w:t>
      </w:r>
      <w:r>
        <w:rPr>
          <w:rFonts w:ascii="Times New Roman" w:hAnsi="Times New Roman"/>
          <w:spacing w:val="-13"/>
          <w:w w:val="105"/>
          <w:sz w:val="13"/>
        </w:rPr>
        <w:t> </w:t>
      </w:r>
      <w:r>
        <w:rPr>
          <w:rFonts w:ascii="Times New Roman" w:hAnsi="Times New Roman"/>
          <w:spacing w:val="-3"/>
          <w:w w:val="105"/>
          <w:sz w:val="13"/>
        </w:rPr>
        <w:t>betweenoriginalandresidue</w:t>
      </w:r>
      <w:r>
        <w:rPr>
          <w:rFonts w:ascii="Symbol" w:hAnsi="Symbol"/>
          <w:spacing w:val="-3"/>
          <w:w w:val="105"/>
          <w:sz w:val="17"/>
        </w:rPr>
        <w:t></w:t>
      </w:r>
      <w:r>
        <w:rPr>
          <w:rFonts w:ascii="Times New Roman" w:hAnsi="Times New Roman"/>
          <w:spacing w:val="-3"/>
          <w:w w:val="105"/>
          <w:sz w:val="17"/>
        </w:rPr>
        <w:tab/>
      </w:r>
      <w:r>
        <w:rPr>
          <w:rFonts w:ascii="Symbol" w:hAnsi="Symbol"/>
          <w:spacing w:val="-17"/>
          <w:w w:val="105"/>
          <w:position w:val="5"/>
          <w:sz w:val="29"/>
        </w:rPr>
        <w:t></w:t>
      </w:r>
      <w:r>
        <w:rPr>
          <w:rFonts w:ascii="Times New Roman" w:hAnsi="Times New Roman"/>
          <w:spacing w:val="-17"/>
          <w:w w:val="105"/>
          <w:position w:val="5"/>
          <w:sz w:val="22"/>
        </w:rPr>
        <w:t>11</w:t>
      </w:r>
      <w:r>
        <w:rPr>
          <w:rFonts w:ascii="Symbol" w:hAnsi="Symbol"/>
          <w:spacing w:val="-17"/>
          <w:w w:val="105"/>
          <w:position w:val="5"/>
          <w:sz w:val="29"/>
        </w:rPr>
        <w:t></w:t>
      </w:r>
    </w:p>
    <w:p>
      <w:pPr>
        <w:pStyle w:val="BodyText"/>
        <w:spacing w:before="8"/>
        <w:rPr>
          <w:rFonts w:ascii="Symbol" w:hAnsi="Symbol"/>
          <w:sz w:val="26"/>
        </w:rPr>
      </w:pPr>
    </w:p>
    <w:p>
      <w:pPr>
        <w:tabs>
          <w:tab w:pos="7361" w:val="left" w:leader="none"/>
        </w:tabs>
        <w:spacing w:before="58"/>
        <w:ind w:left="1010" w:right="0" w:firstLine="0"/>
        <w:jc w:val="left"/>
        <w:rPr>
          <w:rFonts w:ascii="Symbol" w:hAnsi="Symbol"/>
          <w:sz w:val="24"/>
        </w:rPr>
      </w:pPr>
      <w:r>
        <w:rPr>
          <w:rFonts w:ascii="Times New Roman" w:hAnsi="Times New Roman"/>
          <w:w w:val="125"/>
          <w:position w:val="4"/>
          <w:sz w:val="18"/>
        </w:rPr>
        <w:t>Non-</w:t>
      </w:r>
      <w:r>
        <w:rPr>
          <w:rFonts w:ascii="Times New Roman" w:hAnsi="Times New Roman"/>
          <w:spacing w:val="-29"/>
          <w:w w:val="125"/>
          <w:position w:val="4"/>
          <w:sz w:val="18"/>
        </w:rPr>
        <w:t> </w:t>
      </w:r>
      <w:r>
        <w:rPr>
          <w:rFonts w:ascii="Times New Roman" w:hAnsi="Times New Roman"/>
          <w:spacing w:val="-10"/>
          <w:w w:val="125"/>
          <w:position w:val="4"/>
          <w:sz w:val="18"/>
        </w:rPr>
        <w:t>fiber</w:t>
      </w:r>
      <w:r>
        <w:rPr>
          <w:rFonts w:ascii="Times New Roman" w:hAnsi="Times New Roman"/>
          <w:spacing w:val="-10"/>
          <w:w w:val="125"/>
          <w:sz w:val="10"/>
        </w:rPr>
        <w:t>d   </w:t>
      </w:r>
      <w:r>
        <w:rPr>
          <w:rFonts w:ascii="Symbol" w:hAnsi="Symbol"/>
          <w:spacing w:val="-7"/>
          <w:w w:val="125"/>
          <w:position w:val="4"/>
          <w:sz w:val="24"/>
        </w:rPr>
        <w:t></w:t>
      </w:r>
      <w:r>
        <w:rPr>
          <w:rFonts w:ascii="Times New Roman" w:hAnsi="Times New Roman"/>
          <w:spacing w:val="-7"/>
          <w:w w:val="125"/>
          <w:position w:val="4"/>
          <w:sz w:val="18"/>
        </w:rPr>
        <w:t>g/kg</w:t>
      </w:r>
      <w:r>
        <w:rPr>
          <w:rFonts w:ascii="Symbol" w:hAnsi="Symbol"/>
          <w:spacing w:val="-7"/>
          <w:w w:val="125"/>
          <w:position w:val="4"/>
          <w:sz w:val="24"/>
        </w:rPr>
        <w:t></w:t>
      </w:r>
      <w:r>
        <w:rPr>
          <w:rFonts w:ascii="Times New Roman" w:hAnsi="Times New Roman"/>
          <w:spacing w:val="-48"/>
          <w:w w:val="125"/>
          <w:position w:val="4"/>
          <w:sz w:val="24"/>
        </w:rPr>
        <w:t> </w:t>
      </w:r>
      <w:r>
        <w:rPr>
          <w:rFonts w:ascii="Symbol" w:hAnsi="Symbol"/>
          <w:spacing w:val="-7"/>
          <w:w w:val="125"/>
          <w:position w:val="4"/>
          <w:sz w:val="18"/>
        </w:rPr>
        <w:t></w:t>
      </w:r>
      <w:r>
        <w:rPr>
          <w:rFonts w:ascii="Symbol" w:hAnsi="Symbol"/>
          <w:spacing w:val="-7"/>
          <w:w w:val="125"/>
          <w:position w:val="4"/>
          <w:sz w:val="25"/>
        </w:rPr>
        <w:t></w:t>
      </w:r>
      <w:r>
        <w:rPr>
          <w:rFonts w:ascii="Times New Roman" w:hAnsi="Times New Roman"/>
          <w:i/>
          <w:spacing w:val="-7"/>
          <w:w w:val="125"/>
          <w:position w:val="4"/>
          <w:sz w:val="18"/>
        </w:rPr>
        <w:t>IVDMD</w:t>
      </w:r>
      <w:r>
        <w:rPr>
          <w:rFonts w:ascii="Times New Roman" w:hAnsi="Times New Roman"/>
          <w:i/>
          <w:spacing w:val="-32"/>
          <w:w w:val="125"/>
          <w:position w:val="4"/>
          <w:sz w:val="18"/>
        </w:rPr>
        <w:t> </w:t>
      </w:r>
      <w:r>
        <w:rPr>
          <w:rFonts w:ascii="Symbol" w:hAnsi="Symbol"/>
          <w:w w:val="125"/>
          <w:position w:val="4"/>
          <w:sz w:val="18"/>
        </w:rPr>
        <w:t></w:t>
      </w:r>
      <w:r>
        <w:rPr>
          <w:rFonts w:ascii="Symbol" w:hAnsi="Symbol"/>
          <w:w w:val="125"/>
          <w:position w:val="4"/>
          <w:sz w:val="24"/>
        </w:rPr>
        <w:t></w:t>
      </w:r>
      <w:r>
        <w:rPr>
          <w:rFonts w:ascii="Times New Roman" w:hAnsi="Times New Roman"/>
          <w:i/>
          <w:w w:val="125"/>
          <w:position w:val="4"/>
          <w:sz w:val="18"/>
        </w:rPr>
        <w:t>NDF</w:t>
      </w:r>
      <w:r>
        <w:rPr>
          <w:rFonts w:ascii="Times New Roman" w:hAnsi="Times New Roman"/>
          <w:i/>
          <w:spacing w:val="-12"/>
          <w:w w:val="125"/>
          <w:position w:val="4"/>
          <w:sz w:val="18"/>
        </w:rPr>
        <w:t> </w:t>
      </w:r>
      <w:r>
        <w:rPr>
          <w:rFonts w:ascii="Symbol" w:hAnsi="Symbol"/>
          <w:w w:val="125"/>
          <w:position w:val="4"/>
          <w:sz w:val="18"/>
        </w:rPr>
        <w:t></w:t>
      </w:r>
      <w:r>
        <w:rPr>
          <w:rFonts w:ascii="Times New Roman" w:hAnsi="Times New Roman"/>
          <w:spacing w:val="-5"/>
          <w:w w:val="125"/>
          <w:position w:val="4"/>
          <w:sz w:val="18"/>
        </w:rPr>
        <w:t> </w:t>
      </w:r>
      <w:r>
        <w:rPr>
          <w:rFonts w:ascii="Times New Roman" w:hAnsi="Times New Roman"/>
          <w:i/>
          <w:spacing w:val="-8"/>
          <w:w w:val="125"/>
          <w:position w:val="4"/>
          <w:sz w:val="18"/>
        </w:rPr>
        <w:t>ADF</w:t>
      </w:r>
      <w:r>
        <w:rPr>
          <w:rFonts w:ascii="Symbol" w:hAnsi="Symbol"/>
          <w:spacing w:val="-8"/>
          <w:w w:val="125"/>
          <w:position w:val="4"/>
          <w:sz w:val="24"/>
        </w:rPr>
        <w:t></w:t>
      </w:r>
      <w:r>
        <w:rPr>
          <w:rFonts w:ascii="Symbol" w:hAnsi="Symbol"/>
          <w:spacing w:val="-8"/>
          <w:w w:val="125"/>
          <w:position w:val="4"/>
          <w:sz w:val="25"/>
        </w:rPr>
        <w:t></w:t>
      </w:r>
      <w:r>
        <w:rPr>
          <w:rFonts w:ascii="Times New Roman" w:hAnsi="Times New Roman"/>
          <w:spacing w:val="-45"/>
          <w:w w:val="125"/>
          <w:position w:val="4"/>
          <w:sz w:val="25"/>
        </w:rPr>
        <w:t> </w:t>
      </w:r>
      <w:r>
        <w:rPr>
          <w:rFonts w:ascii="Symbol" w:hAnsi="Symbol"/>
          <w:spacing w:val="-7"/>
          <w:w w:val="125"/>
          <w:sz w:val="14"/>
        </w:rPr>
        <w:t></w:t>
      </w:r>
      <w:r>
        <w:rPr>
          <w:rFonts w:ascii="Times New Roman" w:hAnsi="Times New Roman"/>
          <w:spacing w:val="-7"/>
          <w:w w:val="125"/>
          <w:sz w:val="10"/>
        </w:rPr>
        <w:t>difference</w:t>
      </w:r>
      <w:r>
        <w:rPr>
          <w:rFonts w:ascii="Times New Roman" w:hAnsi="Times New Roman"/>
          <w:spacing w:val="-1"/>
          <w:w w:val="125"/>
          <w:sz w:val="10"/>
        </w:rPr>
        <w:t> </w:t>
      </w:r>
      <w:r>
        <w:rPr>
          <w:rFonts w:ascii="Times New Roman" w:hAnsi="Times New Roman"/>
          <w:spacing w:val="-3"/>
          <w:w w:val="125"/>
          <w:sz w:val="10"/>
        </w:rPr>
        <w:t>betweenoriginalandresidue</w:t>
      </w:r>
      <w:r>
        <w:rPr>
          <w:rFonts w:ascii="Symbol" w:hAnsi="Symbol"/>
          <w:spacing w:val="-3"/>
          <w:w w:val="125"/>
          <w:sz w:val="14"/>
        </w:rPr>
        <w:t></w:t>
      </w:r>
      <w:r>
        <w:rPr>
          <w:rFonts w:ascii="Times New Roman" w:hAnsi="Times New Roman"/>
          <w:spacing w:val="-3"/>
          <w:w w:val="125"/>
          <w:sz w:val="14"/>
        </w:rPr>
        <w:tab/>
      </w:r>
      <w:r>
        <w:rPr>
          <w:rFonts w:ascii="Symbol" w:hAnsi="Symbol"/>
          <w:spacing w:val="-13"/>
          <w:w w:val="125"/>
          <w:position w:val="4"/>
          <w:sz w:val="24"/>
        </w:rPr>
        <w:t></w:t>
      </w:r>
      <w:r>
        <w:rPr>
          <w:rFonts w:ascii="Times New Roman" w:hAnsi="Times New Roman"/>
          <w:spacing w:val="-13"/>
          <w:w w:val="125"/>
          <w:position w:val="4"/>
          <w:sz w:val="18"/>
        </w:rPr>
        <w:t>12</w:t>
      </w:r>
      <w:r>
        <w:rPr>
          <w:rFonts w:ascii="Symbol" w:hAnsi="Symbol"/>
          <w:spacing w:val="-13"/>
          <w:w w:val="125"/>
          <w:position w:val="4"/>
          <w:sz w:val="24"/>
        </w:rPr>
        <w:t></w:t>
      </w:r>
    </w:p>
    <w:p>
      <w:pPr>
        <w:pStyle w:val="BodyText"/>
        <w:rPr>
          <w:rFonts w:ascii="Symbol" w:hAnsi="Symbol"/>
          <w:sz w:val="20"/>
        </w:rPr>
      </w:pPr>
    </w:p>
    <w:p>
      <w:pPr>
        <w:pStyle w:val="BodyText"/>
        <w:spacing w:line="357" w:lineRule="auto" w:before="199"/>
        <w:ind w:left="259" w:right="250" w:firstLine="283"/>
        <w:jc w:val="both"/>
      </w:pPr>
      <w:r>
        <w:rPr/>
        <w:t>Los análisis estadísticos se realizaron con el de un solo sentido procedimiento ANOVA de SPSS y los medios se compararon con los medios mínimos cuadrados. La diferencia significativa entre las diferentes partes de la semilla de cártamo en los</w:t>
      </w:r>
    </w:p>
    <w:p>
      <w:pPr>
        <w:spacing w:after="0" w:line="357" w:lineRule="auto"/>
        <w:jc w:val="both"/>
        <w:sectPr>
          <w:type w:val="continuous"/>
          <w:pgSz w:w="12240" w:h="15840"/>
          <w:pgMar w:top="3080" w:bottom="2780" w:left="1440" w:right="1460"/>
        </w:sectPr>
      </w:pPr>
    </w:p>
    <w:p>
      <w:pPr>
        <w:pStyle w:val="BodyText"/>
        <w:spacing w:before="7"/>
        <w:rPr>
          <w:sz w:val="15"/>
        </w:rPr>
      </w:pPr>
    </w:p>
    <w:p>
      <w:pPr>
        <w:pStyle w:val="BodyText"/>
        <w:spacing w:line="362" w:lineRule="auto" w:before="66"/>
        <w:ind w:left="259" w:right="241"/>
        <w:jc w:val="both"/>
      </w:pPr>
      <w:r>
        <w:rPr/>
        <w:t>parámetros de producción de gas y NDF / ADF y digestibilidad de la fibra se marca como letras minúsculas en las Mesas correspondientes si había diferencias de significación. Se informó de mínimos cuadrados en todo el texto, y los efectos del tratamiento fueron declarados importancia si P &lt;0,05.</w:t>
      </w:r>
    </w:p>
    <w:p>
      <w:pPr>
        <w:pStyle w:val="BodyText"/>
        <w:spacing w:before="6"/>
        <w:rPr>
          <w:sz w:val="23"/>
        </w:rPr>
      </w:pPr>
    </w:p>
    <w:p>
      <w:pPr>
        <w:pStyle w:val="ListParagraph"/>
        <w:numPr>
          <w:ilvl w:val="1"/>
          <w:numId w:val="10"/>
        </w:numPr>
        <w:tabs>
          <w:tab w:pos="712" w:val="left" w:leader="none"/>
        </w:tabs>
        <w:spacing w:line="240" w:lineRule="auto" w:before="0" w:after="0"/>
        <w:ind w:left="711" w:right="0" w:hanging="452"/>
        <w:jc w:val="both"/>
        <w:rPr>
          <w:b/>
          <w:sz w:val="24"/>
        </w:rPr>
      </w:pPr>
      <w:r>
        <w:rPr>
          <w:b/>
          <w:sz w:val="24"/>
        </w:rPr>
        <w:t>Métodos</w:t>
      </w:r>
      <w:r>
        <w:rPr>
          <w:b/>
          <w:spacing w:val="-5"/>
          <w:sz w:val="24"/>
        </w:rPr>
        <w:t> </w:t>
      </w:r>
      <w:r>
        <w:rPr>
          <w:b/>
          <w:sz w:val="24"/>
        </w:rPr>
        <w:t>para</w:t>
      </w:r>
      <w:r>
        <w:rPr>
          <w:b/>
          <w:spacing w:val="-4"/>
          <w:sz w:val="24"/>
        </w:rPr>
        <w:t> </w:t>
      </w:r>
      <w:r>
        <w:rPr>
          <w:b/>
          <w:sz w:val="24"/>
        </w:rPr>
        <w:t>diferentes</w:t>
      </w:r>
      <w:r>
        <w:rPr>
          <w:b/>
          <w:spacing w:val="-9"/>
          <w:sz w:val="24"/>
        </w:rPr>
        <w:t> </w:t>
      </w:r>
      <w:r>
        <w:rPr>
          <w:b/>
          <w:sz w:val="24"/>
        </w:rPr>
        <w:t>de</w:t>
      </w:r>
      <w:r>
        <w:rPr>
          <w:b/>
          <w:spacing w:val="-3"/>
          <w:sz w:val="24"/>
        </w:rPr>
        <w:t> </w:t>
      </w:r>
      <w:r>
        <w:rPr>
          <w:b/>
          <w:sz w:val="24"/>
        </w:rPr>
        <w:t>recursos</w:t>
      </w:r>
      <w:r>
        <w:rPr>
          <w:b/>
          <w:spacing w:val="-5"/>
          <w:sz w:val="24"/>
        </w:rPr>
        <w:t> </w:t>
      </w:r>
      <w:r>
        <w:rPr>
          <w:b/>
          <w:sz w:val="24"/>
        </w:rPr>
        <w:t>de</w:t>
      </w:r>
      <w:r>
        <w:rPr>
          <w:b/>
          <w:spacing w:val="-7"/>
          <w:sz w:val="24"/>
        </w:rPr>
        <w:t> </w:t>
      </w:r>
      <w:r>
        <w:rPr>
          <w:b/>
          <w:sz w:val="24"/>
        </w:rPr>
        <w:t>plantas</w:t>
      </w:r>
      <w:r>
        <w:rPr>
          <w:b/>
          <w:spacing w:val="-5"/>
          <w:sz w:val="24"/>
        </w:rPr>
        <w:t> </w:t>
      </w:r>
      <w:r>
        <w:rPr>
          <w:b/>
          <w:sz w:val="24"/>
        </w:rPr>
        <w:t>oleaginosas</w:t>
      </w:r>
      <w:r>
        <w:rPr>
          <w:b/>
          <w:spacing w:val="-5"/>
          <w:sz w:val="24"/>
        </w:rPr>
        <w:t> </w:t>
      </w:r>
      <w:r>
        <w:rPr>
          <w:b/>
          <w:sz w:val="24"/>
        </w:rPr>
        <w:t>in</w:t>
      </w:r>
      <w:r>
        <w:rPr>
          <w:b/>
          <w:spacing w:val="-5"/>
          <w:sz w:val="24"/>
        </w:rPr>
        <w:t> </w:t>
      </w:r>
      <w:r>
        <w:rPr>
          <w:b/>
          <w:sz w:val="24"/>
        </w:rPr>
        <w:t>vitro</w:t>
      </w:r>
    </w:p>
    <w:p>
      <w:pPr>
        <w:pStyle w:val="BodyText"/>
        <w:spacing w:before="9"/>
        <w:rPr>
          <w:b/>
          <w:sz w:val="35"/>
        </w:rPr>
      </w:pPr>
    </w:p>
    <w:p>
      <w:pPr>
        <w:pStyle w:val="Heading4"/>
        <w:ind w:left="259" w:firstLine="0"/>
        <w:rPr>
          <w:i/>
        </w:rPr>
      </w:pPr>
      <w:r>
        <w:rPr>
          <w:i/>
        </w:rPr>
        <w:t>Diseño experimental</w:t>
      </w:r>
    </w:p>
    <w:p>
      <w:pPr>
        <w:pStyle w:val="BodyText"/>
        <w:spacing w:before="9"/>
        <w:rPr>
          <w:b/>
          <w:i/>
          <w:sz w:val="35"/>
        </w:rPr>
      </w:pPr>
    </w:p>
    <w:p>
      <w:pPr>
        <w:pStyle w:val="BodyText"/>
        <w:spacing w:line="360" w:lineRule="auto"/>
        <w:ind w:left="259" w:right="234" w:firstLine="283"/>
        <w:jc w:val="both"/>
      </w:pPr>
      <w:r>
        <w:rPr/>
        <w:t>En este trabajo, los aceites derivados de plantas tales como semillas de lino, cártamo, canola y aceite de coco, que son abundantes en </w:t>
      </w:r>
      <w:r>
        <w:rPr>
          <w:spacing w:val="2"/>
        </w:rPr>
        <w:t>poli- </w:t>
      </w:r>
      <w:r>
        <w:rPr/>
        <w:t>o mono insaturados (C18: 3, C18: 2 y C18: 1) y ácidos grasos de cadena media (C12 : 0) (refiérase a la </w:t>
      </w:r>
      <w:r>
        <w:rPr>
          <w:spacing w:val="6"/>
        </w:rPr>
        <w:t>γ-</w:t>
      </w:r>
      <w:r>
        <w:rPr>
          <w:spacing w:val="64"/>
        </w:rPr>
        <w:t> </w:t>
      </w:r>
      <w:r>
        <w:rPr/>
        <w:t>linolénico, ácido linoleico, ácido oleico, y el ácido láurico, respectivamente) se utilizaron para investigar el efecto de estos exógenos diferentes dobles enlaces y números de carbonos de los ácidos grasos en los perfiles de LCFA de la biología bacteriana y protozoo membrana, AGV en medios de fermentación, y el metano (CH4) la producción in vitro de fermentación micro-nicho ecológico.</w:t>
      </w:r>
    </w:p>
    <w:p>
      <w:pPr>
        <w:pStyle w:val="BodyText"/>
        <w:spacing w:before="2"/>
      </w:pPr>
    </w:p>
    <w:p>
      <w:pPr>
        <w:pStyle w:val="Heading4"/>
        <w:ind w:left="259" w:firstLine="0"/>
        <w:rPr>
          <w:i/>
        </w:rPr>
      </w:pPr>
      <w:r>
        <w:rPr>
          <w:i/>
        </w:rPr>
        <w:t>Animales donantes e ingresientes de la alimentación</w:t>
      </w:r>
    </w:p>
    <w:p>
      <w:pPr>
        <w:pStyle w:val="BodyText"/>
        <w:spacing w:before="4"/>
        <w:rPr>
          <w:b/>
          <w:i/>
          <w:sz w:val="35"/>
        </w:rPr>
      </w:pPr>
    </w:p>
    <w:p>
      <w:pPr>
        <w:pStyle w:val="BodyText"/>
        <w:spacing w:line="360" w:lineRule="auto"/>
        <w:ind w:left="259" w:right="236" w:firstLine="283"/>
        <w:jc w:val="both"/>
      </w:pPr>
      <w:r>
        <w:rPr/>
        <w:t>El macho adulto ovejas Pelibuey (3 personas) con fístula ruminal-permanente (peso corporal, 45 ± 5,0 kg) fueron utilizados como donantes de inóculo de acuerdo con la norma oficial mexicana (NOM-220-SSA1-2002). Composiciones nutricionales del forraje fueron de acuerdo a las necesidades nutricionales del NRC (2007). Cada oveja, alojados individualmente y acceso libre al agua, se alimentó con 1,0 kg de alimento y 0,5 kg rompieron rastrojo de maíz. La alimentación se composited de 38% de grano de maíz, 30% de heno de alfalfa, 2% de harina de canola, 2,5% de aceite de canola, 2% de harina de cártamo, 2,5% de aceite de cártamo, 18% rastrojo de maíz, 2,0% de melaza, y 1,0% de</w:t>
      </w:r>
      <w:r>
        <w:rPr>
          <w:spacing w:val="-15"/>
        </w:rPr>
        <w:t> </w:t>
      </w:r>
      <w:r>
        <w:rPr/>
        <w:t>urea.</w:t>
      </w:r>
    </w:p>
    <w:p>
      <w:pPr>
        <w:pStyle w:val="BodyText"/>
        <w:spacing w:before="4"/>
        <w:rPr>
          <w:sz w:val="23"/>
        </w:rPr>
      </w:pPr>
    </w:p>
    <w:p>
      <w:pPr>
        <w:pStyle w:val="BodyText"/>
        <w:spacing w:line="360" w:lineRule="auto"/>
        <w:ind w:left="259" w:right="248" w:firstLine="283"/>
        <w:jc w:val="both"/>
      </w:pPr>
      <w:r>
        <w:rPr/>
        <w:t>Sustrato, heno de alfalfa, se obtiene de una planta del Instituto de Investigación Natural de Forestales, Agrícolas y Ganadería en Querétaro, México. Y todos los   ácidos</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0" w:lineRule="auto" w:before="66"/>
        <w:ind w:left="259" w:right="233"/>
        <w:jc w:val="both"/>
        <w:rPr>
          <w:sz w:val="22"/>
        </w:rPr>
      </w:pPr>
      <w:r>
        <w:rPr/>
        <w:t>grasos se adquirieron de Sigma-Aldrich con los números de serie de cada uno,  el aceite de cártamo (S8281), aceite de linaza (430021), el aceite de canola (46961), y aceite de coco (46949). FA composiciones de estos cuatro aceites vegetales se presentan en la Tabla 1. El aceite de cártamo es abundante en ácido linoleico con una proporción de 70%, aceite </w:t>
      </w:r>
      <w:r>
        <w:rPr>
          <w:spacing w:val="2"/>
        </w:rPr>
        <w:t>de </w:t>
      </w:r>
      <w:r>
        <w:rPr/>
        <w:t>linaza con aproximadamente 50% de ácido γ-linolénico, aceite de canola contiene aproximadamente de ácido oleico 60%, y el aceite de coco incluye ácido láurico en torno al 60%. Estos cuatro aceites elegidos en base a la diferencia de composición principal, representan ácidos grasos de cadena medios (ácido láurico, C12: 0), ácido mono-poliinsaturados (ácido oleico, C18: 1), ácidos poliinsaturados (ácido linoleico, C18: 2; y ácido linolénico, C18: 3),</w:t>
      </w:r>
      <w:r>
        <w:rPr>
          <w:spacing w:val="-31"/>
        </w:rPr>
        <w:t> </w:t>
      </w:r>
      <w:r>
        <w:rPr/>
        <w:t>respectivamente</w:t>
      </w:r>
      <w:r>
        <w:rPr>
          <w:sz w:val="22"/>
        </w:rPr>
        <w:t>.</w:t>
      </w:r>
    </w:p>
    <w:p>
      <w:pPr>
        <w:pStyle w:val="BodyText"/>
        <w:spacing w:before="9"/>
        <w:rPr>
          <w:sz w:val="23"/>
        </w:rPr>
      </w:pPr>
    </w:p>
    <w:p>
      <w:pPr>
        <w:pStyle w:val="BodyText"/>
        <w:ind w:left="816"/>
      </w:pPr>
      <w:r>
        <w:rPr>
          <w:b/>
        </w:rPr>
        <w:t>Table 1</w:t>
      </w:r>
      <w:r>
        <w:rPr/>
        <w:t>. The ingredients of exogenous plant-derived oils using in this study</w:t>
      </w:r>
    </w:p>
    <w:p>
      <w:pPr>
        <w:pStyle w:val="BodyText"/>
        <w:rPr>
          <w:sz w:val="20"/>
        </w:rPr>
      </w:pPr>
    </w:p>
    <w:p>
      <w:pPr>
        <w:pStyle w:val="BodyText"/>
        <w:spacing w:before="6"/>
        <w:rPr>
          <w:sz w:val="15"/>
        </w:rPr>
      </w:pPr>
    </w:p>
    <w:p>
      <w:pPr>
        <w:pStyle w:val="BodyText"/>
        <w:spacing w:line="29" w:lineRule="exact"/>
        <w:ind w:left="245"/>
        <w:rPr>
          <w:sz w:val="2"/>
        </w:rPr>
      </w:pPr>
      <w:r>
        <w:rPr>
          <w:position w:val="0"/>
          <w:sz w:val="2"/>
        </w:rPr>
        <w:pict>
          <v:group style="width:441.1pt;height:1.45pt;mso-position-horizontal-relative:char;mso-position-vertical-relative:line" coordorigin="0,0" coordsize="8822,29">
            <v:line style="position:absolute" from="15,15" to="3665,15" stroked="true" strokeweight="1.44pt" strokecolor="#000000"/>
            <v:line style="position:absolute" from="3664,15" to="3693,15" stroked="true" strokeweight="1.44pt" strokecolor="#000000"/>
            <v:line style="position:absolute" from="3693,15" to="4884,15" stroked="true" strokeweight="1.44pt" strokecolor="#000000"/>
            <v:line style="position:absolute" from="4884,15" to="4913,15" stroked="true" strokeweight="1.44pt" strokecolor="#000000"/>
            <v:line style="position:absolute" from="4913,15" to="8807,15" stroked="true" strokeweight="1.44pt" strokecolor="#000000"/>
          </v:group>
        </w:pict>
      </w:r>
      <w:r>
        <w:rPr>
          <w:position w:val="0"/>
          <w:sz w:val="2"/>
        </w:rPr>
      </w:r>
    </w:p>
    <w:p>
      <w:pPr>
        <w:spacing w:after="0" w:line="29" w:lineRule="exact"/>
        <w:rPr>
          <w:sz w:val="2"/>
        </w:rPr>
        <w:sectPr>
          <w:pgSz w:w="12240" w:h="15840"/>
          <w:pgMar w:header="684" w:footer="1164" w:top="1380" w:bottom="1380" w:left="1440" w:right="1460"/>
        </w:sectPr>
      </w:pPr>
    </w:p>
    <w:p>
      <w:pPr>
        <w:pStyle w:val="BodyText"/>
        <w:spacing w:before="8"/>
        <w:rPr>
          <w:sz w:val="15"/>
        </w:rPr>
      </w:pPr>
    </w:p>
    <w:p>
      <w:pPr>
        <w:spacing w:before="0"/>
        <w:ind w:left="332" w:right="-19" w:firstLine="0"/>
        <w:jc w:val="left"/>
        <w:rPr>
          <w:b/>
          <w:sz w:val="20"/>
        </w:rPr>
      </w:pPr>
      <w:r>
        <w:rPr/>
        <w:pict>
          <v:shape style="position:absolute;margin-left:84.984001pt;margin-top:8.78196pt;width:439.65pt;height:326.2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70"/>
                    <w:gridCol w:w="1105"/>
                    <w:gridCol w:w="962"/>
                    <w:gridCol w:w="870"/>
                    <w:gridCol w:w="986"/>
                  </w:tblGrid>
                  <w:tr>
                    <w:trPr>
                      <w:trHeight w:val="360" w:hRule="exact"/>
                    </w:trPr>
                    <w:tc>
                      <w:tcPr>
                        <w:tcW w:w="4870" w:type="dxa"/>
                        <w:tcBorders>
                          <w:bottom w:val="single" w:sz="4" w:space="0" w:color="000000"/>
                        </w:tcBorders>
                      </w:tcPr>
                      <w:p>
                        <w:pPr>
                          <w:pStyle w:val="TableParagraph"/>
                          <w:spacing w:before="2"/>
                          <w:ind w:right="271"/>
                          <w:jc w:val="right"/>
                          <w:rPr>
                            <w:rFonts w:ascii="Cambria"/>
                            <w:b/>
                            <w:sz w:val="20"/>
                          </w:rPr>
                        </w:pPr>
                        <w:r>
                          <w:rPr>
                            <w:rFonts w:ascii="Cambria"/>
                            <w:b/>
                            <w:sz w:val="20"/>
                          </w:rPr>
                          <w:t>Structure</w:t>
                        </w:r>
                      </w:p>
                    </w:tc>
                    <w:tc>
                      <w:tcPr>
                        <w:tcW w:w="1105" w:type="dxa"/>
                        <w:tcBorders>
                          <w:top w:val="single" w:sz="4" w:space="0" w:color="000000"/>
                          <w:bottom w:val="single" w:sz="4" w:space="0" w:color="000000"/>
                        </w:tcBorders>
                      </w:tcPr>
                      <w:p>
                        <w:pPr>
                          <w:pStyle w:val="TableParagraph"/>
                          <w:spacing w:before="2"/>
                          <w:ind w:left="89" w:right="101"/>
                          <w:jc w:val="center"/>
                          <w:rPr>
                            <w:rFonts w:ascii="Cambria"/>
                            <w:b/>
                            <w:sz w:val="20"/>
                          </w:rPr>
                        </w:pPr>
                        <w:r>
                          <w:rPr>
                            <w:rFonts w:ascii="Cambria"/>
                            <w:b/>
                            <w:sz w:val="20"/>
                          </w:rPr>
                          <w:t>Safflower</w:t>
                        </w:r>
                      </w:p>
                    </w:tc>
                    <w:tc>
                      <w:tcPr>
                        <w:tcW w:w="962" w:type="dxa"/>
                        <w:tcBorders>
                          <w:top w:val="single" w:sz="4" w:space="0" w:color="000000"/>
                          <w:bottom w:val="single" w:sz="4" w:space="0" w:color="000000"/>
                        </w:tcBorders>
                      </w:tcPr>
                      <w:p>
                        <w:pPr>
                          <w:pStyle w:val="TableParagraph"/>
                          <w:spacing w:before="2"/>
                          <w:ind w:left="100" w:right="105"/>
                          <w:jc w:val="center"/>
                          <w:rPr>
                            <w:rFonts w:ascii="Cambria"/>
                            <w:b/>
                            <w:sz w:val="20"/>
                          </w:rPr>
                        </w:pPr>
                        <w:r>
                          <w:rPr>
                            <w:rFonts w:ascii="Cambria"/>
                            <w:b/>
                            <w:sz w:val="20"/>
                          </w:rPr>
                          <w:t>Linseed</w:t>
                        </w:r>
                      </w:p>
                    </w:tc>
                    <w:tc>
                      <w:tcPr>
                        <w:tcW w:w="870" w:type="dxa"/>
                        <w:tcBorders>
                          <w:top w:val="single" w:sz="4" w:space="0" w:color="000000"/>
                          <w:bottom w:val="single" w:sz="4" w:space="0" w:color="000000"/>
                        </w:tcBorders>
                      </w:tcPr>
                      <w:p>
                        <w:pPr>
                          <w:pStyle w:val="TableParagraph"/>
                          <w:spacing w:before="2"/>
                          <w:ind w:left="107" w:right="97"/>
                          <w:jc w:val="center"/>
                          <w:rPr>
                            <w:rFonts w:ascii="Cambria"/>
                            <w:b/>
                            <w:sz w:val="20"/>
                          </w:rPr>
                        </w:pPr>
                        <w:r>
                          <w:rPr>
                            <w:rFonts w:ascii="Cambria"/>
                            <w:b/>
                            <w:sz w:val="20"/>
                          </w:rPr>
                          <w:t>Canola</w:t>
                        </w:r>
                      </w:p>
                    </w:tc>
                    <w:tc>
                      <w:tcPr>
                        <w:tcW w:w="986" w:type="dxa"/>
                        <w:tcBorders>
                          <w:top w:val="single" w:sz="4" w:space="0" w:color="000000"/>
                          <w:bottom w:val="single" w:sz="4" w:space="0" w:color="000000"/>
                        </w:tcBorders>
                      </w:tcPr>
                      <w:p>
                        <w:pPr>
                          <w:pStyle w:val="TableParagraph"/>
                          <w:spacing w:before="2"/>
                          <w:ind w:left="99" w:right="97"/>
                          <w:jc w:val="center"/>
                          <w:rPr>
                            <w:rFonts w:ascii="Cambria"/>
                            <w:b/>
                            <w:sz w:val="20"/>
                          </w:rPr>
                        </w:pPr>
                        <w:r>
                          <w:rPr>
                            <w:rFonts w:ascii="Cambria"/>
                            <w:b/>
                            <w:sz w:val="20"/>
                          </w:rPr>
                          <w:t>Coconut</w:t>
                        </w:r>
                      </w:p>
                    </w:tc>
                  </w:tr>
                  <w:tr>
                    <w:trPr>
                      <w:trHeight w:val="590" w:hRule="exact"/>
                    </w:trPr>
                    <w:tc>
                      <w:tcPr>
                        <w:tcW w:w="4870" w:type="dxa"/>
                        <w:tcBorders>
                          <w:top w:val="single" w:sz="4" w:space="0" w:color="000000"/>
                        </w:tcBorders>
                      </w:tcPr>
                      <w:p>
                        <w:pPr>
                          <w:pStyle w:val="TableParagraph"/>
                          <w:spacing w:line="187" w:lineRule="exact" w:before="2"/>
                          <w:ind w:left="427"/>
                          <w:rPr>
                            <w:rFonts w:ascii="Cambria"/>
                            <w:sz w:val="20"/>
                          </w:rPr>
                        </w:pPr>
                        <w:r>
                          <w:rPr>
                            <w:rFonts w:ascii="Cambria"/>
                            <w:sz w:val="20"/>
                          </w:rPr>
                          <w:t>1.     Lauric Acid</w:t>
                        </w:r>
                      </w:p>
                      <w:p>
                        <w:pPr>
                          <w:pStyle w:val="TableParagraph"/>
                          <w:spacing w:line="187" w:lineRule="exact"/>
                          <w:ind w:right="601"/>
                          <w:jc w:val="right"/>
                          <w:rPr>
                            <w:rFonts w:ascii="Cambria"/>
                            <w:sz w:val="20"/>
                          </w:rPr>
                        </w:pPr>
                        <w:r>
                          <w:rPr>
                            <w:rFonts w:ascii="Cambria"/>
                            <w:sz w:val="20"/>
                          </w:rPr>
                          <w:t>C 12:0</w:t>
                        </w:r>
                      </w:p>
                    </w:tc>
                    <w:tc>
                      <w:tcPr>
                        <w:tcW w:w="1105" w:type="dxa"/>
                        <w:tcBorders>
                          <w:top w:val="single" w:sz="4" w:space="0" w:color="000000"/>
                        </w:tcBorders>
                      </w:tcPr>
                      <w:p>
                        <w:pPr>
                          <w:pStyle w:val="TableParagraph"/>
                          <w:spacing w:before="141"/>
                          <w:ind w:left="85" w:right="101"/>
                          <w:jc w:val="center"/>
                          <w:rPr>
                            <w:rFonts w:ascii="Cambria"/>
                            <w:sz w:val="20"/>
                          </w:rPr>
                        </w:pPr>
                        <w:r>
                          <w:rPr>
                            <w:rFonts w:ascii="Cambria"/>
                            <w:sz w:val="20"/>
                          </w:rPr>
                          <w:t>0.85</w:t>
                        </w:r>
                      </w:p>
                    </w:tc>
                    <w:tc>
                      <w:tcPr>
                        <w:tcW w:w="962" w:type="dxa"/>
                        <w:tcBorders>
                          <w:top w:val="single" w:sz="4" w:space="0" w:color="000000"/>
                        </w:tcBorders>
                      </w:tcPr>
                      <w:p>
                        <w:pPr>
                          <w:pStyle w:val="TableParagraph"/>
                          <w:spacing w:before="141"/>
                          <w:ind w:left="100" w:right="101"/>
                          <w:jc w:val="center"/>
                          <w:rPr>
                            <w:rFonts w:ascii="Cambria"/>
                            <w:sz w:val="20"/>
                          </w:rPr>
                        </w:pPr>
                        <w:r>
                          <w:rPr>
                            <w:rFonts w:ascii="Cambria"/>
                            <w:sz w:val="20"/>
                          </w:rPr>
                          <w:t>1.31</w:t>
                        </w:r>
                      </w:p>
                    </w:tc>
                    <w:tc>
                      <w:tcPr>
                        <w:tcW w:w="870" w:type="dxa"/>
                        <w:tcBorders>
                          <w:top w:val="single" w:sz="4" w:space="0" w:color="000000"/>
                        </w:tcBorders>
                      </w:tcPr>
                      <w:p>
                        <w:pPr>
                          <w:pStyle w:val="TableParagraph"/>
                          <w:spacing w:before="141"/>
                          <w:ind w:left="107" w:right="97"/>
                          <w:jc w:val="center"/>
                          <w:rPr>
                            <w:rFonts w:ascii="Cambria"/>
                            <w:sz w:val="20"/>
                          </w:rPr>
                        </w:pPr>
                        <w:r>
                          <w:rPr>
                            <w:rFonts w:ascii="Cambria"/>
                            <w:sz w:val="20"/>
                          </w:rPr>
                          <w:t>1.17</w:t>
                        </w:r>
                      </w:p>
                    </w:tc>
                    <w:tc>
                      <w:tcPr>
                        <w:tcW w:w="986" w:type="dxa"/>
                        <w:tcBorders>
                          <w:top w:val="single" w:sz="4" w:space="0" w:color="000000"/>
                        </w:tcBorders>
                      </w:tcPr>
                      <w:p>
                        <w:pPr>
                          <w:pStyle w:val="TableParagraph"/>
                          <w:spacing w:before="141"/>
                          <w:ind w:left="92" w:right="97"/>
                          <w:jc w:val="center"/>
                          <w:rPr>
                            <w:rFonts w:ascii="Cambria"/>
                            <w:sz w:val="20"/>
                          </w:rPr>
                        </w:pPr>
                        <w:r>
                          <w:rPr>
                            <w:rFonts w:ascii="Cambria"/>
                            <w:sz w:val="20"/>
                          </w:rPr>
                          <w:t>59.78</w:t>
                        </w:r>
                      </w:p>
                    </w:tc>
                  </w:tr>
                  <w:tr>
                    <w:trPr>
                      <w:trHeight w:val="631" w:hRule="exact"/>
                    </w:trPr>
                    <w:tc>
                      <w:tcPr>
                        <w:tcW w:w="4870" w:type="dxa"/>
                      </w:tcPr>
                      <w:p>
                        <w:pPr>
                          <w:pStyle w:val="TableParagraph"/>
                          <w:spacing w:line="187" w:lineRule="exact" w:before="50"/>
                          <w:ind w:left="427"/>
                          <w:rPr>
                            <w:rFonts w:ascii="Cambria"/>
                            <w:sz w:val="20"/>
                          </w:rPr>
                        </w:pPr>
                        <w:r>
                          <w:rPr>
                            <w:rFonts w:ascii="Cambria"/>
                            <w:sz w:val="20"/>
                          </w:rPr>
                          <w:t>2.    Myristic Acid</w:t>
                        </w:r>
                      </w:p>
                      <w:p>
                        <w:pPr>
                          <w:pStyle w:val="TableParagraph"/>
                          <w:spacing w:line="187" w:lineRule="exact"/>
                          <w:ind w:right="644"/>
                          <w:jc w:val="right"/>
                          <w:rPr>
                            <w:rFonts w:ascii="Cambria"/>
                            <w:sz w:val="20"/>
                          </w:rPr>
                        </w:pPr>
                        <w:r>
                          <w:rPr>
                            <w:rFonts w:ascii="Cambria"/>
                            <w:sz w:val="20"/>
                          </w:rPr>
                          <w:t>C14:0</w:t>
                        </w:r>
                      </w:p>
                    </w:tc>
                    <w:tc>
                      <w:tcPr>
                        <w:tcW w:w="1105" w:type="dxa"/>
                      </w:tcPr>
                      <w:p>
                        <w:pPr>
                          <w:pStyle w:val="TableParagraph"/>
                          <w:spacing w:before="1"/>
                          <w:rPr>
                            <w:rFonts w:ascii="Cambria"/>
                            <w:b/>
                            <w:sz w:val="16"/>
                          </w:rPr>
                        </w:pPr>
                      </w:p>
                      <w:p>
                        <w:pPr>
                          <w:pStyle w:val="TableParagraph"/>
                          <w:ind w:left="85" w:right="101"/>
                          <w:jc w:val="center"/>
                          <w:rPr>
                            <w:rFonts w:ascii="Cambria"/>
                            <w:sz w:val="20"/>
                          </w:rPr>
                        </w:pPr>
                        <w:r>
                          <w:rPr>
                            <w:rFonts w:ascii="Cambria"/>
                            <w:sz w:val="20"/>
                          </w:rPr>
                          <w:t>0.49</w:t>
                        </w:r>
                      </w:p>
                    </w:tc>
                    <w:tc>
                      <w:tcPr>
                        <w:tcW w:w="962" w:type="dxa"/>
                      </w:tcPr>
                      <w:p>
                        <w:pPr>
                          <w:pStyle w:val="TableParagraph"/>
                          <w:spacing w:before="1"/>
                          <w:rPr>
                            <w:rFonts w:ascii="Cambria"/>
                            <w:b/>
                            <w:sz w:val="16"/>
                          </w:rPr>
                        </w:pPr>
                      </w:p>
                      <w:p>
                        <w:pPr>
                          <w:pStyle w:val="TableParagraph"/>
                          <w:ind w:left="100" w:right="101"/>
                          <w:jc w:val="center"/>
                          <w:rPr>
                            <w:rFonts w:ascii="Cambria"/>
                            <w:sz w:val="20"/>
                          </w:rPr>
                        </w:pPr>
                        <w:r>
                          <w:rPr>
                            <w:rFonts w:ascii="Cambria"/>
                            <w:sz w:val="20"/>
                          </w:rPr>
                          <w:t>0.61</w:t>
                        </w:r>
                      </w:p>
                    </w:tc>
                    <w:tc>
                      <w:tcPr>
                        <w:tcW w:w="870" w:type="dxa"/>
                      </w:tcPr>
                      <w:p>
                        <w:pPr>
                          <w:pStyle w:val="TableParagraph"/>
                          <w:spacing w:before="1"/>
                          <w:rPr>
                            <w:rFonts w:ascii="Cambria"/>
                            <w:b/>
                            <w:sz w:val="16"/>
                          </w:rPr>
                        </w:pPr>
                      </w:p>
                      <w:p>
                        <w:pPr>
                          <w:pStyle w:val="TableParagraph"/>
                          <w:ind w:left="107" w:right="97"/>
                          <w:jc w:val="center"/>
                          <w:rPr>
                            <w:rFonts w:ascii="Cambria"/>
                            <w:sz w:val="20"/>
                          </w:rPr>
                        </w:pPr>
                        <w:r>
                          <w:rPr>
                            <w:rFonts w:ascii="Cambria"/>
                            <w:sz w:val="20"/>
                          </w:rPr>
                          <w:t>0.65</w:t>
                        </w:r>
                      </w:p>
                    </w:tc>
                    <w:tc>
                      <w:tcPr>
                        <w:tcW w:w="986" w:type="dxa"/>
                      </w:tcPr>
                      <w:p>
                        <w:pPr>
                          <w:pStyle w:val="TableParagraph"/>
                          <w:spacing w:before="1"/>
                          <w:rPr>
                            <w:rFonts w:ascii="Cambria"/>
                            <w:b/>
                            <w:sz w:val="16"/>
                          </w:rPr>
                        </w:pPr>
                      </w:p>
                      <w:p>
                        <w:pPr>
                          <w:pStyle w:val="TableParagraph"/>
                          <w:ind w:left="92" w:right="97"/>
                          <w:jc w:val="center"/>
                          <w:rPr>
                            <w:rFonts w:ascii="Cambria"/>
                            <w:sz w:val="20"/>
                          </w:rPr>
                        </w:pPr>
                        <w:r>
                          <w:rPr>
                            <w:rFonts w:ascii="Cambria"/>
                            <w:sz w:val="20"/>
                          </w:rPr>
                          <w:t>19.97</w:t>
                        </w:r>
                      </w:p>
                    </w:tc>
                  </w:tr>
                  <w:tr>
                    <w:trPr>
                      <w:trHeight w:val="631" w:hRule="exact"/>
                    </w:trPr>
                    <w:tc>
                      <w:tcPr>
                        <w:tcW w:w="4870" w:type="dxa"/>
                      </w:tcPr>
                      <w:p>
                        <w:pPr>
                          <w:pStyle w:val="TableParagraph"/>
                          <w:spacing w:line="187" w:lineRule="exact" w:before="47"/>
                          <w:ind w:left="427"/>
                          <w:rPr>
                            <w:rFonts w:ascii="Cambria"/>
                            <w:sz w:val="20"/>
                          </w:rPr>
                        </w:pPr>
                        <w:r>
                          <w:rPr>
                            <w:rFonts w:ascii="Cambria"/>
                            <w:sz w:val="20"/>
                          </w:rPr>
                          <w:t>3.    Pentadecanoic Acid</w:t>
                        </w:r>
                      </w:p>
                      <w:p>
                        <w:pPr>
                          <w:pStyle w:val="TableParagraph"/>
                          <w:spacing w:line="187" w:lineRule="exact"/>
                          <w:ind w:right="644"/>
                          <w:jc w:val="right"/>
                          <w:rPr>
                            <w:rFonts w:ascii="Cambria"/>
                            <w:sz w:val="20"/>
                          </w:rPr>
                        </w:pPr>
                        <w:r>
                          <w:rPr>
                            <w:rFonts w:ascii="Cambria"/>
                            <w:sz w:val="20"/>
                          </w:rPr>
                          <w:t>C15:0</w:t>
                        </w:r>
                      </w:p>
                    </w:tc>
                    <w:tc>
                      <w:tcPr>
                        <w:tcW w:w="1105" w:type="dxa"/>
                      </w:tcPr>
                      <w:p>
                        <w:pPr>
                          <w:pStyle w:val="TableParagraph"/>
                          <w:spacing w:before="11"/>
                          <w:rPr>
                            <w:rFonts w:ascii="Cambria"/>
                            <w:b/>
                            <w:sz w:val="15"/>
                          </w:rPr>
                        </w:pPr>
                      </w:p>
                      <w:p>
                        <w:pPr>
                          <w:pStyle w:val="TableParagraph"/>
                          <w:ind w:left="85" w:right="101"/>
                          <w:jc w:val="center"/>
                          <w:rPr>
                            <w:rFonts w:ascii="Cambria"/>
                            <w:sz w:val="20"/>
                          </w:rPr>
                        </w:pPr>
                        <w:r>
                          <w:rPr>
                            <w:rFonts w:ascii="Cambria"/>
                            <w:sz w:val="20"/>
                          </w:rPr>
                          <w:t>0.26</w:t>
                        </w:r>
                      </w:p>
                    </w:tc>
                    <w:tc>
                      <w:tcPr>
                        <w:tcW w:w="962" w:type="dxa"/>
                      </w:tcPr>
                      <w:p>
                        <w:pPr>
                          <w:pStyle w:val="TableParagraph"/>
                          <w:spacing w:before="11"/>
                          <w:rPr>
                            <w:rFonts w:ascii="Cambria"/>
                            <w:b/>
                            <w:sz w:val="15"/>
                          </w:rPr>
                        </w:pPr>
                      </w:p>
                      <w:p>
                        <w:pPr>
                          <w:pStyle w:val="TableParagraph"/>
                          <w:ind w:left="100" w:right="101"/>
                          <w:jc w:val="center"/>
                          <w:rPr>
                            <w:rFonts w:ascii="Cambria"/>
                            <w:sz w:val="20"/>
                          </w:rPr>
                        </w:pPr>
                        <w:r>
                          <w:rPr>
                            <w:rFonts w:ascii="Cambria"/>
                            <w:sz w:val="20"/>
                          </w:rPr>
                          <w:t>0.44</w:t>
                        </w:r>
                      </w:p>
                    </w:tc>
                    <w:tc>
                      <w:tcPr>
                        <w:tcW w:w="870" w:type="dxa"/>
                      </w:tcPr>
                      <w:p>
                        <w:pPr>
                          <w:pStyle w:val="TableParagraph"/>
                          <w:spacing w:before="11"/>
                          <w:rPr>
                            <w:rFonts w:ascii="Cambria"/>
                            <w:b/>
                            <w:sz w:val="15"/>
                          </w:rPr>
                        </w:pPr>
                      </w:p>
                      <w:p>
                        <w:pPr>
                          <w:pStyle w:val="TableParagraph"/>
                          <w:ind w:left="107" w:right="97"/>
                          <w:jc w:val="center"/>
                          <w:rPr>
                            <w:rFonts w:ascii="Cambria"/>
                            <w:sz w:val="20"/>
                          </w:rPr>
                        </w:pPr>
                        <w:r>
                          <w:rPr>
                            <w:rFonts w:ascii="Cambria"/>
                            <w:sz w:val="20"/>
                          </w:rPr>
                          <w:t>0.51</w:t>
                        </w:r>
                      </w:p>
                    </w:tc>
                    <w:tc>
                      <w:tcPr>
                        <w:tcW w:w="986" w:type="dxa"/>
                      </w:tcPr>
                      <w:p>
                        <w:pPr>
                          <w:pStyle w:val="TableParagraph"/>
                          <w:spacing w:before="11"/>
                          <w:rPr>
                            <w:rFonts w:ascii="Cambria"/>
                            <w:b/>
                            <w:sz w:val="15"/>
                          </w:rPr>
                        </w:pPr>
                      </w:p>
                      <w:p>
                        <w:pPr>
                          <w:pStyle w:val="TableParagraph"/>
                          <w:ind w:left="97" w:right="97"/>
                          <w:jc w:val="center"/>
                          <w:rPr>
                            <w:rFonts w:ascii="Cambria"/>
                            <w:sz w:val="20"/>
                          </w:rPr>
                        </w:pPr>
                        <w:r>
                          <w:rPr>
                            <w:rFonts w:ascii="Cambria"/>
                            <w:sz w:val="20"/>
                          </w:rPr>
                          <w:t>0.59</w:t>
                        </w:r>
                      </w:p>
                    </w:tc>
                  </w:tr>
                  <w:tr>
                    <w:trPr>
                      <w:trHeight w:val="634" w:hRule="exact"/>
                    </w:trPr>
                    <w:tc>
                      <w:tcPr>
                        <w:tcW w:w="4870" w:type="dxa"/>
                      </w:tcPr>
                      <w:p>
                        <w:pPr>
                          <w:pStyle w:val="TableParagraph"/>
                          <w:spacing w:line="187" w:lineRule="exact" w:before="50"/>
                          <w:ind w:left="427"/>
                          <w:rPr>
                            <w:rFonts w:ascii="Cambria"/>
                            <w:sz w:val="20"/>
                          </w:rPr>
                        </w:pPr>
                        <w:r>
                          <w:rPr>
                            <w:rFonts w:ascii="Cambria"/>
                            <w:sz w:val="20"/>
                          </w:rPr>
                          <w:t>4.     Palmitic Acid</w:t>
                        </w:r>
                      </w:p>
                      <w:p>
                        <w:pPr>
                          <w:pStyle w:val="TableParagraph"/>
                          <w:spacing w:line="187" w:lineRule="exact"/>
                          <w:ind w:right="601"/>
                          <w:jc w:val="right"/>
                          <w:rPr>
                            <w:rFonts w:ascii="Cambria"/>
                            <w:sz w:val="20"/>
                          </w:rPr>
                        </w:pPr>
                        <w:r>
                          <w:rPr>
                            <w:rFonts w:ascii="Cambria"/>
                            <w:sz w:val="20"/>
                          </w:rPr>
                          <w:t>C 16:0</w:t>
                        </w:r>
                      </w:p>
                    </w:tc>
                    <w:tc>
                      <w:tcPr>
                        <w:tcW w:w="1105" w:type="dxa"/>
                      </w:tcPr>
                      <w:p>
                        <w:pPr>
                          <w:pStyle w:val="TableParagraph"/>
                          <w:spacing w:before="1"/>
                          <w:rPr>
                            <w:rFonts w:ascii="Cambria"/>
                            <w:b/>
                            <w:sz w:val="16"/>
                          </w:rPr>
                        </w:pPr>
                      </w:p>
                      <w:p>
                        <w:pPr>
                          <w:pStyle w:val="TableParagraph"/>
                          <w:ind w:left="85" w:right="101"/>
                          <w:jc w:val="center"/>
                          <w:rPr>
                            <w:rFonts w:ascii="Cambria"/>
                            <w:sz w:val="20"/>
                          </w:rPr>
                        </w:pPr>
                        <w:r>
                          <w:rPr>
                            <w:rFonts w:ascii="Cambria"/>
                            <w:sz w:val="20"/>
                          </w:rPr>
                          <w:t>6.79</w:t>
                        </w:r>
                      </w:p>
                    </w:tc>
                    <w:tc>
                      <w:tcPr>
                        <w:tcW w:w="962" w:type="dxa"/>
                      </w:tcPr>
                      <w:p>
                        <w:pPr>
                          <w:pStyle w:val="TableParagraph"/>
                          <w:spacing w:before="1"/>
                          <w:rPr>
                            <w:rFonts w:ascii="Cambria"/>
                            <w:b/>
                            <w:sz w:val="16"/>
                          </w:rPr>
                        </w:pPr>
                      </w:p>
                      <w:p>
                        <w:pPr>
                          <w:pStyle w:val="TableParagraph"/>
                          <w:ind w:left="100" w:right="101"/>
                          <w:jc w:val="center"/>
                          <w:rPr>
                            <w:rFonts w:ascii="Cambria"/>
                            <w:sz w:val="20"/>
                          </w:rPr>
                        </w:pPr>
                        <w:r>
                          <w:rPr>
                            <w:rFonts w:ascii="Cambria"/>
                            <w:sz w:val="20"/>
                          </w:rPr>
                          <w:t>5.90</w:t>
                        </w:r>
                      </w:p>
                    </w:tc>
                    <w:tc>
                      <w:tcPr>
                        <w:tcW w:w="870" w:type="dxa"/>
                      </w:tcPr>
                      <w:p>
                        <w:pPr>
                          <w:pStyle w:val="TableParagraph"/>
                          <w:spacing w:before="1"/>
                          <w:rPr>
                            <w:rFonts w:ascii="Cambria"/>
                            <w:b/>
                            <w:sz w:val="16"/>
                          </w:rPr>
                        </w:pPr>
                      </w:p>
                      <w:p>
                        <w:pPr>
                          <w:pStyle w:val="TableParagraph"/>
                          <w:ind w:left="107" w:right="97"/>
                          <w:jc w:val="center"/>
                          <w:rPr>
                            <w:rFonts w:ascii="Cambria"/>
                            <w:sz w:val="20"/>
                          </w:rPr>
                        </w:pPr>
                        <w:r>
                          <w:rPr>
                            <w:rFonts w:ascii="Cambria"/>
                            <w:sz w:val="20"/>
                          </w:rPr>
                          <w:t>5.59</w:t>
                        </w:r>
                      </w:p>
                    </w:tc>
                    <w:tc>
                      <w:tcPr>
                        <w:tcW w:w="986" w:type="dxa"/>
                      </w:tcPr>
                      <w:p>
                        <w:pPr>
                          <w:pStyle w:val="TableParagraph"/>
                          <w:spacing w:before="1"/>
                          <w:rPr>
                            <w:rFonts w:ascii="Cambria"/>
                            <w:b/>
                            <w:sz w:val="16"/>
                          </w:rPr>
                        </w:pPr>
                      </w:p>
                      <w:p>
                        <w:pPr>
                          <w:pStyle w:val="TableParagraph"/>
                          <w:ind w:left="97" w:right="97"/>
                          <w:jc w:val="center"/>
                          <w:rPr>
                            <w:rFonts w:ascii="Cambria"/>
                            <w:sz w:val="20"/>
                          </w:rPr>
                        </w:pPr>
                        <w:r>
                          <w:rPr>
                            <w:rFonts w:ascii="Cambria"/>
                            <w:sz w:val="20"/>
                          </w:rPr>
                          <w:t>8.63</w:t>
                        </w:r>
                      </w:p>
                    </w:tc>
                  </w:tr>
                  <w:tr>
                    <w:trPr>
                      <w:trHeight w:val="631" w:hRule="exact"/>
                    </w:trPr>
                    <w:tc>
                      <w:tcPr>
                        <w:tcW w:w="4870" w:type="dxa"/>
                      </w:tcPr>
                      <w:p>
                        <w:pPr>
                          <w:pStyle w:val="TableParagraph"/>
                          <w:spacing w:line="189" w:lineRule="exact" w:before="45"/>
                          <w:ind w:left="427"/>
                          <w:rPr>
                            <w:rFonts w:ascii="Cambria"/>
                            <w:sz w:val="20"/>
                          </w:rPr>
                        </w:pPr>
                        <w:r>
                          <w:rPr>
                            <w:rFonts w:ascii="Cambria"/>
                            <w:sz w:val="20"/>
                          </w:rPr>
                          <w:t>5.    Palmitoleic Acid</w:t>
                        </w:r>
                      </w:p>
                      <w:p>
                        <w:pPr>
                          <w:pStyle w:val="TableParagraph"/>
                          <w:spacing w:line="189" w:lineRule="exact"/>
                          <w:ind w:right="644"/>
                          <w:jc w:val="right"/>
                          <w:rPr>
                            <w:rFonts w:ascii="Cambria"/>
                            <w:sz w:val="20"/>
                          </w:rPr>
                        </w:pPr>
                        <w:r>
                          <w:rPr>
                            <w:rFonts w:ascii="Cambria"/>
                            <w:sz w:val="20"/>
                          </w:rPr>
                          <w:t>C16:1</w:t>
                        </w:r>
                      </w:p>
                    </w:tc>
                    <w:tc>
                      <w:tcPr>
                        <w:tcW w:w="1105" w:type="dxa"/>
                      </w:tcPr>
                      <w:p>
                        <w:pPr>
                          <w:pStyle w:val="TableParagraph"/>
                          <w:spacing w:before="1"/>
                          <w:rPr>
                            <w:rFonts w:ascii="Cambria"/>
                            <w:b/>
                            <w:sz w:val="16"/>
                          </w:rPr>
                        </w:pPr>
                      </w:p>
                      <w:p>
                        <w:pPr>
                          <w:pStyle w:val="TableParagraph"/>
                          <w:ind w:left="85" w:right="101"/>
                          <w:jc w:val="center"/>
                          <w:rPr>
                            <w:rFonts w:ascii="Cambria"/>
                            <w:sz w:val="20"/>
                          </w:rPr>
                        </w:pPr>
                        <w:r>
                          <w:rPr>
                            <w:rFonts w:ascii="Cambria"/>
                            <w:sz w:val="20"/>
                          </w:rPr>
                          <w:t>0.16</w:t>
                        </w:r>
                      </w:p>
                    </w:tc>
                    <w:tc>
                      <w:tcPr>
                        <w:tcW w:w="962" w:type="dxa"/>
                      </w:tcPr>
                      <w:p>
                        <w:pPr>
                          <w:pStyle w:val="TableParagraph"/>
                          <w:spacing w:before="1"/>
                          <w:rPr>
                            <w:rFonts w:ascii="Cambria"/>
                            <w:b/>
                            <w:sz w:val="16"/>
                          </w:rPr>
                        </w:pPr>
                      </w:p>
                      <w:p>
                        <w:pPr>
                          <w:pStyle w:val="TableParagraph"/>
                          <w:ind w:left="100" w:right="101"/>
                          <w:jc w:val="center"/>
                          <w:rPr>
                            <w:rFonts w:ascii="Cambria"/>
                            <w:sz w:val="20"/>
                          </w:rPr>
                        </w:pPr>
                        <w:r>
                          <w:rPr>
                            <w:rFonts w:ascii="Cambria"/>
                            <w:sz w:val="20"/>
                          </w:rPr>
                          <w:t>0.10</w:t>
                        </w:r>
                      </w:p>
                    </w:tc>
                    <w:tc>
                      <w:tcPr>
                        <w:tcW w:w="870" w:type="dxa"/>
                      </w:tcPr>
                      <w:p>
                        <w:pPr>
                          <w:pStyle w:val="TableParagraph"/>
                          <w:spacing w:before="1"/>
                          <w:rPr>
                            <w:rFonts w:ascii="Cambria"/>
                            <w:b/>
                            <w:sz w:val="16"/>
                          </w:rPr>
                        </w:pPr>
                      </w:p>
                      <w:p>
                        <w:pPr>
                          <w:pStyle w:val="TableParagraph"/>
                          <w:ind w:left="107" w:right="97"/>
                          <w:jc w:val="center"/>
                          <w:rPr>
                            <w:rFonts w:ascii="Cambria"/>
                            <w:sz w:val="20"/>
                          </w:rPr>
                        </w:pPr>
                        <w:r>
                          <w:rPr>
                            <w:rFonts w:ascii="Cambria"/>
                            <w:sz w:val="20"/>
                          </w:rPr>
                          <w:t>0.27</w:t>
                        </w:r>
                      </w:p>
                    </w:tc>
                    <w:tc>
                      <w:tcPr>
                        <w:tcW w:w="986" w:type="dxa"/>
                      </w:tcPr>
                      <w:p>
                        <w:pPr>
                          <w:pStyle w:val="TableParagraph"/>
                          <w:spacing w:before="1"/>
                          <w:rPr>
                            <w:rFonts w:ascii="Cambria"/>
                            <w:b/>
                            <w:sz w:val="16"/>
                          </w:rPr>
                        </w:pPr>
                      </w:p>
                      <w:p>
                        <w:pPr>
                          <w:pStyle w:val="TableParagraph"/>
                          <w:ind w:left="97" w:right="97"/>
                          <w:jc w:val="center"/>
                          <w:rPr>
                            <w:rFonts w:ascii="Cambria"/>
                            <w:sz w:val="20"/>
                          </w:rPr>
                        </w:pPr>
                        <w:r>
                          <w:rPr>
                            <w:rFonts w:ascii="Cambria"/>
                            <w:sz w:val="20"/>
                          </w:rPr>
                          <w:t>0.00</w:t>
                        </w:r>
                      </w:p>
                    </w:tc>
                  </w:tr>
                  <w:tr>
                    <w:trPr>
                      <w:trHeight w:val="632" w:hRule="exact"/>
                    </w:trPr>
                    <w:tc>
                      <w:tcPr>
                        <w:tcW w:w="4870" w:type="dxa"/>
                      </w:tcPr>
                      <w:p>
                        <w:pPr>
                          <w:pStyle w:val="TableParagraph"/>
                          <w:spacing w:line="187" w:lineRule="exact" w:before="48"/>
                          <w:ind w:left="427"/>
                          <w:rPr>
                            <w:rFonts w:ascii="Cambria"/>
                            <w:sz w:val="20"/>
                          </w:rPr>
                        </w:pPr>
                        <w:r>
                          <w:rPr>
                            <w:rFonts w:ascii="Cambria"/>
                            <w:sz w:val="20"/>
                          </w:rPr>
                          <w:t>6.    </w:t>
                        </w:r>
                        <w:r>
                          <w:rPr>
                            <w:rFonts w:ascii="Cambria"/>
                            <w:i/>
                            <w:sz w:val="20"/>
                          </w:rPr>
                          <w:t>cis</w:t>
                        </w:r>
                        <w:r>
                          <w:rPr>
                            <w:rFonts w:ascii="Cambria"/>
                            <w:sz w:val="20"/>
                          </w:rPr>
                          <w:t>-10-heptadecanoic acid</w:t>
                        </w:r>
                      </w:p>
                      <w:p>
                        <w:pPr>
                          <w:pStyle w:val="TableParagraph"/>
                          <w:spacing w:line="187" w:lineRule="exact"/>
                          <w:ind w:right="644"/>
                          <w:jc w:val="right"/>
                          <w:rPr>
                            <w:rFonts w:ascii="Cambria"/>
                            <w:sz w:val="20"/>
                          </w:rPr>
                        </w:pPr>
                        <w:r>
                          <w:rPr>
                            <w:rFonts w:ascii="Cambria"/>
                            <w:sz w:val="20"/>
                          </w:rPr>
                          <w:t>C17:1</w:t>
                        </w:r>
                      </w:p>
                    </w:tc>
                    <w:tc>
                      <w:tcPr>
                        <w:tcW w:w="1105" w:type="dxa"/>
                      </w:tcPr>
                      <w:p>
                        <w:pPr>
                          <w:pStyle w:val="TableParagraph"/>
                          <w:spacing w:before="11"/>
                          <w:rPr>
                            <w:rFonts w:ascii="Cambria"/>
                            <w:b/>
                            <w:sz w:val="15"/>
                          </w:rPr>
                        </w:pPr>
                      </w:p>
                      <w:p>
                        <w:pPr>
                          <w:pStyle w:val="TableParagraph"/>
                          <w:ind w:left="85" w:right="101"/>
                          <w:jc w:val="center"/>
                          <w:rPr>
                            <w:rFonts w:ascii="Cambria"/>
                            <w:sz w:val="20"/>
                          </w:rPr>
                        </w:pPr>
                        <w:r>
                          <w:rPr>
                            <w:rFonts w:ascii="Cambria"/>
                            <w:sz w:val="20"/>
                          </w:rPr>
                          <w:t>0.06</w:t>
                        </w:r>
                      </w:p>
                    </w:tc>
                    <w:tc>
                      <w:tcPr>
                        <w:tcW w:w="962" w:type="dxa"/>
                      </w:tcPr>
                      <w:p>
                        <w:pPr>
                          <w:pStyle w:val="TableParagraph"/>
                          <w:spacing w:before="11"/>
                          <w:rPr>
                            <w:rFonts w:ascii="Cambria"/>
                            <w:b/>
                            <w:sz w:val="15"/>
                          </w:rPr>
                        </w:pPr>
                      </w:p>
                      <w:p>
                        <w:pPr>
                          <w:pStyle w:val="TableParagraph"/>
                          <w:ind w:left="100" w:right="101"/>
                          <w:jc w:val="center"/>
                          <w:rPr>
                            <w:rFonts w:ascii="Cambria"/>
                            <w:sz w:val="20"/>
                          </w:rPr>
                        </w:pPr>
                        <w:r>
                          <w:rPr>
                            <w:rFonts w:ascii="Cambria"/>
                            <w:sz w:val="20"/>
                          </w:rPr>
                          <w:t>0.00</w:t>
                        </w:r>
                      </w:p>
                    </w:tc>
                    <w:tc>
                      <w:tcPr>
                        <w:tcW w:w="870" w:type="dxa"/>
                      </w:tcPr>
                      <w:p>
                        <w:pPr>
                          <w:pStyle w:val="TableParagraph"/>
                          <w:spacing w:before="11"/>
                          <w:rPr>
                            <w:rFonts w:ascii="Cambria"/>
                            <w:b/>
                            <w:sz w:val="15"/>
                          </w:rPr>
                        </w:pPr>
                      </w:p>
                      <w:p>
                        <w:pPr>
                          <w:pStyle w:val="TableParagraph"/>
                          <w:ind w:left="107" w:right="97"/>
                          <w:jc w:val="center"/>
                          <w:rPr>
                            <w:rFonts w:ascii="Cambria"/>
                            <w:sz w:val="20"/>
                          </w:rPr>
                        </w:pPr>
                        <w:r>
                          <w:rPr>
                            <w:rFonts w:ascii="Cambria"/>
                            <w:sz w:val="20"/>
                          </w:rPr>
                          <w:t>0.00</w:t>
                        </w:r>
                      </w:p>
                    </w:tc>
                    <w:tc>
                      <w:tcPr>
                        <w:tcW w:w="986" w:type="dxa"/>
                      </w:tcPr>
                      <w:p>
                        <w:pPr>
                          <w:pStyle w:val="TableParagraph"/>
                          <w:spacing w:before="11"/>
                          <w:rPr>
                            <w:rFonts w:ascii="Cambria"/>
                            <w:b/>
                            <w:sz w:val="15"/>
                          </w:rPr>
                        </w:pPr>
                      </w:p>
                      <w:p>
                        <w:pPr>
                          <w:pStyle w:val="TableParagraph"/>
                          <w:ind w:left="97" w:right="97"/>
                          <w:jc w:val="center"/>
                          <w:rPr>
                            <w:rFonts w:ascii="Cambria"/>
                            <w:sz w:val="20"/>
                          </w:rPr>
                        </w:pPr>
                        <w:r>
                          <w:rPr>
                            <w:rFonts w:ascii="Cambria"/>
                            <w:sz w:val="20"/>
                          </w:rPr>
                          <w:t>0.00</w:t>
                        </w:r>
                      </w:p>
                    </w:tc>
                  </w:tr>
                  <w:tr>
                    <w:trPr>
                      <w:trHeight w:val="631" w:hRule="exact"/>
                    </w:trPr>
                    <w:tc>
                      <w:tcPr>
                        <w:tcW w:w="4870" w:type="dxa"/>
                      </w:tcPr>
                      <w:p>
                        <w:pPr>
                          <w:pStyle w:val="TableParagraph"/>
                          <w:spacing w:line="187" w:lineRule="exact" w:before="50"/>
                          <w:ind w:left="427"/>
                          <w:rPr>
                            <w:rFonts w:ascii="Cambria"/>
                            <w:sz w:val="20"/>
                          </w:rPr>
                        </w:pPr>
                        <w:r>
                          <w:rPr>
                            <w:rFonts w:ascii="Cambria"/>
                            <w:sz w:val="20"/>
                          </w:rPr>
                          <w:t>7.     Stearic acid</w:t>
                        </w:r>
                      </w:p>
                      <w:p>
                        <w:pPr>
                          <w:pStyle w:val="TableParagraph"/>
                          <w:spacing w:line="187" w:lineRule="exact"/>
                          <w:ind w:right="644"/>
                          <w:jc w:val="right"/>
                          <w:rPr>
                            <w:rFonts w:ascii="Cambria"/>
                            <w:sz w:val="20"/>
                          </w:rPr>
                        </w:pPr>
                        <w:r>
                          <w:rPr>
                            <w:rFonts w:ascii="Cambria"/>
                            <w:sz w:val="20"/>
                          </w:rPr>
                          <w:t>C18:0</w:t>
                        </w:r>
                      </w:p>
                    </w:tc>
                    <w:tc>
                      <w:tcPr>
                        <w:tcW w:w="1105" w:type="dxa"/>
                      </w:tcPr>
                      <w:p>
                        <w:pPr>
                          <w:pStyle w:val="TableParagraph"/>
                          <w:spacing w:before="1"/>
                          <w:rPr>
                            <w:rFonts w:ascii="Cambria"/>
                            <w:b/>
                            <w:sz w:val="16"/>
                          </w:rPr>
                        </w:pPr>
                      </w:p>
                      <w:p>
                        <w:pPr>
                          <w:pStyle w:val="TableParagraph"/>
                          <w:ind w:left="85" w:right="101"/>
                          <w:jc w:val="center"/>
                          <w:rPr>
                            <w:rFonts w:ascii="Cambria"/>
                            <w:sz w:val="20"/>
                          </w:rPr>
                        </w:pPr>
                        <w:r>
                          <w:rPr>
                            <w:rFonts w:ascii="Cambria"/>
                            <w:sz w:val="20"/>
                          </w:rPr>
                          <w:t>2.76</w:t>
                        </w:r>
                      </w:p>
                    </w:tc>
                    <w:tc>
                      <w:tcPr>
                        <w:tcW w:w="962" w:type="dxa"/>
                      </w:tcPr>
                      <w:p>
                        <w:pPr>
                          <w:pStyle w:val="TableParagraph"/>
                          <w:spacing w:before="1"/>
                          <w:rPr>
                            <w:rFonts w:ascii="Cambria"/>
                            <w:b/>
                            <w:sz w:val="16"/>
                          </w:rPr>
                        </w:pPr>
                      </w:p>
                      <w:p>
                        <w:pPr>
                          <w:pStyle w:val="TableParagraph"/>
                          <w:ind w:left="100" w:right="101"/>
                          <w:jc w:val="center"/>
                          <w:rPr>
                            <w:rFonts w:ascii="Cambria"/>
                            <w:sz w:val="20"/>
                          </w:rPr>
                        </w:pPr>
                        <w:r>
                          <w:rPr>
                            <w:rFonts w:ascii="Cambria"/>
                            <w:sz w:val="20"/>
                          </w:rPr>
                          <w:t>4.22</w:t>
                        </w:r>
                      </w:p>
                    </w:tc>
                    <w:tc>
                      <w:tcPr>
                        <w:tcW w:w="870" w:type="dxa"/>
                      </w:tcPr>
                      <w:p>
                        <w:pPr>
                          <w:pStyle w:val="TableParagraph"/>
                          <w:spacing w:before="1"/>
                          <w:rPr>
                            <w:rFonts w:ascii="Cambria"/>
                            <w:b/>
                            <w:sz w:val="16"/>
                          </w:rPr>
                        </w:pPr>
                      </w:p>
                      <w:p>
                        <w:pPr>
                          <w:pStyle w:val="TableParagraph"/>
                          <w:ind w:left="107" w:right="97"/>
                          <w:jc w:val="center"/>
                          <w:rPr>
                            <w:rFonts w:ascii="Cambria"/>
                            <w:sz w:val="20"/>
                          </w:rPr>
                        </w:pPr>
                        <w:r>
                          <w:rPr>
                            <w:rFonts w:ascii="Cambria"/>
                            <w:sz w:val="20"/>
                          </w:rPr>
                          <w:t>2.19</w:t>
                        </w:r>
                      </w:p>
                    </w:tc>
                    <w:tc>
                      <w:tcPr>
                        <w:tcW w:w="986" w:type="dxa"/>
                      </w:tcPr>
                      <w:p>
                        <w:pPr>
                          <w:pStyle w:val="TableParagraph"/>
                          <w:spacing w:before="1"/>
                          <w:rPr>
                            <w:rFonts w:ascii="Cambria"/>
                            <w:b/>
                            <w:sz w:val="16"/>
                          </w:rPr>
                        </w:pPr>
                      </w:p>
                      <w:p>
                        <w:pPr>
                          <w:pStyle w:val="TableParagraph"/>
                          <w:ind w:left="97" w:right="97"/>
                          <w:jc w:val="center"/>
                          <w:rPr>
                            <w:rFonts w:ascii="Cambria"/>
                            <w:sz w:val="20"/>
                          </w:rPr>
                        </w:pPr>
                        <w:r>
                          <w:rPr>
                            <w:rFonts w:ascii="Cambria"/>
                            <w:sz w:val="20"/>
                          </w:rPr>
                          <w:t>3.33</w:t>
                        </w:r>
                      </w:p>
                    </w:tc>
                  </w:tr>
                  <w:tr>
                    <w:trPr>
                      <w:trHeight w:val="631" w:hRule="exact"/>
                    </w:trPr>
                    <w:tc>
                      <w:tcPr>
                        <w:tcW w:w="4870" w:type="dxa"/>
                      </w:tcPr>
                      <w:p>
                        <w:pPr>
                          <w:pStyle w:val="TableParagraph"/>
                          <w:spacing w:line="187" w:lineRule="exact" w:before="47"/>
                          <w:ind w:left="427"/>
                          <w:rPr>
                            <w:rFonts w:ascii="Cambria"/>
                            <w:sz w:val="20"/>
                          </w:rPr>
                        </w:pPr>
                        <w:r>
                          <w:rPr>
                            <w:rFonts w:ascii="Cambria"/>
                            <w:sz w:val="20"/>
                          </w:rPr>
                          <w:t>8.     Elaidic acid</w:t>
                        </w:r>
                      </w:p>
                      <w:p>
                        <w:pPr>
                          <w:pStyle w:val="TableParagraph"/>
                          <w:spacing w:line="187" w:lineRule="exact"/>
                          <w:ind w:right="314"/>
                          <w:jc w:val="right"/>
                          <w:rPr>
                            <w:rFonts w:ascii="Cambria"/>
                            <w:sz w:val="20"/>
                          </w:rPr>
                        </w:pPr>
                        <w:r>
                          <w:rPr>
                            <w:rFonts w:ascii="Cambria"/>
                            <w:sz w:val="20"/>
                          </w:rPr>
                          <w:t>C18:1 n9t</w:t>
                        </w:r>
                      </w:p>
                    </w:tc>
                    <w:tc>
                      <w:tcPr>
                        <w:tcW w:w="1105" w:type="dxa"/>
                      </w:tcPr>
                      <w:p>
                        <w:pPr>
                          <w:pStyle w:val="TableParagraph"/>
                          <w:spacing w:before="11"/>
                          <w:rPr>
                            <w:rFonts w:ascii="Cambria"/>
                            <w:b/>
                            <w:sz w:val="15"/>
                          </w:rPr>
                        </w:pPr>
                      </w:p>
                      <w:p>
                        <w:pPr>
                          <w:pStyle w:val="TableParagraph"/>
                          <w:ind w:left="85" w:right="101"/>
                          <w:jc w:val="center"/>
                          <w:rPr>
                            <w:rFonts w:ascii="Cambria"/>
                            <w:sz w:val="20"/>
                          </w:rPr>
                        </w:pPr>
                        <w:r>
                          <w:rPr>
                            <w:rFonts w:ascii="Cambria"/>
                            <w:sz w:val="20"/>
                          </w:rPr>
                          <w:t>0.07</w:t>
                        </w:r>
                      </w:p>
                    </w:tc>
                    <w:tc>
                      <w:tcPr>
                        <w:tcW w:w="962" w:type="dxa"/>
                      </w:tcPr>
                      <w:p>
                        <w:pPr>
                          <w:pStyle w:val="TableParagraph"/>
                          <w:spacing w:before="11"/>
                          <w:rPr>
                            <w:rFonts w:ascii="Cambria"/>
                            <w:b/>
                            <w:sz w:val="15"/>
                          </w:rPr>
                        </w:pPr>
                      </w:p>
                      <w:p>
                        <w:pPr>
                          <w:pStyle w:val="TableParagraph"/>
                          <w:ind w:left="100" w:right="101"/>
                          <w:jc w:val="center"/>
                          <w:rPr>
                            <w:rFonts w:ascii="Cambria"/>
                            <w:sz w:val="20"/>
                          </w:rPr>
                        </w:pPr>
                        <w:r>
                          <w:rPr>
                            <w:rFonts w:ascii="Cambria"/>
                            <w:sz w:val="20"/>
                          </w:rPr>
                          <w:t>0.09</w:t>
                        </w:r>
                      </w:p>
                    </w:tc>
                    <w:tc>
                      <w:tcPr>
                        <w:tcW w:w="870" w:type="dxa"/>
                      </w:tcPr>
                      <w:p>
                        <w:pPr>
                          <w:pStyle w:val="TableParagraph"/>
                          <w:spacing w:before="11"/>
                          <w:rPr>
                            <w:rFonts w:ascii="Cambria"/>
                            <w:b/>
                            <w:sz w:val="15"/>
                          </w:rPr>
                        </w:pPr>
                      </w:p>
                      <w:p>
                        <w:pPr>
                          <w:pStyle w:val="TableParagraph"/>
                          <w:ind w:left="107" w:right="97"/>
                          <w:jc w:val="center"/>
                          <w:rPr>
                            <w:rFonts w:ascii="Cambria"/>
                            <w:sz w:val="20"/>
                          </w:rPr>
                        </w:pPr>
                        <w:r>
                          <w:rPr>
                            <w:rFonts w:ascii="Cambria"/>
                            <w:sz w:val="20"/>
                          </w:rPr>
                          <w:t>0.11</w:t>
                        </w:r>
                      </w:p>
                    </w:tc>
                    <w:tc>
                      <w:tcPr>
                        <w:tcW w:w="986" w:type="dxa"/>
                      </w:tcPr>
                      <w:p>
                        <w:pPr>
                          <w:pStyle w:val="TableParagraph"/>
                          <w:spacing w:before="11"/>
                          <w:rPr>
                            <w:rFonts w:ascii="Cambria"/>
                            <w:b/>
                            <w:sz w:val="15"/>
                          </w:rPr>
                        </w:pPr>
                      </w:p>
                      <w:p>
                        <w:pPr>
                          <w:pStyle w:val="TableParagraph"/>
                          <w:ind w:left="97" w:right="97"/>
                          <w:jc w:val="center"/>
                          <w:rPr>
                            <w:rFonts w:ascii="Cambria"/>
                            <w:sz w:val="20"/>
                          </w:rPr>
                        </w:pPr>
                        <w:r>
                          <w:rPr>
                            <w:rFonts w:ascii="Cambria"/>
                            <w:sz w:val="20"/>
                          </w:rPr>
                          <w:t>0.04</w:t>
                        </w:r>
                      </w:p>
                    </w:tc>
                  </w:tr>
                  <w:tr>
                    <w:trPr>
                      <w:trHeight w:val="634" w:hRule="exact"/>
                    </w:trPr>
                    <w:tc>
                      <w:tcPr>
                        <w:tcW w:w="4870" w:type="dxa"/>
                      </w:tcPr>
                      <w:p>
                        <w:pPr>
                          <w:pStyle w:val="TableParagraph"/>
                          <w:spacing w:line="187" w:lineRule="exact" w:before="50"/>
                          <w:ind w:left="427"/>
                          <w:rPr>
                            <w:rFonts w:ascii="Cambria"/>
                            <w:sz w:val="20"/>
                          </w:rPr>
                        </w:pPr>
                        <w:r>
                          <w:rPr>
                            <w:rFonts w:ascii="Cambria"/>
                            <w:sz w:val="20"/>
                          </w:rPr>
                          <w:t>9.    Oleic acid</w:t>
                        </w:r>
                      </w:p>
                      <w:p>
                        <w:pPr>
                          <w:pStyle w:val="TableParagraph"/>
                          <w:spacing w:line="187" w:lineRule="exact"/>
                          <w:ind w:right="293"/>
                          <w:jc w:val="right"/>
                          <w:rPr>
                            <w:rFonts w:ascii="Cambria"/>
                            <w:sz w:val="20"/>
                          </w:rPr>
                        </w:pPr>
                        <w:r>
                          <w:rPr>
                            <w:rFonts w:ascii="Cambria"/>
                            <w:sz w:val="20"/>
                          </w:rPr>
                          <w:t>C18:1 n9c</w:t>
                        </w:r>
                      </w:p>
                    </w:tc>
                    <w:tc>
                      <w:tcPr>
                        <w:tcW w:w="1105" w:type="dxa"/>
                      </w:tcPr>
                      <w:p>
                        <w:pPr>
                          <w:pStyle w:val="TableParagraph"/>
                          <w:spacing w:before="1"/>
                          <w:rPr>
                            <w:rFonts w:ascii="Cambria"/>
                            <w:b/>
                            <w:sz w:val="16"/>
                          </w:rPr>
                        </w:pPr>
                      </w:p>
                      <w:p>
                        <w:pPr>
                          <w:pStyle w:val="TableParagraph"/>
                          <w:spacing w:before="1"/>
                          <w:ind w:left="89" w:right="101"/>
                          <w:jc w:val="center"/>
                          <w:rPr>
                            <w:rFonts w:ascii="Cambria"/>
                            <w:sz w:val="20"/>
                          </w:rPr>
                        </w:pPr>
                        <w:r>
                          <w:rPr>
                            <w:rFonts w:ascii="Cambria"/>
                            <w:sz w:val="20"/>
                          </w:rPr>
                          <w:t>16.23</w:t>
                        </w:r>
                      </w:p>
                    </w:tc>
                    <w:tc>
                      <w:tcPr>
                        <w:tcW w:w="962" w:type="dxa"/>
                      </w:tcPr>
                      <w:p>
                        <w:pPr>
                          <w:pStyle w:val="TableParagraph"/>
                          <w:spacing w:before="1"/>
                          <w:rPr>
                            <w:rFonts w:ascii="Cambria"/>
                            <w:b/>
                            <w:sz w:val="16"/>
                          </w:rPr>
                        </w:pPr>
                      </w:p>
                      <w:p>
                        <w:pPr>
                          <w:pStyle w:val="TableParagraph"/>
                          <w:spacing w:before="1"/>
                          <w:ind w:left="100" w:right="104"/>
                          <w:jc w:val="center"/>
                          <w:rPr>
                            <w:rFonts w:ascii="Cambria"/>
                            <w:sz w:val="20"/>
                          </w:rPr>
                        </w:pPr>
                        <w:r>
                          <w:rPr>
                            <w:rFonts w:ascii="Cambria"/>
                            <w:sz w:val="20"/>
                          </w:rPr>
                          <w:t>20.92</w:t>
                        </w:r>
                      </w:p>
                    </w:tc>
                    <w:tc>
                      <w:tcPr>
                        <w:tcW w:w="870" w:type="dxa"/>
                      </w:tcPr>
                      <w:p>
                        <w:pPr>
                          <w:pStyle w:val="TableParagraph"/>
                          <w:spacing w:before="1"/>
                          <w:rPr>
                            <w:rFonts w:ascii="Cambria"/>
                            <w:b/>
                            <w:sz w:val="16"/>
                          </w:rPr>
                        </w:pPr>
                      </w:p>
                      <w:p>
                        <w:pPr>
                          <w:pStyle w:val="TableParagraph"/>
                          <w:spacing w:before="1"/>
                          <w:ind w:left="101" w:right="97"/>
                          <w:jc w:val="center"/>
                          <w:rPr>
                            <w:rFonts w:ascii="Cambria"/>
                            <w:sz w:val="20"/>
                          </w:rPr>
                        </w:pPr>
                        <w:r>
                          <w:rPr>
                            <w:rFonts w:ascii="Cambria"/>
                            <w:sz w:val="20"/>
                          </w:rPr>
                          <w:t>59.60</w:t>
                        </w:r>
                      </w:p>
                    </w:tc>
                    <w:tc>
                      <w:tcPr>
                        <w:tcW w:w="986" w:type="dxa"/>
                      </w:tcPr>
                      <w:p>
                        <w:pPr>
                          <w:pStyle w:val="TableParagraph"/>
                          <w:spacing w:before="1"/>
                          <w:rPr>
                            <w:rFonts w:ascii="Cambria"/>
                            <w:b/>
                            <w:sz w:val="16"/>
                          </w:rPr>
                        </w:pPr>
                      </w:p>
                      <w:p>
                        <w:pPr>
                          <w:pStyle w:val="TableParagraph"/>
                          <w:spacing w:before="1"/>
                          <w:ind w:left="97" w:right="97"/>
                          <w:jc w:val="center"/>
                          <w:rPr>
                            <w:rFonts w:ascii="Cambria"/>
                            <w:sz w:val="20"/>
                          </w:rPr>
                        </w:pPr>
                        <w:r>
                          <w:rPr>
                            <w:rFonts w:ascii="Cambria"/>
                            <w:sz w:val="20"/>
                          </w:rPr>
                          <w:t>5.29</w:t>
                        </w:r>
                      </w:p>
                    </w:tc>
                  </w:tr>
                  <w:tr>
                    <w:trPr>
                      <w:trHeight w:val="518" w:hRule="exact"/>
                    </w:trPr>
                    <w:tc>
                      <w:tcPr>
                        <w:tcW w:w="4870" w:type="dxa"/>
                      </w:tcPr>
                      <w:p>
                        <w:pPr>
                          <w:pStyle w:val="TableParagraph"/>
                          <w:spacing w:line="189" w:lineRule="exact" w:before="45"/>
                          <w:ind w:left="427"/>
                          <w:rPr>
                            <w:rFonts w:ascii="Cambria"/>
                            <w:sz w:val="20"/>
                          </w:rPr>
                        </w:pPr>
                        <w:r>
                          <w:rPr>
                            <w:rFonts w:ascii="Cambria"/>
                            <w:sz w:val="20"/>
                          </w:rPr>
                          <w:t>10.  Linolelaidic acid</w:t>
                        </w:r>
                      </w:p>
                      <w:p>
                        <w:pPr>
                          <w:pStyle w:val="TableParagraph"/>
                          <w:spacing w:line="189" w:lineRule="exact"/>
                          <w:ind w:right="314"/>
                          <w:jc w:val="right"/>
                          <w:rPr>
                            <w:rFonts w:ascii="Cambria"/>
                            <w:sz w:val="20"/>
                          </w:rPr>
                        </w:pPr>
                        <w:r>
                          <w:rPr>
                            <w:rFonts w:ascii="Cambria"/>
                            <w:sz w:val="20"/>
                          </w:rPr>
                          <w:t>C18:2 n6t</w:t>
                        </w:r>
                      </w:p>
                    </w:tc>
                    <w:tc>
                      <w:tcPr>
                        <w:tcW w:w="1105" w:type="dxa"/>
                      </w:tcPr>
                      <w:p>
                        <w:pPr>
                          <w:pStyle w:val="TableParagraph"/>
                          <w:spacing w:before="1"/>
                          <w:rPr>
                            <w:rFonts w:ascii="Cambria"/>
                            <w:b/>
                            <w:sz w:val="16"/>
                          </w:rPr>
                        </w:pPr>
                      </w:p>
                      <w:p>
                        <w:pPr>
                          <w:pStyle w:val="TableParagraph"/>
                          <w:ind w:left="85" w:right="101"/>
                          <w:jc w:val="center"/>
                          <w:rPr>
                            <w:rFonts w:ascii="Cambria"/>
                            <w:sz w:val="20"/>
                          </w:rPr>
                        </w:pPr>
                        <w:r>
                          <w:rPr>
                            <w:rFonts w:ascii="Cambria"/>
                            <w:sz w:val="20"/>
                          </w:rPr>
                          <w:t>0.09</w:t>
                        </w:r>
                      </w:p>
                    </w:tc>
                    <w:tc>
                      <w:tcPr>
                        <w:tcW w:w="962" w:type="dxa"/>
                      </w:tcPr>
                      <w:p>
                        <w:pPr>
                          <w:pStyle w:val="TableParagraph"/>
                          <w:spacing w:before="1"/>
                          <w:rPr>
                            <w:rFonts w:ascii="Cambria"/>
                            <w:b/>
                            <w:sz w:val="16"/>
                          </w:rPr>
                        </w:pPr>
                      </w:p>
                      <w:p>
                        <w:pPr>
                          <w:pStyle w:val="TableParagraph"/>
                          <w:ind w:left="100" w:right="101"/>
                          <w:jc w:val="center"/>
                          <w:rPr>
                            <w:rFonts w:ascii="Cambria"/>
                            <w:sz w:val="20"/>
                          </w:rPr>
                        </w:pPr>
                        <w:r>
                          <w:rPr>
                            <w:rFonts w:ascii="Cambria"/>
                            <w:sz w:val="20"/>
                          </w:rPr>
                          <w:t>0.00</w:t>
                        </w:r>
                      </w:p>
                    </w:tc>
                    <w:tc>
                      <w:tcPr>
                        <w:tcW w:w="870" w:type="dxa"/>
                      </w:tcPr>
                      <w:p>
                        <w:pPr>
                          <w:pStyle w:val="TableParagraph"/>
                          <w:spacing w:before="1"/>
                          <w:rPr>
                            <w:rFonts w:ascii="Cambria"/>
                            <w:b/>
                            <w:sz w:val="16"/>
                          </w:rPr>
                        </w:pPr>
                      </w:p>
                      <w:p>
                        <w:pPr>
                          <w:pStyle w:val="TableParagraph"/>
                          <w:ind w:left="107" w:right="97"/>
                          <w:jc w:val="center"/>
                          <w:rPr>
                            <w:rFonts w:ascii="Cambria"/>
                            <w:sz w:val="20"/>
                          </w:rPr>
                        </w:pPr>
                        <w:r>
                          <w:rPr>
                            <w:rFonts w:ascii="Cambria"/>
                            <w:sz w:val="20"/>
                          </w:rPr>
                          <w:t>0.00</w:t>
                        </w:r>
                      </w:p>
                    </w:tc>
                    <w:tc>
                      <w:tcPr>
                        <w:tcW w:w="986" w:type="dxa"/>
                      </w:tcPr>
                      <w:p>
                        <w:pPr>
                          <w:pStyle w:val="TableParagraph"/>
                          <w:spacing w:before="1"/>
                          <w:rPr>
                            <w:rFonts w:ascii="Cambria"/>
                            <w:b/>
                            <w:sz w:val="16"/>
                          </w:rPr>
                        </w:pPr>
                      </w:p>
                      <w:p>
                        <w:pPr>
                          <w:pStyle w:val="TableParagraph"/>
                          <w:ind w:left="97" w:right="97"/>
                          <w:jc w:val="center"/>
                          <w:rPr>
                            <w:rFonts w:ascii="Cambria"/>
                            <w:sz w:val="20"/>
                          </w:rPr>
                        </w:pPr>
                        <w:r>
                          <w:rPr>
                            <w:rFonts w:ascii="Cambria"/>
                            <w:sz w:val="20"/>
                          </w:rPr>
                          <w:t>0.00</w:t>
                        </w:r>
                      </w:p>
                    </w:tc>
                  </w:tr>
                </w:tbl>
                <w:p>
                  <w:pPr>
                    <w:pStyle w:val="BodyText"/>
                  </w:pPr>
                </w:p>
              </w:txbxContent>
            </v:textbox>
            <w10:wrap type="none"/>
          </v:shape>
        </w:pict>
      </w:r>
      <w:r>
        <w:rPr>
          <w:b/>
          <w:sz w:val="20"/>
        </w:rPr>
        <w:t>Name of fatty acids</w:t>
      </w:r>
    </w:p>
    <w:p>
      <w:pPr>
        <w:spacing w:before="6"/>
        <w:ind w:left="332" w:right="-19" w:firstLine="0"/>
        <w:jc w:val="left"/>
        <w:rPr>
          <w:b/>
          <w:sz w:val="20"/>
        </w:rPr>
      </w:pPr>
      <w:r>
        <w:rPr/>
        <w:br w:type="column"/>
      </w:r>
      <w:r>
        <w:rPr>
          <w:b/>
          <w:sz w:val="20"/>
        </w:rPr>
        <w:t>Chemical</w:t>
      </w:r>
    </w:p>
    <w:p>
      <w:pPr>
        <w:spacing w:before="2"/>
        <w:ind w:left="332" w:right="0" w:firstLine="0"/>
        <w:jc w:val="left"/>
        <w:rPr>
          <w:b/>
          <w:sz w:val="20"/>
        </w:rPr>
      </w:pPr>
      <w:r>
        <w:rPr/>
        <w:br w:type="column"/>
      </w:r>
      <w:r>
        <w:rPr>
          <w:b/>
          <w:sz w:val="20"/>
        </w:rPr>
        <w:t>The name of plant-derived oils (%)</w:t>
      </w:r>
    </w:p>
    <w:p>
      <w:pPr>
        <w:spacing w:after="0"/>
        <w:jc w:val="left"/>
        <w:rPr>
          <w:sz w:val="20"/>
        </w:rPr>
        <w:sectPr>
          <w:type w:val="continuous"/>
          <w:pgSz w:w="12240" w:h="15840"/>
          <w:pgMar w:top="3080" w:bottom="2780" w:left="1440" w:right="1460"/>
          <w:cols w:num="3" w:equalWidth="0">
            <w:col w:w="2071" w:space="1578"/>
            <w:col w:w="1177" w:space="326"/>
            <w:col w:w="4188"/>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p>
      <w:pPr>
        <w:pStyle w:val="BodyText"/>
        <w:spacing w:line="29" w:lineRule="exact"/>
        <w:ind w:left="230"/>
        <w:rPr>
          <w:sz w:val="2"/>
        </w:rPr>
      </w:pPr>
      <w:r>
        <w:rPr>
          <w:position w:val="0"/>
          <w:sz w:val="2"/>
        </w:rPr>
        <w:pict>
          <v:group style="width:441.8pt;height:1.45pt;mso-position-horizontal-relative:char;mso-position-vertical-relative:line" coordorigin="0,0" coordsize="8836,29">
            <v:line style="position:absolute" from="15,15" to="3679,15" stroked="true" strokeweight="1.44pt" strokecolor="#000000"/>
            <v:line style="position:absolute" from="3664,15" to="3693,15" stroked="true" strokeweight="1.44pt" strokecolor="#000000"/>
            <v:line style="position:absolute" from="3693,15" to="4898,15" stroked="true" strokeweight="1.44pt" strokecolor="#000000"/>
            <v:line style="position:absolute" from="4884,15" to="4913,15" stroked="true" strokeweight="1.44pt" strokecolor="#000000"/>
            <v:line style="position:absolute" from="4913,15" to="5984,15" stroked="true" strokeweight="1.44pt" strokecolor="#000000"/>
            <v:line style="position:absolute" from="5969,15" to="5998,15" stroked="true" strokeweight="1.44pt" strokecolor="#000000"/>
            <v:line style="position:absolute" from="5998,15" to="6977,15" stroked="true" strokeweight="1.44pt" strokecolor="#000000"/>
            <v:line style="position:absolute" from="6963,15" to="6992,15" stroked="true" strokeweight="1.44pt" strokecolor="#000000"/>
            <v:line style="position:absolute" from="6992,15" to="7828,15" stroked="true" strokeweight="1.44pt" strokecolor="#000000"/>
            <v:line style="position:absolute" from="7813,15" to="7842,15" stroked="true" strokeweight="1.44pt" strokecolor="#000000"/>
            <v:line style="position:absolute" from="7842,15" to="8822,15" stroked="true" strokeweight="1.44pt" strokecolor="#000000"/>
          </v:group>
        </w:pict>
      </w:r>
      <w:r>
        <w:rPr>
          <w:position w:val="0"/>
          <w:sz w:val="2"/>
        </w:rPr>
      </w:r>
    </w:p>
    <w:p>
      <w:pPr>
        <w:spacing w:after="0" w:line="29" w:lineRule="exact"/>
        <w:rPr>
          <w:sz w:val="2"/>
        </w:rPr>
        <w:sectPr>
          <w:type w:val="continuous"/>
          <w:pgSz w:w="12240" w:h="15840"/>
          <w:pgMar w:top="3080" w:bottom="2780" w:left="1440" w:right="1460"/>
        </w:sectPr>
      </w:pPr>
    </w:p>
    <w:p>
      <w:pPr>
        <w:pStyle w:val="BodyText"/>
        <w:spacing w:before="8"/>
        <w:rPr>
          <w:b/>
          <w:sz w:val="22"/>
        </w:rPr>
      </w:pPr>
    </w:p>
    <w:tbl>
      <w:tblPr>
        <w:tblW w:w="0" w:type="auto"/>
        <w:jc w:val="left"/>
        <w:tblInd w:w="2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023"/>
        <w:gridCol w:w="1850"/>
        <w:gridCol w:w="1061"/>
        <w:gridCol w:w="980"/>
        <w:gridCol w:w="951"/>
        <w:gridCol w:w="929"/>
      </w:tblGrid>
      <w:tr>
        <w:trPr>
          <w:trHeight w:val="603" w:hRule="exact"/>
        </w:trPr>
        <w:tc>
          <w:tcPr>
            <w:tcW w:w="4873" w:type="dxa"/>
            <w:gridSpan w:val="2"/>
            <w:tcBorders>
              <w:left w:val="nil"/>
              <w:bottom w:val="nil"/>
              <w:right w:val="nil"/>
            </w:tcBorders>
          </w:tcPr>
          <w:p>
            <w:pPr>
              <w:pStyle w:val="TableParagraph"/>
              <w:spacing w:line="189" w:lineRule="exact" w:before="2"/>
              <w:ind w:left="427"/>
              <w:rPr>
                <w:rFonts w:ascii="Cambria"/>
                <w:sz w:val="20"/>
              </w:rPr>
            </w:pPr>
            <w:r>
              <w:rPr>
                <w:rFonts w:ascii="Cambria"/>
                <w:sz w:val="20"/>
              </w:rPr>
              <w:t>11.  Linoleic acid</w:t>
            </w:r>
          </w:p>
          <w:p>
            <w:pPr>
              <w:pStyle w:val="TableParagraph"/>
              <w:spacing w:line="189" w:lineRule="exact"/>
              <w:ind w:right="296"/>
              <w:jc w:val="right"/>
              <w:rPr>
                <w:rFonts w:ascii="Cambria"/>
                <w:sz w:val="20"/>
              </w:rPr>
            </w:pPr>
            <w:r>
              <w:rPr>
                <w:rFonts w:ascii="Cambria"/>
                <w:sz w:val="20"/>
              </w:rPr>
              <w:t>C18:2 n6c</w:t>
            </w:r>
          </w:p>
        </w:tc>
        <w:tc>
          <w:tcPr>
            <w:tcW w:w="1061" w:type="dxa"/>
            <w:tcBorders>
              <w:left w:val="nil"/>
              <w:bottom w:val="nil"/>
              <w:right w:val="nil"/>
            </w:tcBorders>
          </w:tcPr>
          <w:p>
            <w:pPr>
              <w:pStyle w:val="TableParagraph"/>
              <w:spacing w:before="146"/>
              <w:ind w:left="279" w:right="256"/>
              <w:jc w:val="center"/>
              <w:rPr>
                <w:rFonts w:ascii="Cambria"/>
                <w:sz w:val="20"/>
              </w:rPr>
            </w:pPr>
            <w:r>
              <w:rPr>
                <w:rFonts w:ascii="Cambria"/>
                <w:sz w:val="20"/>
              </w:rPr>
              <w:t>69.79</w:t>
            </w:r>
          </w:p>
        </w:tc>
        <w:tc>
          <w:tcPr>
            <w:tcW w:w="980" w:type="dxa"/>
            <w:tcBorders>
              <w:left w:val="nil"/>
              <w:bottom w:val="nil"/>
              <w:right w:val="nil"/>
            </w:tcBorders>
          </w:tcPr>
          <w:p>
            <w:pPr>
              <w:pStyle w:val="TableParagraph"/>
              <w:spacing w:before="146"/>
              <w:ind w:left="256" w:right="199"/>
              <w:jc w:val="center"/>
              <w:rPr>
                <w:rFonts w:ascii="Cambria"/>
                <w:sz w:val="20"/>
              </w:rPr>
            </w:pPr>
            <w:r>
              <w:rPr>
                <w:rFonts w:ascii="Cambria"/>
                <w:sz w:val="20"/>
              </w:rPr>
              <w:t>14.90</w:t>
            </w:r>
          </w:p>
        </w:tc>
        <w:tc>
          <w:tcPr>
            <w:tcW w:w="951" w:type="dxa"/>
            <w:tcBorders>
              <w:left w:val="nil"/>
              <w:bottom w:val="nil"/>
              <w:right w:val="nil"/>
            </w:tcBorders>
          </w:tcPr>
          <w:p>
            <w:pPr>
              <w:pStyle w:val="TableParagraph"/>
              <w:spacing w:before="146"/>
              <w:ind w:right="244"/>
              <w:jc w:val="right"/>
              <w:rPr>
                <w:rFonts w:ascii="Cambria"/>
                <w:sz w:val="20"/>
              </w:rPr>
            </w:pPr>
            <w:r>
              <w:rPr>
                <w:rFonts w:ascii="Cambria"/>
                <w:sz w:val="20"/>
              </w:rPr>
              <w:t>20.48</w:t>
            </w:r>
          </w:p>
        </w:tc>
        <w:tc>
          <w:tcPr>
            <w:tcW w:w="929" w:type="dxa"/>
            <w:tcBorders>
              <w:left w:val="nil"/>
              <w:bottom w:val="nil"/>
              <w:right w:val="nil"/>
            </w:tcBorders>
          </w:tcPr>
          <w:p>
            <w:pPr>
              <w:pStyle w:val="TableParagraph"/>
              <w:spacing w:before="146"/>
              <w:ind w:left="246"/>
              <w:rPr>
                <w:rFonts w:ascii="Cambria"/>
                <w:sz w:val="20"/>
              </w:rPr>
            </w:pPr>
            <w:r>
              <w:rPr>
                <w:rFonts w:ascii="Cambria"/>
                <w:sz w:val="20"/>
              </w:rPr>
              <w:t>1.36</w:t>
            </w:r>
          </w:p>
        </w:tc>
      </w:tr>
      <w:tr>
        <w:trPr>
          <w:trHeight w:val="632" w:hRule="exact"/>
        </w:trPr>
        <w:tc>
          <w:tcPr>
            <w:tcW w:w="4873" w:type="dxa"/>
            <w:gridSpan w:val="2"/>
            <w:tcBorders>
              <w:top w:val="nil"/>
              <w:left w:val="nil"/>
              <w:bottom w:val="nil"/>
              <w:right w:val="nil"/>
            </w:tcBorders>
          </w:tcPr>
          <w:p>
            <w:pPr>
              <w:pStyle w:val="TableParagraph"/>
              <w:spacing w:line="187" w:lineRule="exact" w:before="48"/>
              <w:ind w:left="427"/>
              <w:rPr>
                <w:rFonts w:ascii="Cambria"/>
                <w:sz w:val="20"/>
              </w:rPr>
            </w:pPr>
            <w:r>
              <w:rPr>
                <w:rFonts w:ascii="Cambria"/>
                <w:sz w:val="20"/>
              </w:rPr>
              <w:t>12.  Arachidic acid</w:t>
            </w:r>
          </w:p>
          <w:p>
            <w:pPr>
              <w:pStyle w:val="TableParagraph"/>
              <w:spacing w:line="187" w:lineRule="exact"/>
              <w:ind w:right="648"/>
              <w:jc w:val="right"/>
              <w:rPr>
                <w:rFonts w:ascii="Cambria"/>
                <w:sz w:val="20"/>
              </w:rPr>
            </w:pPr>
            <w:r>
              <w:rPr>
                <w:rFonts w:ascii="Cambria"/>
                <w:sz w:val="20"/>
              </w:rPr>
              <w:t>C20:0</w:t>
            </w:r>
          </w:p>
        </w:tc>
        <w:tc>
          <w:tcPr>
            <w:tcW w:w="1061" w:type="dxa"/>
            <w:tcBorders>
              <w:top w:val="nil"/>
              <w:left w:val="nil"/>
              <w:bottom w:val="nil"/>
              <w:right w:val="nil"/>
            </w:tcBorders>
          </w:tcPr>
          <w:p>
            <w:pPr>
              <w:pStyle w:val="TableParagraph"/>
              <w:spacing w:before="11"/>
              <w:rPr>
                <w:rFonts w:ascii="Cambria"/>
                <w:b/>
                <w:sz w:val="15"/>
              </w:rPr>
            </w:pPr>
          </w:p>
          <w:p>
            <w:pPr>
              <w:pStyle w:val="TableParagraph"/>
              <w:ind w:left="274" w:right="256"/>
              <w:jc w:val="center"/>
              <w:rPr>
                <w:rFonts w:ascii="Cambria"/>
                <w:sz w:val="20"/>
              </w:rPr>
            </w:pPr>
            <w:r>
              <w:rPr>
                <w:rFonts w:ascii="Cambria"/>
                <w:sz w:val="20"/>
              </w:rPr>
              <w:t>0.39</w:t>
            </w:r>
          </w:p>
        </w:tc>
        <w:tc>
          <w:tcPr>
            <w:tcW w:w="980" w:type="dxa"/>
            <w:tcBorders>
              <w:top w:val="nil"/>
              <w:left w:val="nil"/>
              <w:bottom w:val="nil"/>
              <w:right w:val="nil"/>
            </w:tcBorders>
          </w:tcPr>
          <w:p>
            <w:pPr>
              <w:pStyle w:val="TableParagraph"/>
              <w:spacing w:before="11"/>
              <w:rPr>
                <w:rFonts w:ascii="Cambria"/>
                <w:b/>
                <w:sz w:val="15"/>
              </w:rPr>
            </w:pPr>
          </w:p>
          <w:p>
            <w:pPr>
              <w:pStyle w:val="TableParagraph"/>
              <w:ind w:left="256" w:right="194"/>
              <w:jc w:val="center"/>
              <w:rPr>
                <w:rFonts w:ascii="Cambria"/>
                <w:sz w:val="20"/>
              </w:rPr>
            </w:pPr>
            <w:r>
              <w:rPr>
                <w:rFonts w:ascii="Cambria"/>
                <w:sz w:val="20"/>
              </w:rPr>
              <w:t>0.00</w:t>
            </w:r>
          </w:p>
        </w:tc>
        <w:tc>
          <w:tcPr>
            <w:tcW w:w="951" w:type="dxa"/>
            <w:tcBorders>
              <w:top w:val="nil"/>
              <w:left w:val="nil"/>
              <w:bottom w:val="nil"/>
              <w:right w:val="nil"/>
            </w:tcBorders>
          </w:tcPr>
          <w:p>
            <w:pPr>
              <w:pStyle w:val="TableParagraph"/>
              <w:spacing w:before="11"/>
              <w:rPr>
                <w:rFonts w:ascii="Cambria"/>
                <w:b/>
                <w:sz w:val="15"/>
              </w:rPr>
            </w:pPr>
          </w:p>
          <w:p>
            <w:pPr>
              <w:pStyle w:val="TableParagraph"/>
              <w:ind w:right="297"/>
              <w:jc w:val="right"/>
              <w:rPr>
                <w:rFonts w:ascii="Cambria"/>
                <w:sz w:val="20"/>
              </w:rPr>
            </w:pPr>
            <w:r>
              <w:rPr>
                <w:rFonts w:ascii="Cambria"/>
                <w:sz w:val="20"/>
              </w:rPr>
              <w:t>0.49</w:t>
            </w:r>
          </w:p>
        </w:tc>
        <w:tc>
          <w:tcPr>
            <w:tcW w:w="929" w:type="dxa"/>
            <w:tcBorders>
              <w:top w:val="nil"/>
              <w:left w:val="nil"/>
              <w:bottom w:val="nil"/>
              <w:right w:val="nil"/>
            </w:tcBorders>
          </w:tcPr>
          <w:p>
            <w:pPr>
              <w:pStyle w:val="TableParagraph"/>
              <w:spacing w:before="11"/>
              <w:rPr>
                <w:rFonts w:ascii="Cambria"/>
                <w:b/>
                <w:sz w:val="15"/>
              </w:rPr>
            </w:pPr>
          </w:p>
          <w:p>
            <w:pPr>
              <w:pStyle w:val="TableParagraph"/>
              <w:ind w:left="246"/>
              <w:rPr>
                <w:rFonts w:ascii="Cambria"/>
                <w:sz w:val="20"/>
              </w:rPr>
            </w:pPr>
            <w:r>
              <w:rPr>
                <w:rFonts w:ascii="Cambria"/>
                <w:sz w:val="20"/>
              </w:rPr>
              <w:t>0.11</w:t>
            </w:r>
          </w:p>
        </w:tc>
      </w:tr>
      <w:tr>
        <w:trPr>
          <w:trHeight w:val="631" w:hRule="exact"/>
        </w:trPr>
        <w:tc>
          <w:tcPr>
            <w:tcW w:w="4873" w:type="dxa"/>
            <w:gridSpan w:val="2"/>
            <w:tcBorders>
              <w:top w:val="nil"/>
              <w:left w:val="nil"/>
              <w:bottom w:val="nil"/>
              <w:right w:val="nil"/>
            </w:tcBorders>
          </w:tcPr>
          <w:p>
            <w:pPr>
              <w:pStyle w:val="TableParagraph"/>
              <w:spacing w:line="187" w:lineRule="exact" w:before="50"/>
              <w:ind w:left="427"/>
              <w:rPr>
                <w:rFonts w:ascii="Cambria" w:hAnsi="Cambria"/>
                <w:sz w:val="20"/>
              </w:rPr>
            </w:pPr>
            <w:r>
              <w:rPr>
                <w:rFonts w:ascii="Cambria" w:hAnsi="Cambria"/>
                <w:sz w:val="20"/>
              </w:rPr>
              <w:t>13.  γ-Linolenic acid</w:t>
            </w:r>
          </w:p>
          <w:p>
            <w:pPr>
              <w:pStyle w:val="TableParagraph"/>
              <w:spacing w:line="187" w:lineRule="exact"/>
              <w:ind w:right="384"/>
              <w:jc w:val="right"/>
              <w:rPr>
                <w:rFonts w:ascii="Cambria"/>
                <w:sz w:val="20"/>
              </w:rPr>
            </w:pPr>
            <w:r>
              <w:rPr>
                <w:rFonts w:ascii="Cambria"/>
                <w:sz w:val="20"/>
              </w:rPr>
              <w:t>C18:3 n6</w:t>
            </w:r>
          </w:p>
        </w:tc>
        <w:tc>
          <w:tcPr>
            <w:tcW w:w="1061" w:type="dxa"/>
            <w:tcBorders>
              <w:top w:val="nil"/>
              <w:left w:val="nil"/>
              <w:bottom w:val="nil"/>
              <w:right w:val="nil"/>
            </w:tcBorders>
          </w:tcPr>
          <w:p>
            <w:pPr>
              <w:pStyle w:val="TableParagraph"/>
              <w:spacing w:before="1"/>
              <w:rPr>
                <w:rFonts w:ascii="Cambria"/>
                <w:b/>
                <w:sz w:val="16"/>
              </w:rPr>
            </w:pPr>
          </w:p>
          <w:p>
            <w:pPr>
              <w:pStyle w:val="TableParagraph"/>
              <w:ind w:left="274" w:right="256"/>
              <w:jc w:val="center"/>
              <w:rPr>
                <w:rFonts w:ascii="Cambria"/>
                <w:sz w:val="20"/>
              </w:rPr>
            </w:pPr>
            <w:r>
              <w:rPr>
                <w:rFonts w:ascii="Cambria"/>
                <w:sz w:val="20"/>
              </w:rPr>
              <w:t>0.00</w:t>
            </w:r>
          </w:p>
        </w:tc>
        <w:tc>
          <w:tcPr>
            <w:tcW w:w="980" w:type="dxa"/>
            <w:tcBorders>
              <w:top w:val="nil"/>
              <w:left w:val="nil"/>
              <w:bottom w:val="nil"/>
              <w:right w:val="nil"/>
            </w:tcBorders>
          </w:tcPr>
          <w:p>
            <w:pPr>
              <w:pStyle w:val="TableParagraph"/>
              <w:spacing w:before="1"/>
              <w:rPr>
                <w:rFonts w:ascii="Cambria"/>
                <w:b/>
                <w:sz w:val="16"/>
              </w:rPr>
            </w:pPr>
          </w:p>
          <w:p>
            <w:pPr>
              <w:pStyle w:val="TableParagraph"/>
              <w:ind w:left="256" w:right="199"/>
              <w:jc w:val="center"/>
              <w:rPr>
                <w:rFonts w:ascii="Cambria"/>
                <w:sz w:val="20"/>
              </w:rPr>
            </w:pPr>
            <w:r>
              <w:rPr>
                <w:rFonts w:ascii="Cambria"/>
                <w:sz w:val="20"/>
              </w:rPr>
              <w:t>50.15</w:t>
            </w:r>
          </w:p>
        </w:tc>
        <w:tc>
          <w:tcPr>
            <w:tcW w:w="951" w:type="dxa"/>
            <w:tcBorders>
              <w:top w:val="nil"/>
              <w:left w:val="nil"/>
              <w:bottom w:val="nil"/>
              <w:right w:val="nil"/>
            </w:tcBorders>
          </w:tcPr>
          <w:p>
            <w:pPr>
              <w:pStyle w:val="TableParagraph"/>
              <w:spacing w:before="1"/>
              <w:rPr>
                <w:rFonts w:ascii="Cambria"/>
                <w:b/>
                <w:sz w:val="16"/>
              </w:rPr>
            </w:pPr>
          </w:p>
          <w:p>
            <w:pPr>
              <w:pStyle w:val="TableParagraph"/>
              <w:ind w:right="297"/>
              <w:jc w:val="right"/>
              <w:rPr>
                <w:rFonts w:ascii="Cambria"/>
                <w:sz w:val="20"/>
              </w:rPr>
            </w:pPr>
            <w:r>
              <w:rPr>
                <w:rFonts w:ascii="Cambria"/>
                <w:sz w:val="20"/>
              </w:rPr>
              <w:t>0.00</w:t>
            </w:r>
          </w:p>
        </w:tc>
        <w:tc>
          <w:tcPr>
            <w:tcW w:w="929" w:type="dxa"/>
            <w:tcBorders>
              <w:top w:val="nil"/>
              <w:left w:val="nil"/>
              <w:bottom w:val="nil"/>
              <w:right w:val="nil"/>
            </w:tcBorders>
          </w:tcPr>
          <w:p>
            <w:pPr>
              <w:pStyle w:val="TableParagraph"/>
              <w:spacing w:before="1"/>
              <w:rPr>
                <w:rFonts w:ascii="Cambria"/>
                <w:b/>
                <w:sz w:val="16"/>
              </w:rPr>
            </w:pPr>
          </w:p>
          <w:p>
            <w:pPr>
              <w:pStyle w:val="TableParagraph"/>
              <w:ind w:left="246"/>
              <w:rPr>
                <w:rFonts w:ascii="Cambria"/>
                <w:sz w:val="20"/>
              </w:rPr>
            </w:pPr>
            <w:r>
              <w:rPr>
                <w:rFonts w:ascii="Cambria"/>
                <w:sz w:val="20"/>
              </w:rPr>
              <w:t>0.00</w:t>
            </w:r>
          </w:p>
        </w:tc>
      </w:tr>
      <w:tr>
        <w:trPr>
          <w:trHeight w:val="631" w:hRule="exact"/>
        </w:trPr>
        <w:tc>
          <w:tcPr>
            <w:tcW w:w="4873" w:type="dxa"/>
            <w:gridSpan w:val="2"/>
            <w:tcBorders>
              <w:top w:val="nil"/>
              <w:left w:val="nil"/>
              <w:bottom w:val="nil"/>
              <w:right w:val="nil"/>
            </w:tcBorders>
          </w:tcPr>
          <w:p>
            <w:pPr>
              <w:pStyle w:val="TableParagraph"/>
              <w:spacing w:line="187" w:lineRule="exact" w:before="47"/>
              <w:ind w:left="427"/>
              <w:rPr>
                <w:rFonts w:ascii="Cambria"/>
                <w:sz w:val="20"/>
              </w:rPr>
            </w:pPr>
            <w:r>
              <w:rPr>
                <w:rFonts w:ascii="Cambria"/>
                <w:sz w:val="20"/>
              </w:rPr>
              <w:t>14.  cis-11-Eicosadienoic acid</w:t>
            </w:r>
          </w:p>
          <w:p>
            <w:pPr>
              <w:pStyle w:val="TableParagraph"/>
              <w:spacing w:line="187" w:lineRule="exact"/>
              <w:ind w:right="648"/>
              <w:jc w:val="right"/>
              <w:rPr>
                <w:rFonts w:ascii="Cambria"/>
                <w:sz w:val="20"/>
              </w:rPr>
            </w:pPr>
            <w:r>
              <w:rPr>
                <w:rFonts w:ascii="Cambria"/>
                <w:sz w:val="20"/>
              </w:rPr>
              <w:t>C20:1</w:t>
            </w:r>
          </w:p>
        </w:tc>
        <w:tc>
          <w:tcPr>
            <w:tcW w:w="1061" w:type="dxa"/>
            <w:tcBorders>
              <w:top w:val="nil"/>
              <w:left w:val="nil"/>
              <w:bottom w:val="nil"/>
              <w:right w:val="nil"/>
            </w:tcBorders>
          </w:tcPr>
          <w:p>
            <w:pPr>
              <w:pStyle w:val="TableParagraph"/>
              <w:spacing w:before="11"/>
              <w:rPr>
                <w:rFonts w:ascii="Cambria"/>
                <w:b/>
                <w:sz w:val="15"/>
              </w:rPr>
            </w:pPr>
          </w:p>
          <w:p>
            <w:pPr>
              <w:pStyle w:val="TableParagraph"/>
              <w:ind w:left="274" w:right="256"/>
              <w:jc w:val="center"/>
              <w:rPr>
                <w:rFonts w:ascii="Cambria"/>
                <w:sz w:val="20"/>
              </w:rPr>
            </w:pPr>
            <w:r>
              <w:rPr>
                <w:rFonts w:ascii="Cambria"/>
                <w:sz w:val="20"/>
              </w:rPr>
              <w:t>0.24</w:t>
            </w:r>
          </w:p>
        </w:tc>
        <w:tc>
          <w:tcPr>
            <w:tcW w:w="980" w:type="dxa"/>
            <w:tcBorders>
              <w:top w:val="nil"/>
              <w:left w:val="nil"/>
              <w:bottom w:val="nil"/>
              <w:right w:val="nil"/>
            </w:tcBorders>
          </w:tcPr>
          <w:p>
            <w:pPr>
              <w:pStyle w:val="TableParagraph"/>
              <w:spacing w:before="11"/>
              <w:rPr>
                <w:rFonts w:ascii="Cambria"/>
                <w:b/>
                <w:sz w:val="15"/>
              </w:rPr>
            </w:pPr>
          </w:p>
          <w:p>
            <w:pPr>
              <w:pStyle w:val="TableParagraph"/>
              <w:ind w:left="256" w:right="194"/>
              <w:jc w:val="center"/>
              <w:rPr>
                <w:rFonts w:ascii="Cambria"/>
                <w:sz w:val="20"/>
              </w:rPr>
            </w:pPr>
            <w:r>
              <w:rPr>
                <w:rFonts w:ascii="Cambria"/>
                <w:sz w:val="20"/>
              </w:rPr>
              <w:t>0.26</w:t>
            </w:r>
          </w:p>
        </w:tc>
        <w:tc>
          <w:tcPr>
            <w:tcW w:w="951" w:type="dxa"/>
            <w:tcBorders>
              <w:top w:val="nil"/>
              <w:left w:val="nil"/>
              <w:bottom w:val="nil"/>
              <w:right w:val="nil"/>
            </w:tcBorders>
          </w:tcPr>
          <w:p>
            <w:pPr>
              <w:pStyle w:val="TableParagraph"/>
              <w:spacing w:before="11"/>
              <w:rPr>
                <w:rFonts w:ascii="Cambria"/>
                <w:b/>
                <w:sz w:val="15"/>
              </w:rPr>
            </w:pPr>
          </w:p>
          <w:p>
            <w:pPr>
              <w:pStyle w:val="TableParagraph"/>
              <w:ind w:right="297"/>
              <w:jc w:val="right"/>
              <w:rPr>
                <w:rFonts w:ascii="Cambria"/>
                <w:sz w:val="20"/>
              </w:rPr>
            </w:pPr>
            <w:r>
              <w:rPr>
                <w:rFonts w:ascii="Cambria"/>
                <w:sz w:val="20"/>
              </w:rPr>
              <w:t>1.12</w:t>
            </w:r>
          </w:p>
        </w:tc>
        <w:tc>
          <w:tcPr>
            <w:tcW w:w="929" w:type="dxa"/>
            <w:tcBorders>
              <w:top w:val="nil"/>
              <w:left w:val="nil"/>
              <w:bottom w:val="nil"/>
              <w:right w:val="nil"/>
            </w:tcBorders>
          </w:tcPr>
          <w:p>
            <w:pPr>
              <w:pStyle w:val="TableParagraph"/>
              <w:spacing w:before="11"/>
              <w:rPr>
                <w:rFonts w:ascii="Cambria"/>
                <w:b/>
                <w:sz w:val="15"/>
              </w:rPr>
            </w:pPr>
          </w:p>
          <w:p>
            <w:pPr>
              <w:pStyle w:val="TableParagraph"/>
              <w:ind w:left="246"/>
              <w:rPr>
                <w:rFonts w:ascii="Cambria"/>
                <w:sz w:val="20"/>
              </w:rPr>
            </w:pPr>
            <w:r>
              <w:rPr>
                <w:rFonts w:ascii="Cambria"/>
                <w:sz w:val="20"/>
              </w:rPr>
              <w:t>0.00</w:t>
            </w:r>
          </w:p>
        </w:tc>
      </w:tr>
      <w:tr>
        <w:trPr>
          <w:trHeight w:val="634" w:hRule="exact"/>
        </w:trPr>
        <w:tc>
          <w:tcPr>
            <w:tcW w:w="4873" w:type="dxa"/>
            <w:gridSpan w:val="2"/>
            <w:tcBorders>
              <w:top w:val="nil"/>
              <w:left w:val="nil"/>
              <w:bottom w:val="nil"/>
              <w:right w:val="nil"/>
            </w:tcBorders>
          </w:tcPr>
          <w:p>
            <w:pPr>
              <w:pStyle w:val="TableParagraph"/>
              <w:spacing w:line="187" w:lineRule="exact" w:before="50"/>
              <w:ind w:left="427"/>
              <w:rPr>
                <w:rFonts w:ascii="Cambria"/>
                <w:sz w:val="20"/>
              </w:rPr>
            </w:pPr>
            <w:r>
              <w:rPr>
                <w:rFonts w:ascii="Cambria"/>
                <w:sz w:val="20"/>
              </w:rPr>
              <w:t>15.  Linolenic acid</w:t>
            </w:r>
          </w:p>
          <w:p>
            <w:pPr>
              <w:pStyle w:val="TableParagraph"/>
              <w:spacing w:line="187" w:lineRule="exact"/>
              <w:ind w:right="384"/>
              <w:jc w:val="right"/>
              <w:rPr>
                <w:rFonts w:ascii="Cambria"/>
                <w:sz w:val="20"/>
              </w:rPr>
            </w:pPr>
            <w:r>
              <w:rPr>
                <w:rFonts w:ascii="Cambria"/>
                <w:sz w:val="20"/>
              </w:rPr>
              <w:t>C18:3 n3</w:t>
            </w:r>
          </w:p>
        </w:tc>
        <w:tc>
          <w:tcPr>
            <w:tcW w:w="1061" w:type="dxa"/>
            <w:tcBorders>
              <w:top w:val="nil"/>
              <w:left w:val="nil"/>
              <w:bottom w:val="nil"/>
              <w:right w:val="nil"/>
            </w:tcBorders>
          </w:tcPr>
          <w:p>
            <w:pPr>
              <w:pStyle w:val="TableParagraph"/>
              <w:spacing w:before="1"/>
              <w:rPr>
                <w:rFonts w:ascii="Cambria"/>
                <w:b/>
                <w:sz w:val="16"/>
              </w:rPr>
            </w:pPr>
          </w:p>
          <w:p>
            <w:pPr>
              <w:pStyle w:val="TableParagraph"/>
              <w:spacing w:before="1"/>
              <w:ind w:left="274" w:right="256"/>
              <w:jc w:val="center"/>
              <w:rPr>
                <w:rFonts w:ascii="Cambria"/>
                <w:sz w:val="20"/>
              </w:rPr>
            </w:pPr>
            <w:r>
              <w:rPr>
                <w:rFonts w:ascii="Cambria"/>
                <w:sz w:val="20"/>
              </w:rPr>
              <w:t>0.18</w:t>
            </w:r>
          </w:p>
        </w:tc>
        <w:tc>
          <w:tcPr>
            <w:tcW w:w="980" w:type="dxa"/>
            <w:tcBorders>
              <w:top w:val="nil"/>
              <w:left w:val="nil"/>
              <w:bottom w:val="nil"/>
              <w:right w:val="nil"/>
            </w:tcBorders>
          </w:tcPr>
          <w:p>
            <w:pPr>
              <w:pStyle w:val="TableParagraph"/>
              <w:spacing w:before="1"/>
              <w:rPr>
                <w:rFonts w:ascii="Cambria"/>
                <w:b/>
                <w:sz w:val="16"/>
              </w:rPr>
            </w:pPr>
          </w:p>
          <w:p>
            <w:pPr>
              <w:pStyle w:val="TableParagraph"/>
              <w:spacing w:before="1"/>
              <w:ind w:left="256" w:right="194"/>
              <w:jc w:val="center"/>
              <w:rPr>
                <w:rFonts w:ascii="Cambria"/>
                <w:sz w:val="20"/>
              </w:rPr>
            </w:pPr>
            <w:r>
              <w:rPr>
                <w:rFonts w:ascii="Cambria"/>
                <w:sz w:val="20"/>
              </w:rPr>
              <w:t>0.00</w:t>
            </w:r>
          </w:p>
        </w:tc>
        <w:tc>
          <w:tcPr>
            <w:tcW w:w="951" w:type="dxa"/>
            <w:tcBorders>
              <w:top w:val="nil"/>
              <w:left w:val="nil"/>
              <w:bottom w:val="nil"/>
              <w:right w:val="nil"/>
            </w:tcBorders>
          </w:tcPr>
          <w:p>
            <w:pPr>
              <w:pStyle w:val="TableParagraph"/>
              <w:spacing w:before="1"/>
              <w:rPr>
                <w:rFonts w:ascii="Cambria"/>
                <w:b/>
                <w:sz w:val="16"/>
              </w:rPr>
            </w:pPr>
          </w:p>
          <w:p>
            <w:pPr>
              <w:pStyle w:val="TableParagraph"/>
              <w:spacing w:before="1"/>
              <w:ind w:right="297"/>
              <w:jc w:val="right"/>
              <w:rPr>
                <w:rFonts w:ascii="Cambria"/>
                <w:sz w:val="20"/>
              </w:rPr>
            </w:pPr>
            <w:r>
              <w:rPr>
                <w:rFonts w:ascii="Cambria"/>
                <w:sz w:val="20"/>
              </w:rPr>
              <w:t>4.98</w:t>
            </w:r>
          </w:p>
        </w:tc>
        <w:tc>
          <w:tcPr>
            <w:tcW w:w="929" w:type="dxa"/>
            <w:tcBorders>
              <w:top w:val="nil"/>
              <w:left w:val="nil"/>
              <w:bottom w:val="nil"/>
              <w:right w:val="nil"/>
            </w:tcBorders>
          </w:tcPr>
          <w:p>
            <w:pPr>
              <w:pStyle w:val="TableParagraph"/>
              <w:spacing w:before="1"/>
              <w:rPr>
                <w:rFonts w:ascii="Cambria"/>
                <w:b/>
                <w:sz w:val="16"/>
              </w:rPr>
            </w:pPr>
          </w:p>
          <w:p>
            <w:pPr>
              <w:pStyle w:val="TableParagraph"/>
              <w:spacing w:before="1"/>
              <w:ind w:left="246"/>
              <w:rPr>
                <w:rFonts w:ascii="Cambria"/>
                <w:sz w:val="20"/>
              </w:rPr>
            </w:pPr>
            <w:r>
              <w:rPr>
                <w:rFonts w:ascii="Cambria"/>
                <w:sz w:val="20"/>
              </w:rPr>
              <w:t>0.00</w:t>
            </w:r>
          </w:p>
        </w:tc>
      </w:tr>
      <w:tr>
        <w:trPr>
          <w:trHeight w:val="631" w:hRule="exact"/>
        </w:trPr>
        <w:tc>
          <w:tcPr>
            <w:tcW w:w="4873" w:type="dxa"/>
            <w:gridSpan w:val="2"/>
            <w:tcBorders>
              <w:top w:val="nil"/>
              <w:left w:val="nil"/>
              <w:bottom w:val="nil"/>
              <w:right w:val="nil"/>
            </w:tcBorders>
          </w:tcPr>
          <w:p>
            <w:pPr>
              <w:pStyle w:val="TableParagraph"/>
              <w:spacing w:line="189" w:lineRule="exact" w:before="45"/>
              <w:ind w:left="427"/>
              <w:rPr>
                <w:rFonts w:ascii="Cambria"/>
                <w:sz w:val="20"/>
              </w:rPr>
            </w:pPr>
            <w:r>
              <w:rPr>
                <w:rFonts w:ascii="Cambria"/>
                <w:sz w:val="20"/>
              </w:rPr>
              <w:t>16.  Heneicosanoic acid</w:t>
            </w:r>
          </w:p>
          <w:p>
            <w:pPr>
              <w:pStyle w:val="TableParagraph"/>
              <w:spacing w:line="189" w:lineRule="exact"/>
              <w:ind w:right="648"/>
              <w:jc w:val="right"/>
              <w:rPr>
                <w:rFonts w:ascii="Cambria"/>
                <w:sz w:val="20"/>
              </w:rPr>
            </w:pPr>
            <w:r>
              <w:rPr>
                <w:rFonts w:ascii="Cambria"/>
                <w:sz w:val="20"/>
              </w:rPr>
              <w:t>C21:0</w:t>
            </w:r>
          </w:p>
        </w:tc>
        <w:tc>
          <w:tcPr>
            <w:tcW w:w="1061" w:type="dxa"/>
            <w:tcBorders>
              <w:top w:val="nil"/>
              <w:left w:val="nil"/>
              <w:bottom w:val="nil"/>
              <w:right w:val="nil"/>
            </w:tcBorders>
          </w:tcPr>
          <w:p>
            <w:pPr>
              <w:pStyle w:val="TableParagraph"/>
              <w:spacing w:before="1"/>
              <w:rPr>
                <w:rFonts w:ascii="Cambria"/>
                <w:b/>
                <w:sz w:val="16"/>
              </w:rPr>
            </w:pPr>
          </w:p>
          <w:p>
            <w:pPr>
              <w:pStyle w:val="TableParagraph"/>
              <w:ind w:left="274" w:right="256"/>
              <w:jc w:val="center"/>
              <w:rPr>
                <w:rFonts w:ascii="Cambria"/>
                <w:sz w:val="20"/>
              </w:rPr>
            </w:pPr>
            <w:r>
              <w:rPr>
                <w:rFonts w:ascii="Cambria"/>
                <w:sz w:val="20"/>
              </w:rPr>
              <w:t>0.94</w:t>
            </w:r>
          </w:p>
        </w:tc>
        <w:tc>
          <w:tcPr>
            <w:tcW w:w="980" w:type="dxa"/>
            <w:tcBorders>
              <w:top w:val="nil"/>
              <w:left w:val="nil"/>
              <w:bottom w:val="nil"/>
              <w:right w:val="nil"/>
            </w:tcBorders>
          </w:tcPr>
          <w:p>
            <w:pPr>
              <w:pStyle w:val="TableParagraph"/>
              <w:spacing w:before="1"/>
              <w:rPr>
                <w:rFonts w:ascii="Cambria"/>
                <w:b/>
                <w:sz w:val="16"/>
              </w:rPr>
            </w:pPr>
          </w:p>
          <w:p>
            <w:pPr>
              <w:pStyle w:val="TableParagraph"/>
              <w:ind w:left="256" w:right="194"/>
              <w:jc w:val="center"/>
              <w:rPr>
                <w:rFonts w:ascii="Cambria"/>
                <w:sz w:val="20"/>
              </w:rPr>
            </w:pPr>
            <w:r>
              <w:rPr>
                <w:rFonts w:ascii="Cambria"/>
                <w:sz w:val="20"/>
              </w:rPr>
              <w:t>0.19</w:t>
            </w:r>
          </w:p>
        </w:tc>
        <w:tc>
          <w:tcPr>
            <w:tcW w:w="951" w:type="dxa"/>
            <w:tcBorders>
              <w:top w:val="nil"/>
              <w:left w:val="nil"/>
              <w:bottom w:val="nil"/>
              <w:right w:val="nil"/>
            </w:tcBorders>
          </w:tcPr>
          <w:p>
            <w:pPr>
              <w:pStyle w:val="TableParagraph"/>
              <w:spacing w:before="1"/>
              <w:rPr>
                <w:rFonts w:ascii="Cambria"/>
                <w:b/>
                <w:sz w:val="16"/>
              </w:rPr>
            </w:pPr>
          </w:p>
          <w:p>
            <w:pPr>
              <w:pStyle w:val="TableParagraph"/>
              <w:ind w:right="297"/>
              <w:jc w:val="right"/>
              <w:rPr>
                <w:rFonts w:ascii="Cambria"/>
                <w:sz w:val="20"/>
              </w:rPr>
            </w:pPr>
            <w:r>
              <w:rPr>
                <w:rFonts w:ascii="Cambria"/>
                <w:sz w:val="20"/>
              </w:rPr>
              <w:t>0.38</w:t>
            </w:r>
          </w:p>
        </w:tc>
        <w:tc>
          <w:tcPr>
            <w:tcW w:w="929" w:type="dxa"/>
            <w:tcBorders>
              <w:top w:val="nil"/>
              <w:left w:val="nil"/>
              <w:bottom w:val="nil"/>
              <w:right w:val="nil"/>
            </w:tcBorders>
          </w:tcPr>
          <w:p>
            <w:pPr>
              <w:pStyle w:val="TableParagraph"/>
              <w:spacing w:before="1"/>
              <w:rPr>
                <w:rFonts w:ascii="Cambria"/>
                <w:b/>
                <w:sz w:val="16"/>
              </w:rPr>
            </w:pPr>
          </w:p>
          <w:p>
            <w:pPr>
              <w:pStyle w:val="TableParagraph"/>
              <w:ind w:left="246"/>
              <w:rPr>
                <w:rFonts w:ascii="Cambria"/>
                <w:sz w:val="20"/>
              </w:rPr>
            </w:pPr>
            <w:r>
              <w:rPr>
                <w:rFonts w:ascii="Cambria"/>
                <w:sz w:val="20"/>
              </w:rPr>
              <w:t>0.00</w:t>
            </w:r>
          </w:p>
        </w:tc>
      </w:tr>
      <w:tr>
        <w:trPr>
          <w:trHeight w:val="632" w:hRule="exact"/>
        </w:trPr>
        <w:tc>
          <w:tcPr>
            <w:tcW w:w="4873" w:type="dxa"/>
            <w:gridSpan w:val="2"/>
            <w:tcBorders>
              <w:top w:val="nil"/>
              <w:left w:val="nil"/>
              <w:bottom w:val="nil"/>
              <w:right w:val="nil"/>
            </w:tcBorders>
          </w:tcPr>
          <w:p>
            <w:pPr>
              <w:pStyle w:val="TableParagraph"/>
              <w:spacing w:line="187" w:lineRule="exact" w:before="47"/>
              <w:ind w:left="427"/>
              <w:rPr>
                <w:rFonts w:ascii="Cambria"/>
                <w:sz w:val="20"/>
              </w:rPr>
            </w:pPr>
            <w:r>
              <w:rPr>
                <w:rFonts w:ascii="Cambria"/>
                <w:sz w:val="20"/>
              </w:rPr>
              <w:t>17.  Behenic acid</w:t>
            </w:r>
          </w:p>
          <w:p>
            <w:pPr>
              <w:pStyle w:val="TableParagraph"/>
              <w:spacing w:line="187" w:lineRule="exact"/>
              <w:ind w:right="648"/>
              <w:jc w:val="right"/>
              <w:rPr>
                <w:rFonts w:ascii="Cambria"/>
                <w:sz w:val="20"/>
              </w:rPr>
            </w:pPr>
            <w:r>
              <w:rPr>
                <w:rFonts w:ascii="Cambria"/>
                <w:sz w:val="20"/>
              </w:rPr>
              <w:t>C22:0</w:t>
            </w:r>
          </w:p>
        </w:tc>
        <w:tc>
          <w:tcPr>
            <w:tcW w:w="1061" w:type="dxa"/>
            <w:tcBorders>
              <w:top w:val="nil"/>
              <w:left w:val="nil"/>
              <w:bottom w:val="nil"/>
              <w:right w:val="nil"/>
            </w:tcBorders>
          </w:tcPr>
          <w:p>
            <w:pPr>
              <w:pStyle w:val="TableParagraph"/>
              <w:spacing w:before="11"/>
              <w:rPr>
                <w:rFonts w:ascii="Cambria"/>
                <w:b/>
                <w:sz w:val="15"/>
              </w:rPr>
            </w:pPr>
          </w:p>
          <w:p>
            <w:pPr>
              <w:pStyle w:val="TableParagraph"/>
              <w:ind w:left="274" w:right="256"/>
              <w:jc w:val="center"/>
              <w:rPr>
                <w:rFonts w:ascii="Cambria"/>
                <w:sz w:val="20"/>
              </w:rPr>
            </w:pPr>
            <w:r>
              <w:rPr>
                <w:rFonts w:ascii="Cambria"/>
                <w:sz w:val="20"/>
              </w:rPr>
              <w:t>0.21</w:t>
            </w:r>
          </w:p>
        </w:tc>
        <w:tc>
          <w:tcPr>
            <w:tcW w:w="980" w:type="dxa"/>
            <w:tcBorders>
              <w:top w:val="nil"/>
              <w:left w:val="nil"/>
              <w:bottom w:val="nil"/>
              <w:right w:val="nil"/>
            </w:tcBorders>
          </w:tcPr>
          <w:p>
            <w:pPr>
              <w:pStyle w:val="TableParagraph"/>
              <w:spacing w:before="11"/>
              <w:rPr>
                <w:rFonts w:ascii="Cambria"/>
                <w:b/>
                <w:sz w:val="15"/>
              </w:rPr>
            </w:pPr>
          </w:p>
          <w:p>
            <w:pPr>
              <w:pStyle w:val="TableParagraph"/>
              <w:ind w:left="256" w:right="194"/>
              <w:jc w:val="center"/>
              <w:rPr>
                <w:rFonts w:ascii="Cambria"/>
                <w:sz w:val="20"/>
              </w:rPr>
            </w:pPr>
            <w:r>
              <w:rPr>
                <w:rFonts w:ascii="Cambria"/>
                <w:sz w:val="20"/>
              </w:rPr>
              <w:t>0.14</w:t>
            </w:r>
          </w:p>
        </w:tc>
        <w:tc>
          <w:tcPr>
            <w:tcW w:w="951" w:type="dxa"/>
            <w:tcBorders>
              <w:top w:val="nil"/>
              <w:left w:val="nil"/>
              <w:bottom w:val="nil"/>
              <w:right w:val="nil"/>
            </w:tcBorders>
          </w:tcPr>
          <w:p>
            <w:pPr>
              <w:pStyle w:val="TableParagraph"/>
              <w:spacing w:before="11"/>
              <w:rPr>
                <w:rFonts w:ascii="Cambria"/>
                <w:b/>
                <w:sz w:val="15"/>
              </w:rPr>
            </w:pPr>
          </w:p>
          <w:p>
            <w:pPr>
              <w:pStyle w:val="TableParagraph"/>
              <w:ind w:right="297"/>
              <w:jc w:val="right"/>
              <w:rPr>
                <w:rFonts w:ascii="Cambria"/>
                <w:sz w:val="20"/>
              </w:rPr>
            </w:pPr>
            <w:r>
              <w:rPr>
                <w:rFonts w:ascii="Cambria"/>
                <w:sz w:val="20"/>
              </w:rPr>
              <w:t>0.36</w:t>
            </w:r>
          </w:p>
        </w:tc>
        <w:tc>
          <w:tcPr>
            <w:tcW w:w="929" w:type="dxa"/>
            <w:tcBorders>
              <w:top w:val="nil"/>
              <w:left w:val="nil"/>
              <w:bottom w:val="nil"/>
              <w:right w:val="nil"/>
            </w:tcBorders>
          </w:tcPr>
          <w:p>
            <w:pPr>
              <w:pStyle w:val="TableParagraph"/>
              <w:spacing w:before="11"/>
              <w:rPr>
                <w:rFonts w:ascii="Cambria"/>
                <w:b/>
                <w:sz w:val="15"/>
              </w:rPr>
            </w:pPr>
          </w:p>
          <w:p>
            <w:pPr>
              <w:pStyle w:val="TableParagraph"/>
              <w:ind w:left="246"/>
              <w:rPr>
                <w:rFonts w:ascii="Cambria"/>
                <w:sz w:val="20"/>
              </w:rPr>
            </w:pPr>
            <w:r>
              <w:rPr>
                <w:rFonts w:ascii="Cambria"/>
                <w:sz w:val="20"/>
              </w:rPr>
              <w:t>0.00</w:t>
            </w:r>
          </w:p>
        </w:tc>
      </w:tr>
      <w:tr>
        <w:trPr>
          <w:trHeight w:val="631" w:hRule="exact"/>
        </w:trPr>
        <w:tc>
          <w:tcPr>
            <w:tcW w:w="4873" w:type="dxa"/>
            <w:gridSpan w:val="2"/>
            <w:tcBorders>
              <w:top w:val="nil"/>
              <w:left w:val="nil"/>
              <w:bottom w:val="nil"/>
              <w:right w:val="nil"/>
            </w:tcBorders>
          </w:tcPr>
          <w:p>
            <w:pPr>
              <w:pStyle w:val="TableParagraph"/>
              <w:spacing w:line="187" w:lineRule="exact" w:before="50"/>
              <w:ind w:left="427"/>
              <w:rPr>
                <w:rFonts w:ascii="Cambria"/>
                <w:sz w:val="20"/>
              </w:rPr>
            </w:pPr>
            <w:r>
              <w:rPr>
                <w:rFonts w:ascii="Cambria"/>
                <w:sz w:val="20"/>
              </w:rPr>
              <w:t>18.  </w:t>
            </w:r>
            <w:r>
              <w:rPr>
                <w:rFonts w:ascii="Cambria"/>
                <w:i/>
                <w:sz w:val="20"/>
              </w:rPr>
              <w:t>cis</w:t>
            </w:r>
            <w:r>
              <w:rPr>
                <w:rFonts w:ascii="Cambria"/>
                <w:sz w:val="20"/>
              </w:rPr>
              <w:t>-11,14,17-Eicosatrienoic acid</w:t>
            </w:r>
          </w:p>
          <w:p>
            <w:pPr>
              <w:pStyle w:val="TableParagraph"/>
              <w:spacing w:line="187" w:lineRule="exact"/>
              <w:ind w:right="384"/>
              <w:jc w:val="right"/>
              <w:rPr>
                <w:rFonts w:ascii="Cambria"/>
                <w:sz w:val="20"/>
              </w:rPr>
            </w:pPr>
            <w:r>
              <w:rPr>
                <w:rFonts w:ascii="Cambria"/>
                <w:sz w:val="20"/>
              </w:rPr>
              <w:t>C20:3 n3</w:t>
            </w:r>
          </w:p>
        </w:tc>
        <w:tc>
          <w:tcPr>
            <w:tcW w:w="1061" w:type="dxa"/>
            <w:tcBorders>
              <w:top w:val="nil"/>
              <w:left w:val="nil"/>
              <w:bottom w:val="nil"/>
              <w:right w:val="nil"/>
            </w:tcBorders>
          </w:tcPr>
          <w:p>
            <w:pPr>
              <w:pStyle w:val="TableParagraph"/>
              <w:spacing w:before="2"/>
              <w:rPr>
                <w:rFonts w:ascii="Cambria"/>
                <w:b/>
                <w:sz w:val="16"/>
              </w:rPr>
            </w:pPr>
          </w:p>
          <w:p>
            <w:pPr>
              <w:pStyle w:val="TableParagraph"/>
              <w:ind w:left="274" w:right="256"/>
              <w:jc w:val="center"/>
              <w:rPr>
                <w:rFonts w:ascii="Cambria"/>
                <w:sz w:val="20"/>
              </w:rPr>
            </w:pPr>
            <w:r>
              <w:rPr>
                <w:rFonts w:ascii="Cambria"/>
                <w:sz w:val="20"/>
              </w:rPr>
              <w:t>0.04</w:t>
            </w:r>
          </w:p>
        </w:tc>
        <w:tc>
          <w:tcPr>
            <w:tcW w:w="980" w:type="dxa"/>
            <w:tcBorders>
              <w:top w:val="nil"/>
              <w:left w:val="nil"/>
              <w:bottom w:val="nil"/>
              <w:right w:val="nil"/>
            </w:tcBorders>
          </w:tcPr>
          <w:p>
            <w:pPr>
              <w:pStyle w:val="TableParagraph"/>
              <w:spacing w:before="2"/>
              <w:rPr>
                <w:rFonts w:ascii="Cambria"/>
                <w:b/>
                <w:sz w:val="16"/>
              </w:rPr>
            </w:pPr>
          </w:p>
          <w:p>
            <w:pPr>
              <w:pStyle w:val="TableParagraph"/>
              <w:ind w:left="256" w:right="194"/>
              <w:jc w:val="center"/>
              <w:rPr>
                <w:rFonts w:ascii="Cambria"/>
                <w:sz w:val="20"/>
              </w:rPr>
            </w:pPr>
            <w:r>
              <w:rPr>
                <w:rFonts w:ascii="Cambria"/>
                <w:sz w:val="20"/>
              </w:rPr>
              <w:t>0.12</w:t>
            </w:r>
          </w:p>
        </w:tc>
        <w:tc>
          <w:tcPr>
            <w:tcW w:w="951" w:type="dxa"/>
            <w:tcBorders>
              <w:top w:val="nil"/>
              <w:left w:val="nil"/>
              <w:bottom w:val="nil"/>
              <w:right w:val="nil"/>
            </w:tcBorders>
          </w:tcPr>
          <w:p>
            <w:pPr>
              <w:pStyle w:val="TableParagraph"/>
              <w:spacing w:before="2"/>
              <w:rPr>
                <w:rFonts w:ascii="Cambria"/>
                <w:b/>
                <w:sz w:val="16"/>
              </w:rPr>
            </w:pPr>
          </w:p>
          <w:p>
            <w:pPr>
              <w:pStyle w:val="TableParagraph"/>
              <w:ind w:right="297"/>
              <w:jc w:val="right"/>
              <w:rPr>
                <w:rFonts w:ascii="Cambria"/>
                <w:sz w:val="20"/>
              </w:rPr>
            </w:pPr>
            <w:r>
              <w:rPr>
                <w:rFonts w:ascii="Cambria"/>
                <w:sz w:val="20"/>
              </w:rPr>
              <w:t>0.01</w:t>
            </w:r>
          </w:p>
        </w:tc>
        <w:tc>
          <w:tcPr>
            <w:tcW w:w="929" w:type="dxa"/>
            <w:tcBorders>
              <w:top w:val="nil"/>
              <w:left w:val="nil"/>
              <w:bottom w:val="nil"/>
              <w:right w:val="nil"/>
            </w:tcBorders>
          </w:tcPr>
          <w:p>
            <w:pPr>
              <w:pStyle w:val="TableParagraph"/>
              <w:spacing w:before="2"/>
              <w:rPr>
                <w:rFonts w:ascii="Cambria"/>
                <w:b/>
                <w:sz w:val="16"/>
              </w:rPr>
            </w:pPr>
          </w:p>
          <w:p>
            <w:pPr>
              <w:pStyle w:val="TableParagraph"/>
              <w:ind w:left="246"/>
              <w:rPr>
                <w:rFonts w:ascii="Cambria"/>
                <w:sz w:val="20"/>
              </w:rPr>
            </w:pPr>
            <w:r>
              <w:rPr>
                <w:rFonts w:ascii="Cambria"/>
                <w:sz w:val="20"/>
              </w:rPr>
              <w:t>0.08</w:t>
            </w:r>
          </w:p>
        </w:tc>
      </w:tr>
      <w:tr>
        <w:trPr>
          <w:trHeight w:val="631" w:hRule="exact"/>
        </w:trPr>
        <w:tc>
          <w:tcPr>
            <w:tcW w:w="4873" w:type="dxa"/>
            <w:gridSpan w:val="2"/>
            <w:tcBorders>
              <w:top w:val="nil"/>
              <w:left w:val="nil"/>
              <w:bottom w:val="nil"/>
              <w:right w:val="nil"/>
            </w:tcBorders>
          </w:tcPr>
          <w:p>
            <w:pPr>
              <w:pStyle w:val="TableParagraph"/>
              <w:spacing w:line="187" w:lineRule="exact" w:before="47"/>
              <w:ind w:left="427"/>
              <w:rPr>
                <w:rFonts w:ascii="Cambria"/>
                <w:sz w:val="20"/>
              </w:rPr>
            </w:pPr>
            <w:r>
              <w:rPr>
                <w:rFonts w:ascii="Cambria"/>
                <w:sz w:val="20"/>
              </w:rPr>
              <w:t>19.  Arachidonic acid</w:t>
            </w:r>
          </w:p>
          <w:p>
            <w:pPr>
              <w:pStyle w:val="TableParagraph"/>
              <w:spacing w:line="187" w:lineRule="exact"/>
              <w:ind w:right="384"/>
              <w:jc w:val="right"/>
              <w:rPr>
                <w:rFonts w:ascii="Cambria"/>
                <w:sz w:val="20"/>
              </w:rPr>
            </w:pPr>
            <w:r>
              <w:rPr>
                <w:rFonts w:ascii="Cambria"/>
                <w:sz w:val="20"/>
              </w:rPr>
              <w:t>C20:4 n6</w:t>
            </w:r>
          </w:p>
        </w:tc>
        <w:tc>
          <w:tcPr>
            <w:tcW w:w="1061" w:type="dxa"/>
            <w:tcBorders>
              <w:top w:val="nil"/>
              <w:left w:val="nil"/>
              <w:bottom w:val="nil"/>
              <w:right w:val="nil"/>
            </w:tcBorders>
          </w:tcPr>
          <w:p>
            <w:pPr>
              <w:pStyle w:val="TableParagraph"/>
              <w:spacing w:before="11"/>
              <w:rPr>
                <w:rFonts w:ascii="Cambria"/>
                <w:b/>
                <w:sz w:val="15"/>
              </w:rPr>
            </w:pPr>
          </w:p>
          <w:p>
            <w:pPr>
              <w:pStyle w:val="TableParagraph"/>
              <w:ind w:left="274" w:right="256"/>
              <w:jc w:val="center"/>
              <w:rPr>
                <w:rFonts w:ascii="Cambria"/>
                <w:sz w:val="20"/>
              </w:rPr>
            </w:pPr>
            <w:r>
              <w:rPr>
                <w:rFonts w:ascii="Cambria"/>
                <w:sz w:val="20"/>
              </w:rPr>
              <w:t>0.06</w:t>
            </w:r>
          </w:p>
        </w:tc>
        <w:tc>
          <w:tcPr>
            <w:tcW w:w="980" w:type="dxa"/>
            <w:tcBorders>
              <w:top w:val="nil"/>
              <w:left w:val="nil"/>
              <w:bottom w:val="nil"/>
              <w:right w:val="nil"/>
            </w:tcBorders>
          </w:tcPr>
          <w:p>
            <w:pPr>
              <w:pStyle w:val="TableParagraph"/>
              <w:spacing w:before="11"/>
              <w:rPr>
                <w:rFonts w:ascii="Cambria"/>
                <w:b/>
                <w:sz w:val="15"/>
              </w:rPr>
            </w:pPr>
          </w:p>
          <w:p>
            <w:pPr>
              <w:pStyle w:val="TableParagraph"/>
              <w:ind w:left="256" w:right="194"/>
              <w:jc w:val="center"/>
              <w:rPr>
                <w:rFonts w:ascii="Cambria"/>
                <w:sz w:val="20"/>
              </w:rPr>
            </w:pPr>
            <w:r>
              <w:rPr>
                <w:rFonts w:ascii="Cambria"/>
                <w:sz w:val="20"/>
              </w:rPr>
              <w:t>0.11</w:t>
            </w:r>
          </w:p>
        </w:tc>
        <w:tc>
          <w:tcPr>
            <w:tcW w:w="951" w:type="dxa"/>
            <w:tcBorders>
              <w:top w:val="nil"/>
              <w:left w:val="nil"/>
              <w:bottom w:val="nil"/>
              <w:right w:val="nil"/>
            </w:tcBorders>
          </w:tcPr>
          <w:p>
            <w:pPr>
              <w:pStyle w:val="TableParagraph"/>
              <w:spacing w:before="11"/>
              <w:rPr>
                <w:rFonts w:ascii="Cambria"/>
                <w:b/>
                <w:sz w:val="15"/>
              </w:rPr>
            </w:pPr>
          </w:p>
          <w:p>
            <w:pPr>
              <w:pStyle w:val="TableParagraph"/>
              <w:ind w:right="297"/>
              <w:jc w:val="right"/>
              <w:rPr>
                <w:rFonts w:ascii="Cambria"/>
                <w:sz w:val="20"/>
              </w:rPr>
            </w:pPr>
            <w:r>
              <w:rPr>
                <w:rFonts w:ascii="Cambria"/>
                <w:sz w:val="20"/>
              </w:rPr>
              <w:t>0.14</w:t>
            </w:r>
          </w:p>
        </w:tc>
        <w:tc>
          <w:tcPr>
            <w:tcW w:w="929" w:type="dxa"/>
            <w:tcBorders>
              <w:top w:val="nil"/>
              <w:left w:val="nil"/>
              <w:bottom w:val="nil"/>
              <w:right w:val="nil"/>
            </w:tcBorders>
          </w:tcPr>
          <w:p>
            <w:pPr>
              <w:pStyle w:val="TableParagraph"/>
              <w:spacing w:before="11"/>
              <w:rPr>
                <w:rFonts w:ascii="Cambria"/>
                <w:b/>
                <w:sz w:val="15"/>
              </w:rPr>
            </w:pPr>
          </w:p>
          <w:p>
            <w:pPr>
              <w:pStyle w:val="TableParagraph"/>
              <w:ind w:left="246"/>
              <w:rPr>
                <w:rFonts w:ascii="Cambria"/>
                <w:sz w:val="20"/>
              </w:rPr>
            </w:pPr>
            <w:r>
              <w:rPr>
                <w:rFonts w:ascii="Cambria"/>
                <w:sz w:val="20"/>
              </w:rPr>
              <w:t>0.33</w:t>
            </w:r>
          </w:p>
        </w:tc>
      </w:tr>
      <w:tr>
        <w:trPr>
          <w:trHeight w:val="634" w:hRule="exact"/>
        </w:trPr>
        <w:tc>
          <w:tcPr>
            <w:tcW w:w="4873" w:type="dxa"/>
            <w:gridSpan w:val="2"/>
            <w:tcBorders>
              <w:top w:val="nil"/>
              <w:left w:val="nil"/>
              <w:bottom w:val="nil"/>
              <w:right w:val="nil"/>
            </w:tcBorders>
          </w:tcPr>
          <w:p>
            <w:pPr>
              <w:pStyle w:val="TableParagraph"/>
              <w:spacing w:line="187" w:lineRule="exact" w:before="50"/>
              <w:ind w:left="427"/>
              <w:rPr>
                <w:rFonts w:ascii="Cambria"/>
                <w:sz w:val="20"/>
              </w:rPr>
            </w:pPr>
            <w:r>
              <w:rPr>
                <w:rFonts w:ascii="Cambria"/>
                <w:sz w:val="20"/>
              </w:rPr>
              <w:t>20.  Tricosanoic acid</w:t>
            </w:r>
          </w:p>
          <w:p>
            <w:pPr>
              <w:pStyle w:val="TableParagraph"/>
              <w:spacing w:line="187" w:lineRule="exact"/>
              <w:ind w:right="648"/>
              <w:jc w:val="right"/>
              <w:rPr>
                <w:rFonts w:ascii="Cambria"/>
                <w:sz w:val="20"/>
              </w:rPr>
            </w:pPr>
            <w:r>
              <w:rPr>
                <w:rFonts w:ascii="Cambria"/>
                <w:sz w:val="20"/>
              </w:rPr>
              <w:t>C23:0</w:t>
            </w:r>
          </w:p>
        </w:tc>
        <w:tc>
          <w:tcPr>
            <w:tcW w:w="1061" w:type="dxa"/>
            <w:tcBorders>
              <w:top w:val="nil"/>
              <w:left w:val="nil"/>
              <w:bottom w:val="nil"/>
              <w:right w:val="nil"/>
            </w:tcBorders>
          </w:tcPr>
          <w:p>
            <w:pPr>
              <w:pStyle w:val="TableParagraph"/>
              <w:spacing w:before="1"/>
              <w:rPr>
                <w:rFonts w:ascii="Cambria"/>
                <w:b/>
                <w:sz w:val="16"/>
              </w:rPr>
            </w:pPr>
          </w:p>
          <w:p>
            <w:pPr>
              <w:pStyle w:val="TableParagraph"/>
              <w:spacing w:before="1"/>
              <w:ind w:left="274" w:right="256"/>
              <w:jc w:val="center"/>
              <w:rPr>
                <w:rFonts w:ascii="Cambria"/>
                <w:sz w:val="20"/>
              </w:rPr>
            </w:pPr>
            <w:r>
              <w:rPr>
                <w:rFonts w:ascii="Cambria"/>
                <w:sz w:val="20"/>
              </w:rPr>
              <w:t>0.17</w:t>
            </w:r>
          </w:p>
        </w:tc>
        <w:tc>
          <w:tcPr>
            <w:tcW w:w="980" w:type="dxa"/>
            <w:tcBorders>
              <w:top w:val="nil"/>
              <w:left w:val="nil"/>
              <w:bottom w:val="nil"/>
              <w:right w:val="nil"/>
            </w:tcBorders>
          </w:tcPr>
          <w:p>
            <w:pPr>
              <w:pStyle w:val="TableParagraph"/>
              <w:spacing w:before="1"/>
              <w:rPr>
                <w:rFonts w:ascii="Cambria"/>
                <w:b/>
                <w:sz w:val="16"/>
              </w:rPr>
            </w:pPr>
          </w:p>
          <w:p>
            <w:pPr>
              <w:pStyle w:val="TableParagraph"/>
              <w:spacing w:before="1"/>
              <w:ind w:left="256" w:right="194"/>
              <w:jc w:val="center"/>
              <w:rPr>
                <w:rFonts w:ascii="Cambria"/>
                <w:sz w:val="20"/>
              </w:rPr>
            </w:pPr>
            <w:r>
              <w:rPr>
                <w:rFonts w:ascii="Cambria"/>
                <w:sz w:val="20"/>
              </w:rPr>
              <w:t>0.22</w:t>
            </w:r>
          </w:p>
        </w:tc>
        <w:tc>
          <w:tcPr>
            <w:tcW w:w="951" w:type="dxa"/>
            <w:tcBorders>
              <w:top w:val="nil"/>
              <w:left w:val="nil"/>
              <w:bottom w:val="nil"/>
              <w:right w:val="nil"/>
            </w:tcBorders>
          </w:tcPr>
          <w:p>
            <w:pPr>
              <w:pStyle w:val="TableParagraph"/>
              <w:spacing w:before="1"/>
              <w:rPr>
                <w:rFonts w:ascii="Cambria"/>
                <w:b/>
                <w:sz w:val="16"/>
              </w:rPr>
            </w:pPr>
          </w:p>
          <w:p>
            <w:pPr>
              <w:pStyle w:val="TableParagraph"/>
              <w:spacing w:before="1"/>
              <w:ind w:right="297"/>
              <w:jc w:val="right"/>
              <w:rPr>
                <w:rFonts w:ascii="Cambria"/>
                <w:sz w:val="20"/>
              </w:rPr>
            </w:pPr>
            <w:r>
              <w:rPr>
                <w:rFonts w:ascii="Cambria"/>
                <w:sz w:val="20"/>
              </w:rPr>
              <w:t>0.16</w:t>
            </w:r>
          </w:p>
        </w:tc>
        <w:tc>
          <w:tcPr>
            <w:tcW w:w="929" w:type="dxa"/>
            <w:tcBorders>
              <w:top w:val="nil"/>
              <w:left w:val="nil"/>
              <w:bottom w:val="nil"/>
              <w:right w:val="nil"/>
            </w:tcBorders>
          </w:tcPr>
          <w:p>
            <w:pPr>
              <w:pStyle w:val="TableParagraph"/>
              <w:spacing w:before="1"/>
              <w:rPr>
                <w:rFonts w:ascii="Cambria"/>
                <w:b/>
                <w:sz w:val="16"/>
              </w:rPr>
            </w:pPr>
          </w:p>
          <w:p>
            <w:pPr>
              <w:pStyle w:val="TableParagraph"/>
              <w:spacing w:before="1"/>
              <w:ind w:left="246"/>
              <w:rPr>
                <w:rFonts w:ascii="Cambria"/>
                <w:sz w:val="20"/>
              </w:rPr>
            </w:pPr>
            <w:r>
              <w:rPr>
                <w:rFonts w:ascii="Cambria"/>
                <w:sz w:val="20"/>
              </w:rPr>
              <w:t>0.48</w:t>
            </w:r>
          </w:p>
        </w:tc>
      </w:tr>
      <w:tr>
        <w:trPr>
          <w:trHeight w:val="631" w:hRule="exact"/>
        </w:trPr>
        <w:tc>
          <w:tcPr>
            <w:tcW w:w="4873" w:type="dxa"/>
            <w:gridSpan w:val="2"/>
            <w:tcBorders>
              <w:top w:val="nil"/>
              <w:left w:val="nil"/>
              <w:bottom w:val="nil"/>
              <w:right w:val="nil"/>
            </w:tcBorders>
          </w:tcPr>
          <w:p>
            <w:pPr>
              <w:pStyle w:val="TableParagraph"/>
              <w:spacing w:line="187" w:lineRule="exact" w:before="50"/>
              <w:ind w:left="427"/>
              <w:rPr>
                <w:rFonts w:ascii="Cambria"/>
                <w:sz w:val="20"/>
              </w:rPr>
            </w:pPr>
            <w:r>
              <w:rPr>
                <w:rFonts w:ascii="Cambria"/>
                <w:sz w:val="20"/>
              </w:rPr>
              <w:t>21.  </w:t>
            </w:r>
            <w:r>
              <w:rPr>
                <w:rFonts w:ascii="Cambria"/>
                <w:i/>
                <w:sz w:val="20"/>
              </w:rPr>
              <w:t>cis</w:t>
            </w:r>
            <w:r>
              <w:rPr>
                <w:rFonts w:ascii="Cambria"/>
                <w:sz w:val="20"/>
              </w:rPr>
              <w:t>-13,16-Docosadienoic acid</w:t>
            </w:r>
          </w:p>
          <w:p>
            <w:pPr>
              <w:pStyle w:val="TableParagraph"/>
              <w:spacing w:line="187" w:lineRule="exact"/>
              <w:ind w:right="648"/>
              <w:jc w:val="right"/>
              <w:rPr>
                <w:rFonts w:ascii="Cambria"/>
                <w:sz w:val="20"/>
              </w:rPr>
            </w:pPr>
            <w:r>
              <w:rPr>
                <w:rFonts w:ascii="Cambria"/>
                <w:sz w:val="20"/>
              </w:rPr>
              <w:t>C22:2</w:t>
            </w:r>
          </w:p>
        </w:tc>
        <w:tc>
          <w:tcPr>
            <w:tcW w:w="1061" w:type="dxa"/>
            <w:tcBorders>
              <w:top w:val="nil"/>
              <w:left w:val="nil"/>
              <w:bottom w:val="nil"/>
              <w:right w:val="nil"/>
            </w:tcBorders>
          </w:tcPr>
          <w:p>
            <w:pPr>
              <w:pStyle w:val="TableParagraph"/>
              <w:spacing w:before="1"/>
              <w:rPr>
                <w:rFonts w:ascii="Cambria"/>
                <w:b/>
                <w:sz w:val="16"/>
              </w:rPr>
            </w:pPr>
          </w:p>
          <w:p>
            <w:pPr>
              <w:pStyle w:val="TableParagraph"/>
              <w:ind w:left="274" w:right="256"/>
              <w:jc w:val="center"/>
              <w:rPr>
                <w:rFonts w:ascii="Cambria"/>
                <w:sz w:val="20"/>
              </w:rPr>
            </w:pPr>
            <w:r>
              <w:rPr>
                <w:rFonts w:ascii="Cambria"/>
                <w:sz w:val="20"/>
              </w:rPr>
              <w:t>0.09</w:t>
            </w:r>
          </w:p>
        </w:tc>
        <w:tc>
          <w:tcPr>
            <w:tcW w:w="980" w:type="dxa"/>
            <w:tcBorders>
              <w:top w:val="nil"/>
              <w:left w:val="nil"/>
              <w:bottom w:val="nil"/>
              <w:right w:val="nil"/>
            </w:tcBorders>
          </w:tcPr>
          <w:p>
            <w:pPr>
              <w:pStyle w:val="TableParagraph"/>
              <w:spacing w:before="1"/>
              <w:rPr>
                <w:rFonts w:ascii="Cambria"/>
                <w:b/>
                <w:sz w:val="16"/>
              </w:rPr>
            </w:pPr>
          </w:p>
          <w:p>
            <w:pPr>
              <w:pStyle w:val="TableParagraph"/>
              <w:ind w:left="256" w:right="194"/>
              <w:jc w:val="center"/>
              <w:rPr>
                <w:rFonts w:ascii="Cambria"/>
                <w:sz w:val="20"/>
              </w:rPr>
            </w:pPr>
            <w:r>
              <w:rPr>
                <w:rFonts w:ascii="Cambria"/>
                <w:sz w:val="20"/>
              </w:rPr>
              <w:t>0.18</w:t>
            </w:r>
          </w:p>
        </w:tc>
        <w:tc>
          <w:tcPr>
            <w:tcW w:w="951" w:type="dxa"/>
            <w:tcBorders>
              <w:top w:val="nil"/>
              <w:left w:val="nil"/>
              <w:bottom w:val="nil"/>
              <w:right w:val="nil"/>
            </w:tcBorders>
          </w:tcPr>
          <w:p>
            <w:pPr>
              <w:pStyle w:val="TableParagraph"/>
              <w:spacing w:before="1"/>
              <w:rPr>
                <w:rFonts w:ascii="Cambria"/>
                <w:b/>
                <w:sz w:val="16"/>
              </w:rPr>
            </w:pPr>
          </w:p>
          <w:p>
            <w:pPr>
              <w:pStyle w:val="TableParagraph"/>
              <w:ind w:right="297"/>
              <w:jc w:val="right"/>
              <w:rPr>
                <w:rFonts w:ascii="Cambria"/>
                <w:sz w:val="20"/>
              </w:rPr>
            </w:pPr>
            <w:r>
              <w:rPr>
                <w:rFonts w:ascii="Cambria"/>
                <w:sz w:val="20"/>
              </w:rPr>
              <w:t>0.13</w:t>
            </w:r>
          </w:p>
        </w:tc>
        <w:tc>
          <w:tcPr>
            <w:tcW w:w="929" w:type="dxa"/>
            <w:tcBorders>
              <w:top w:val="nil"/>
              <w:left w:val="nil"/>
              <w:bottom w:val="nil"/>
              <w:right w:val="nil"/>
            </w:tcBorders>
          </w:tcPr>
          <w:p>
            <w:pPr>
              <w:pStyle w:val="TableParagraph"/>
              <w:spacing w:before="1"/>
              <w:rPr>
                <w:rFonts w:ascii="Cambria"/>
                <w:b/>
                <w:sz w:val="16"/>
              </w:rPr>
            </w:pPr>
          </w:p>
          <w:p>
            <w:pPr>
              <w:pStyle w:val="TableParagraph"/>
              <w:ind w:left="246"/>
              <w:rPr>
                <w:rFonts w:ascii="Cambria"/>
                <w:sz w:val="20"/>
              </w:rPr>
            </w:pPr>
            <w:r>
              <w:rPr>
                <w:rFonts w:ascii="Cambria"/>
                <w:sz w:val="20"/>
              </w:rPr>
              <w:t>0.00</w:t>
            </w:r>
          </w:p>
        </w:tc>
      </w:tr>
      <w:tr>
        <w:trPr>
          <w:trHeight w:val="415" w:hRule="exact"/>
        </w:trPr>
        <w:tc>
          <w:tcPr>
            <w:tcW w:w="4873" w:type="dxa"/>
            <w:gridSpan w:val="2"/>
            <w:tcBorders>
              <w:top w:val="nil"/>
              <w:left w:val="nil"/>
              <w:bottom w:val="nil"/>
              <w:right w:val="nil"/>
            </w:tcBorders>
          </w:tcPr>
          <w:p>
            <w:pPr>
              <w:pStyle w:val="TableParagraph"/>
              <w:spacing w:line="187" w:lineRule="exact" w:before="47"/>
              <w:ind w:left="427"/>
              <w:rPr>
                <w:rFonts w:ascii="Cambria"/>
                <w:sz w:val="20"/>
              </w:rPr>
            </w:pPr>
            <w:r>
              <w:rPr>
                <w:rFonts w:ascii="Cambria"/>
                <w:sz w:val="20"/>
              </w:rPr>
              <w:t>22.  Lignoceric acid</w:t>
            </w:r>
          </w:p>
          <w:p>
            <w:pPr>
              <w:pStyle w:val="TableParagraph"/>
              <w:spacing w:line="187" w:lineRule="exact"/>
              <w:ind w:right="648"/>
              <w:jc w:val="right"/>
              <w:rPr>
                <w:rFonts w:ascii="Cambria"/>
                <w:sz w:val="20"/>
              </w:rPr>
            </w:pPr>
            <w:r>
              <w:rPr>
                <w:rFonts w:ascii="Cambria"/>
                <w:sz w:val="20"/>
              </w:rPr>
              <w:t>C24:0</w:t>
            </w:r>
          </w:p>
        </w:tc>
        <w:tc>
          <w:tcPr>
            <w:tcW w:w="1061" w:type="dxa"/>
            <w:tcBorders>
              <w:top w:val="nil"/>
              <w:left w:val="nil"/>
              <w:bottom w:val="nil"/>
              <w:right w:val="nil"/>
            </w:tcBorders>
          </w:tcPr>
          <w:p>
            <w:pPr>
              <w:pStyle w:val="TableParagraph"/>
              <w:spacing w:before="11"/>
              <w:rPr>
                <w:rFonts w:ascii="Cambria"/>
                <w:b/>
                <w:sz w:val="15"/>
              </w:rPr>
            </w:pPr>
          </w:p>
          <w:p>
            <w:pPr>
              <w:pStyle w:val="TableParagraph"/>
              <w:ind w:left="274" w:right="256"/>
              <w:jc w:val="center"/>
              <w:rPr>
                <w:rFonts w:ascii="Cambria"/>
                <w:sz w:val="20"/>
              </w:rPr>
            </w:pPr>
            <w:r>
              <w:rPr>
                <w:rFonts w:ascii="Cambria"/>
                <w:sz w:val="20"/>
              </w:rPr>
              <w:t>0.12</w:t>
            </w:r>
          </w:p>
        </w:tc>
        <w:tc>
          <w:tcPr>
            <w:tcW w:w="980" w:type="dxa"/>
            <w:tcBorders>
              <w:top w:val="nil"/>
              <w:left w:val="nil"/>
              <w:bottom w:val="nil"/>
              <w:right w:val="nil"/>
            </w:tcBorders>
          </w:tcPr>
          <w:p>
            <w:pPr>
              <w:pStyle w:val="TableParagraph"/>
              <w:spacing w:before="11"/>
              <w:rPr>
                <w:rFonts w:ascii="Cambria"/>
                <w:b/>
                <w:sz w:val="15"/>
              </w:rPr>
            </w:pPr>
          </w:p>
          <w:p>
            <w:pPr>
              <w:pStyle w:val="TableParagraph"/>
              <w:ind w:left="256" w:right="194"/>
              <w:jc w:val="center"/>
              <w:rPr>
                <w:rFonts w:ascii="Cambria"/>
                <w:sz w:val="20"/>
              </w:rPr>
            </w:pPr>
            <w:r>
              <w:rPr>
                <w:rFonts w:ascii="Cambria"/>
                <w:sz w:val="20"/>
              </w:rPr>
              <w:t>0.14</w:t>
            </w:r>
          </w:p>
        </w:tc>
        <w:tc>
          <w:tcPr>
            <w:tcW w:w="951" w:type="dxa"/>
            <w:tcBorders>
              <w:top w:val="nil"/>
              <w:left w:val="nil"/>
              <w:bottom w:val="nil"/>
              <w:right w:val="nil"/>
            </w:tcBorders>
          </w:tcPr>
          <w:p>
            <w:pPr>
              <w:pStyle w:val="TableParagraph"/>
              <w:spacing w:before="11"/>
              <w:rPr>
                <w:rFonts w:ascii="Cambria"/>
                <w:b/>
                <w:sz w:val="15"/>
              </w:rPr>
            </w:pPr>
          </w:p>
          <w:p>
            <w:pPr>
              <w:pStyle w:val="TableParagraph"/>
              <w:ind w:right="297"/>
              <w:jc w:val="right"/>
              <w:rPr>
                <w:rFonts w:ascii="Cambria"/>
                <w:sz w:val="20"/>
              </w:rPr>
            </w:pPr>
            <w:r>
              <w:rPr>
                <w:rFonts w:ascii="Cambria"/>
                <w:sz w:val="20"/>
              </w:rPr>
              <w:t>0.13</w:t>
            </w:r>
          </w:p>
        </w:tc>
        <w:tc>
          <w:tcPr>
            <w:tcW w:w="929" w:type="dxa"/>
            <w:tcBorders>
              <w:top w:val="nil"/>
              <w:left w:val="nil"/>
              <w:bottom w:val="nil"/>
              <w:right w:val="nil"/>
            </w:tcBorders>
          </w:tcPr>
          <w:p>
            <w:pPr>
              <w:pStyle w:val="TableParagraph"/>
              <w:spacing w:before="11"/>
              <w:rPr>
                <w:rFonts w:ascii="Cambria"/>
                <w:b/>
                <w:sz w:val="15"/>
              </w:rPr>
            </w:pPr>
          </w:p>
          <w:p>
            <w:pPr>
              <w:pStyle w:val="TableParagraph"/>
              <w:ind w:left="246"/>
              <w:rPr>
                <w:rFonts w:ascii="Cambria"/>
                <w:sz w:val="20"/>
              </w:rPr>
            </w:pPr>
            <w:r>
              <w:rPr>
                <w:rFonts w:ascii="Cambria"/>
                <w:sz w:val="20"/>
              </w:rPr>
              <w:t>0.00</w:t>
            </w:r>
          </w:p>
        </w:tc>
      </w:tr>
      <w:tr>
        <w:trPr>
          <w:trHeight w:val="552" w:hRule="exact"/>
        </w:trPr>
        <w:tc>
          <w:tcPr>
            <w:tcW w:w="4873" w:type="dxa"/>
            <w:gridSpan w:val="2"/>
            <w:tcBorders>
              <w:top w:val="nil"/>
              <w:left w:val="nil"/>
              <w:bottom w:val="nil"/>
              <w:right w:val="nil"/>
            </w:tcBorders>
          </w:tcPr>
          <w:p>
            <w:pPr>
              <w:pStyle w:val="TableParagraph"/>
              <w:spacing w:before="8"/>
              <w:rPr>
                <w:rFonts w:ascii="Cambria"/>
                <w:b/>
                <w:sz w:val="22"/>
              </w:rPr>
            </w:pPr>
          </w:p>
          <w:p>
            <w:pPr>
              <w:pStyle w:val="TableParagraph"/>
              <w:ind w:left="427"/>
              <w:rPr>
                <w:rFonts w:ascii="Cambria"/>
                <w:sz w:val="20"/>
              </w:rPr>
            </w:pPr>
            <w:r>
              <w:rPr>
                <w:rFonts w:ascii="Cambria"/>
                <w:sz w:val="20"/>
              </w:rPr>
              <w:t>23. </w:t>
            </w:r>
            <w:r>
              <w:rPr>
                <w:rFonts w:ascii="Cambria"/>
                <w:i/>
                <w:sz w:val="20"/>
              </w:rPr>
              <w:t>cis</w:t>
            </w:r>
            <w:r>
              <w:rPr>
                <w:rFonts w:ascii="Cambria"/>
                <w:sz w:val="20"/>
              </w:rPr>
              <w:t>-5,8,11,14,17-</w:t>
            </w:r>
          </w:p>
        </w:tc>
        <w:tc>
          <w:tcPr>
            <w:tcW w:w="1061" w:type="dxa"/>
            <w:tcBorders>
              <w:top w:val="nil"/>
              <w:left w:val="nil"/>
              <w:bottom w:val="nil"/>
              <w:right w:val="nil"/>
            </w:tcBorders>
          </w:tcPr>
          <w:p>
            <w:pPr/>
          </w:p>
        </w:tc>
        <w:tc>
          <w:tcPr>
            <w:tcW w:w="980" w:type="dxa"/>
            <w:tcBorders>
              <w:top w:val="nil"/>
              <w:left w:val="nil"/>
              <w:bottom w:val="nil"/>
              <w:right w:val="nil"/>
            </w:tcBorders>
          </w:tcPr>
          <w:p>
            <w:pPr/>
          </w:p>
        </w:tc>
        <w:tc>
          <w:tcPr>
            <w:tcW w:w="951" w:type="dxa"/>
            <w:tcBorders>
              <w:top w:val="nil"/>
              <w:left w:val="nil"/>
              <w:bottom w:val="nil"/>
              <w:right w:val="nil"/>
            </w:tcBorders>
          </w:tcPr>
          <w:p>
            <w:pPr/>
          </w:p>
        </w:tc>
        <w:tc>
          <w:tcPr>
            <w:tcW w:w="929" w:type="dxa"/>
            <w:tcBorders>
              <w:top w:val="nil"/>
              <w:left w:val="nil"/>
              <w:bottom w:val="nil"/>
              <w:right w:val="nil"/>
            </w:tcBorders>
          </w:tcPr>
          <w:p>
            <w:pPr/>
          </w:p>
        </w:tc>
      </w:tr>
      <w:tr>
        <w:trPr>
          <w:trHeight w:val="393" w:hRule="exact"/>
        </w:trPr>
        <w:tc>
          <w:tcPr>
            <w:tcW w:w="3023" w:type="dxa"/>
            <w:tcBorders>
              <w:top w:val="nil"/>
              <w:left w:val="nil"/>
              <w:bottom w:val="nil"/>
              <w:right w:val="nil"/>
            </w:tcBorders>
          </w:tcPr>
          <w:p>
            <w:pPr>
              <w:pStyle w:val="TableParagraph"/>
              <w:spacing w:before="64"/>
              <w:ind w:left="427"/>
              <w:rPr>
                <w:rFonts w:ascii="Cambria"/>
                <w:sz w:val="20"/>
              </w:rPr>
            </w:pPr>
            <w:r>
              <w:rPr>
                <w:rFonts w:ascii="Cambria"/>
                <w:sz w:val="20"/>
              </w:rPr>
              <w:t>Eicosapentaenoic acid</w:t>
            </w:r>
          </w:p>
        </w:tc>
        <w:tc>
          <w:tcPr>
            <w:tcW w:w="1850" w:type="dxa"/>
            <w:tcBorders>
              <w:top w:val="nil"/>
              <w:left w:val="nil"/>
              <w:bottom w:val="nil"/>
              <w:right w:val="nil"/>
            </w:tcBorders>
          </w:tcPr>
          <w:p>
            <w:pPr>
              <w:pStyle w:val="TableParagraph"/>
              <w:spacing w:before="31"/>
              <w:ind w:left="698"/>
              <w:rPr>
                <w:rFonts w:ascii="Cambria"/>
                <w:sz w:val="20"/>
              </w:rPr>
            </w:pPr>
            <w:r>
              <w:rPr>
                <w:rFonts w:ascii="Cambria"/>
                <w:sz w:val="20"/>
              </w:rPr>
              <w:t>C20:5 n3</w:t>
            </w:r>
          </w:p>
        </w:tc>
        <w:tc>
          <w:tcPr>
            <w:tcW w:w="1061" w:type="dxa"/>
            <w:tcBorders>
              <w:top w:val="nil"/>
              <w:left w:val="nil"/>
              <w:bottom w:val="nil"/>
              <w:right w:val="nil"/>
            </w:tcBorders>
          </w:tcPr>
          <w:p>
            <w:pPr>
              <w:pStyle w:val="TableParagraph"/>
              <w:spacing w:before="31"/>
              <w:ind w:left="274" w:right="256"/>
              <w:jc w:val="center"/>
              <w:rPr>
                <w:rFonts w:ascii="Cambria"/>
                <w:sz w:val="20"/>
              </w:rPr>
            </w:pPr>
            <w:r>
              <w:rPr>
                <w:rFonts w:ascii="Cambria"/>
                <w:sz w:val="20"/>
              </w:rPr>
              <w:t>0.00</w:t>
            </w:r>
          </w:p>
        </w:tc>
        <w:tc>
          <w:tcPr>
            <w:tcW w:w="980" w:type="dxa"/>
            <w:tcBorders>
              <w:top w:val="nil"/>
              <w:left w:val="nil"/>
              <w:bottom w:val="nil"/>
              <w:right w:val="nil"/>
            </w:tcBorders>
          </w:tcPr>
          <w:p>
            <w:pPr>
              <w:pStyle w:val="TableParagraph"/>
              <w:spacing w:before="31"/>
              <w:ind w:left="256" w:right="194"/>
              <w:jc w:val="center"/>
              <w:rPr>
                <w:rFonts w:ascii="Cambria"/>
                <w:sz w:val="20"/>
              </w:rPr>
            </w:pPr>
            <w:r>
              <w:rPr>
                <w:rFonts w:ascii="Cambria"/>
                <w:sz w:val="20"/>
              </w:rPr>
              <w:t>0.00</w:t>
            </w:r>
          </w:p>
        </w:tc>
        <w:tc>
          <w:tcPr>
            <w:tcW w:w="951" w:type="dxa"/>
            <w:tcBorders>
              <w:top w:val="nil"/>
              <w:left w:val="nil"/>
              <w:bottom w:val="nil"/>
              <w:right w:val="nil"/>
            </w:tcBorders>
          </w:tcPr>
          <w:p>
            <w:pPr>
              <w:pStyle w:val="TableParagraph"/>
              <w:spacing w:before="31"/>
              <w:ind w:right="297"/>
              <w:jc w:val="right"/>
              <w:rPr>
                <w:rFonts w:ascii="Cambria"/>
                <w:sz w:val="20"/>
              </w:rPr>
            </w:pPr>
            <w:r>
              <w:rPr>
                <w:rFonts w:ascii="Cambria"/>
                <w:sz w:val="20"/>
              </w:rPr>
              <w:t>1.21</w:t>
            </w:r>
          </w:p>
        </w:tc>
        <w:tc>
          <w:tcPr>
            <w:tcW w:w="929" w:type="dxa"/>
            <w:tcBorders>
              <w:top w:val="nil"/>
              <w:left w:val="nil"/>
              <w:bottom w:val="nil"/>
              <w:right w:val="nil"/>
            </w:tcBorders>
          </w:tcPr>
          <w:p>
            <w:pPr>
              <w:pStyle w:val="TableParagraph"/>
              <w:spacing w:before="31"/>
              <w:ind w:left="246"/>
              <w:rPr>
                <w:rFonts w:ascii="Cambria"/>
                <w:sz w:val="20"/>
              </w:rPr>
            </w:pPr>
            <w:r>
              <w:rPr>
                <w:rFonts w:ascii="Cambria"/>
                <w:sz w:val="20"/>
              </w:rPr>
              <w:t>0.00</w:t>
            </w:r>
          </w:p>
        </w:tc>
      </w:tr>
    </w:tbl>
    <w:p>
      <w:pPr>
        <w:pStyle w:val="BodyText"/>
        <w:spacing w:before="9"/>
        <w:rPr>
          <w:b/>
          <w:sz w:val="19"/>
        </w:rPr>
      </w:pPr>
    </w:p>
    <w:p>
      <w:pPr>
        <w:spacing w:after="0"/>
        <w:rPr>
          <w:sz w:val="19"/>
        </w:rPr>
        <w:sectPr>
          <w:pgSz w:w="12240" w:h="15840"/>
          <w:pgMar w:header="684" w:footer="1164" w:top="1380" w:bottom="1380" w:left="1440" w:right="1460"/>
        </w:sectPr>
      </w:pPr>
    </w:p>
    <w:p>
      <w:pPr>
        <w:spacing w:before="73"/>
        <w:ind w:left="687" w:right="-14" w:firstLine="0"/>
        <w:jc w:val="left"/>
        <w:rPr>
          <w:sz w:val="20"/>
        </w:rPr>
      </w:pPr>
      <w:r>
        <w:rPr>
          <w:sz w:val="20"/>
        </w:rPr>
        <w:t>24.  Nervonic acid</w:t>
      </w:r>
    </w:p>
    <w:p>
      <w:pPr>
        <w:pStyle w:val="BodyText"/>
        <w:spacing w:before="1"/>
        <w:rPr>
          <w:sz w:val="18"/>
        </w:rPr>
      </w:pPr>
      <w:r>
        <w:rPr/>
        <w:br w:type="column"/>
      </w:r>
      <w:r>
        <w:rPr>
          <w:sz w:val="18"/>
        </w:rPr>
      </w:r>
    </w:p>
    <w:p>
      <w:pPr>
        <w:tabs>
          <w:tab w:pos="2190" w:val="left" w:leader="none"/>
          <w:tab w:pos="3232" w:val="left" w:leader="none"/>
          <w:tab w:pos="4154" w:val="left" w:leader="none"/>
          <w:tab w:pos="5075" w:val="left" w:leader="none"/>
        </w:tabs>
        <w:spacing w:before="0"/>
        <w:ind w:left="687" w:right="0" w:firstLine="0"/>
        <w:jc w:val="left"/>
        <w:rPr>
          <w:sz w:val="20"/>
        </w:rPr>
      </w:pPr>
      <w:r>
        <w:rPr>
          <w:sz w:val="20"/>
        </w:rPr>
        <w:t>C24:1</w:t>
        <w:tab/>
        <w:t>0.00</w:t>
        <w:tab/>
        <w:t>0.00</w:t>
        <w:tab/>
        <w:t>0.33</w:t>
        <w:tab/>
        <w:t>0.00</w:t>
      </w:r>
    </w:p>
    <w:p>
      <w:pPr>
        <w:spacing w:after="0"/>
        <w:jc w:val="left"/>
        <w:rPr>
          <w:sz w:val="20"/>
        </w:rPr>
        <w:sectPr>
          <w:type w:val="continuous"/>
          <w:pgSz w:w="12240" w:h="15840"/>
          <w:pgMar w:top="3080" w:bottom="2780" w:left="1440" w:right="1460"/>
          <w:cols w:num="2" w:equalWidth="0">
            <w:col w:w="2219" w:space="1075"/>
            <w:col w:w="6046"/>
          </w:cols>
        </w:sectPr>
      </w:pPr>
    </w:p>
    <w:p>
      <w:pPr>
        <w:pStyle w:val="BodyText"/>
        <w:spacing w:before="6"/>
        <w:rPr>
          <w:sz w:val="21"/>
        </w:rPr>
      </w:pPr>
    </w:p>
    <w:p>
      <w:pPr>
        <w:pStyle w:val="BodyText"/>
        <w:spacing w:line="30" w:lineRule="exact"/>
        <w:ind w:left="230"/>
        <w:rPr>
          <w:sz w:val="3"/>
        </w:rPr>
      </w:pPr>
      <w:r>
        <w:rPr>
          <w:position w:val="0"/>
          <w:sz w:val="3"/>
        </w:rPr>
        <w:pict>
          <v:group style="width:441.85pt;height:1.5pt;mso-position-horizontal-relative:char;mso-position-vertical-relative:line" coordorigin="0,0" coordsize="8837,30">
            <v:line style="position:absolute" from="15,15" to="3679,15" stroked="true" strokeweight="1.464pt" strokecolor="#000000"/>
            <v:line style="position:absolute" from="3665,15" to="3694,15" stroked="true" strokeweight="1.464pt" strokecolor="#000000"/>
            <v:line style="position:absolute" from="3694,15" to="4899,15" stroked="true" strokeweight="1.464pt" strokecolor="#000000"/>
            <v:line style="position:absolute" from="4885,15" to="4913,15" stroked="true" strokeweight="1.464pt" strokecolor="#000000"/>
            <v:line style="position:absolute" from="4913,15" to="5984,15" stroked="true" strokeweight="1.464pt" strokecolor="#000000"/>
            <v:line style="position:absolute" from="5969,15" to="5999,15" stroked="true" strokeweight="1.464pt" strokecolor="#000000"/>
            <v:line style="position:absolute" from="5999,15" to="6978,15" stroked="true" strokeweight="1.464pt" strokecolor="#000000"/>
            <v:line style="position:absolute" from="6964,15" to="6992,15" stroked="true" strokeweight="1.464pt" strokecolor="#000000"/>
            <v:line style="position:absolute" from="6992,15" to="7828,15" stroked="true" strokeweight="1.464pt" strokecolor="#000000"/>
            <v:line style="position:absolute" from="7814,15" to="7842,15" stroked="true" strokeweight="1.464pt" strokecolor="#000000"/>
            <v:line style="position:absolute" from="7842,15" to="8822,15" stroked="true" strokeweight="1.464pt" strokecolor="#000000"/>
          </v:group>
        </w:pict>
      </w:r>
      <w:r>
        <w:rPr>
          <w:position w:val="0"/>
          <w:sz w:val="3"/>
        </w:rPr>
      </w:r>
    </w:p>
    <w:p>
      <w:pPr>
        <w:pStyle w:val="BodyText"/>
        <w:spacing w:before="2"/>
        <w:rPr>
          <w:sz w:val="18"/>
        </w:rPr>
      </w:pPr>
    </w:p>
    <w:p>
      <w:pPr>
        <w:pStyle w:val="Heading4"/>
        <w:spacing w:before="67"/>
        <w:ind w:left="259" w:firstLine="0"/>
        <w:jc w:val="left"/>
        <w:rPr>
          <w:b w:val="0"/>
          <w:i/>
        </w:rPr>
      </w:pPr>
      <w:r>
        <w:rPr>
          <w:i/>
        </w:rPr>
        <w:t>Fermentación in vitro</w:t>
      </w:r>
      <w:r>
        <w:rPr>
          <w:b w:val="0"/>
          <w:i/>
        </w:rPr>
        <w:t>.</w:t>
      </w:r>
    </w:p>
    <w:p>
      <w:pPr>
        <w:pStyle w:val="BodyText"/>
        <w:spacing w:before="9"/>
        <w:rPr>
          <w:i/>
          <w:sz w:val="35"/>
        </w:rPr>
      </w:pPr>
    </w:p>
    <w:p>
      <w:pPr>
        <w:pStyle w:val="BodyText"/>
        <w:spacing w:line="360" w:lineRule="auto"/>
        <w:ind w:left="259" w:right="241" w:firstLine="283"/>
        <w:jc w:val="both"/>
      </w:pPr>
      <w:r>
        <w:rPr/>
        <w:t>La manipulación in vitro fue de acuerdo a la descripción de Tang el al (2008), el fluido de rumen libre de partículas se mezcló con solución tampón </w:t>
      </w:r>
      <w:r>
        <w:rPr>
          <w:spacing w:val="6"/>
        </w:rPr>
        <w:t>de </w:t>
      </w:r>
      <w:r>
        <w:rPr/>
        <w:t>saliva artificial (Menke y Steingass, 1988) en una proporción de 1:. 2 (v / v) a los 39 ºC bajo lavado continuo de CO2 durante 30 minutos. Cada aceite, se mezcla con 0,5 g de sustrato en una proporción de 5%, se incubó con 50 ml de solución tampón rumen a 39 ºC en 3 repeticiones de cada uno por 48 h. Después de 48 h, bacterias y  </w:t>
      </w:r>
      <w:r>
        <w:rPr>
          <w:spacing w:val="51"/>
        </w:rPr>
        <w:t> </w:t>
      </w:r>
      <w:r>
        <w:rPr/>
        <w:t>protozoos fracciones</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5"/>
        <w:jc w:val="both"/>
      </w:pPr>
      <w:r>
        <w:rPr/>
        <w:t>se obtuvieron de cada botella de fermentación para determinar las distribuciones de ácidos grasos en la membrana bacteriana y biología protozoo, mientras tanto el volumen de gas y la concentración de metano se determinaron, además para calcular la cantidad de producción de metano. Fracciones bacterianas y protozoarias se prepararon de acuerdo a la descripción de O-Rashid (2007). Además, 1 ml de sobrenadante, se recogió para la determinación de perfiles de AGV en los medios de comunicación, se mezcla con solución de ácido meta-fosfórico 25% (HPO3) en una proporción de 10: 1 y se almacena en 4 hasta que el</w:t>
      </w:r>
      <w:r>
        <w:rPr>
          <w:spacing w:val="-22"/>
        </w:rPr>
        <w:t> </w:t>
      </w:r>
      <w:r>
        <w:rPr/>
        <w:t>análisis.</w:t>
      </w:r>
    </w:p>
    <w:p>
      <w:pPr>
        <w:pStyle w:val="BodyText"/>
        <w:spacing w:before="9"/>
        <w:rPr>
          <w:sz w:val="23"/>
        </w:rPr>
      </w:pPr>
    </w:p>
    <w:p>
      <w:pPr>
        <w:pStyle w:val="Heading4"/>
        <w:ind w:left="259" w:firstLine="0"/>
        <w:rPr>
          <w:i/>
        </w:rPr>
      </w:pPr>
      <w:r>
        <w:rPr>
          <w:i/>
        </w:rPr>
        <w:t>Análisis químico</w:t>
      </w:r>
    </w:p>
    <w:p>
      <w:pPr>
        <w:pStyle w:val="BodyText"/>
        <w:spacing w:before="4"/>
        <w:rPr>
          <w:b/>
          <w:i/>
          <w:sz w:val="35"/>
        </w:rPr>
      </w:pPr>
    </w:p>
    <w:p>
      <w:pPr>
        <w:pStyle w:val="BodyText"/>
        <w:spacing w:line="360" w:lineRule="auto" w:before="1"/>
        <w:ind w:left="259" w:firstLine="283"/>
      </w:pPr>
      <w:r>
        <w:rPr/>
        <w:t>La concentración de CH4 de las muestras de gas se determina por cromatografía de gases (GC, Agilent Technologies, sistema 6890N Red GC) con la columna de HP-SOLAR</w:t>
      </w:r>
    </w:p>
    <w:p>
      <w:pPr>
        <w:pStyle w:val="BodyText"/>
        <w:spacing w:line="360" w:lineRule="auto"/>
        <w:ind w:left="259" w:right="242"/>
        <w:jc w:val="both"/>
      </w:pPr>
      <w:r>
        <w:rPr/>
        <w:t>/ Q. VFA y perfiles LCFA metilados también se determinaron mediante GC con la columna de DB-FFAP y HP-88 (112-88A7), respectivamente. Perfiles LCFA en la membrana bacteriana y la biología protozoos, se expresaron como valor proporción interna bajo la misma condición, sobre la base de que, se calcularon algunos ingredientes ácidos grasos interesante, los detalles calculative se presentan en la Tabla</w:t>
      </w:r>
      <w:r>
        <w:rPr>
          <w:spacing w:val="-3"/>
        </w:rPr>
        <w:t> </w:t>
      </w:r>
      <w:r>
        <w:rPr/>
        <w:t>2.</w:t>
      </w:r>
    </w:p>
    <w:p>
      <w:pPr>
        <w:pStyle w:val="BodyText"/>
        <w:spacing w:before="9"/>
        <w:rPr>
          <w:sz w:val="23"/>
        </w:rPr>
      </w:pPr>
    </w:p>
    <w:p>
      <w:pPr>
        <w:pStyle w:val="BodyText"/>
        <w:ind w:left="1148"/>
      </w:pPr>
      <w:r>
        <w:rPr>
          <w:b/>
        </w:rPr>
        <w:t>Table 2. </w:t>
      </w:r>
      <w:r>
        <w:rPr/>
        <w:t>The calculation details of some biological significance FA items</w:t>
      </w:r>
    </w:p>
    <w:p>
      <w:pPr>
        <w:pStyle w:val="BodyText"/>
        <w:rPr>
          <w:sz w:val="20"/>
        </w:rPr>
      </w:pPr>
    </w:p>
    <w:p>
      <w:pPr>
        <w:pStyle w:val="BodyText"/>
        <w:spacing w:before="6"/>
        <w:rPr>
          <w:sz w:val="15"/>
        </w:rPr>
      </w:pPr>
    </w:p>
    <w:tbl>
      <w:tblPr>
        <w:tblW w:w="0" w:type="auto"/>
        <w:jc w:val="left"/>
        <w:tblInd w:w="3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193"/>
        <w:gridCol w:w="5431"/>
      </w:tblGrid>
      <w:tr>
        <w:trPr>
          <w:trHeight w:val="374" w:hRule="exact"/>
        </w:trPr>
        <w:tc>
          <w:tcPr>
            <w:tcW w:w="3193" w:type="dxa"/>
            <w:tcBorders>
              <w:left w:val="nil"/>
              <w:bottom w:val="single" w:sz="4" w:space="0" w:color="000000"/>
              <w:right w:val="single" w:sz="4" w:space="0" w:color="000000"/>
            </w:tcBorders>
          </w:tcPr>
          <w:p>
            <w:pPr>
              <w:pStyle w:val="TableParagraph"/>
              <w:spacing w:before="2"/>
              <w:ind w:left="441"/>
              <w:rPr>
                <w:rFonts w:ascii="Cambria"/>
                <w:b/>
                <w:sz w:val="20"/>
              </w:rPr>
            </w:pPr>
            <w:r>
              <w:rPr>
                <w:rFonts w:ascii="Cambria"/>
                <w:b/>
                <w:sz w:val="20"/>
              </w:rPr>
              <w:t>Items</w:t>
            </w:r>
          </w:p>
        </w:tc>
        <w:tc>
          <w:tcPr>
            <w:tcW w:w="5431" w:type="dxa"/>
            <w:tcBorders>
              <w:left w:val="single" w:sz="4" w:space="0" w:color="000000"/>
              <w:bottom w:val="single" w:sz="4" w:space="0" w:color="000000"/>
              <w:right w:val="nil"/>
            </w:tcBorders>
          </w:tcPr>
          <w:p>
            <w:pPr>
              <w:pStyle w:val="TableParagraph"/>
              <w:spacing w:before="2"/>
              <w:ind w:left="67"/>
              <w:rPr>
                <w:rFonts w:ascii="Cambria"/>
                <w:b/>
                <w:sz w:val="20"/>
              </w:rPr>
            </w:pPr>
            <w:r>
              <w:rPr>
                <w:rFonts w:ascii="Cambria"/>
                <w:b/>
                <w:sz w:val="20"/>
              </w:rPr>
              <w:t>Calculation details or functions</w:t>
            </w:r>
          </w:p>
        </w:tc>
      </w:tr>
      <w:tr>
        <w:trPr>
          <w:trHeight w:val="3251" w:hRule="exact"/>
        </w:trPr>
        <w:tc>
          <w:tcPr>
            <w:tcW w:w="3193" w:type="dxa"/>
            <w:tcBorders>
              <w:top w:val="single" w:sz="4" w:space="0" w:color="000000"/>
              <w:left w:val="nil"/>
              <w:right w:val="single" w:sz="4" w:space="0" w:color="000000"/>
            </w:tcBorders>
          </w:tcPr>
          <w:p>
            <w:pPr>
              <w:pStyle w:val="TableParagraph"/>
              <w:numPr>
                <w:ilvl w:val="0"/>
                <w:numId w:val="11"/>
              </w:numPr>
              <w:tabs>
                <w:tab w:pos="793" w:val="left" w:leader="none"/>
              </w:tabs>
              <w:spacing w:line="240" w:lineRule="auto" w:before="2" w:after="0"/>
              <w:ind w:left="441" w:right="0" w:firstLine="0"/>
              <w:jc w:val="left"/>
              <w:rPr>
                <w:rFonts w:ascii="Cambria"/>
                <w:sz w:val="20"/>
              </w:rPr>
            </w:pPr>
            <w:r>
              <w:rPr>
                <w:rFonts w:ascii="Cambria"/>
                <w:sz w:val="20"/>
              </w:rPr>
              <w:t>Saturated fatty</w:t>
            </w:r>
            <w:r>
              <w:rPr>
                <w:rFonts w:ascii="Cambria"/>
                <w:spacing w:val="-6"/>
                <w:sz w:val="20"/>
              </w:rPr>
              <w:t> </w:t>
            </w:r>
            <w:r>
              <w:rPr>
                <w:rFonts w:ascii="Cambria"/>
                <w:sz w:val="20"/>
              </w:rPr>
              <w:t>acids</w:t>
            </w:r>
          </w:p>
          <w:p>
            <w:pPr>
              <w:pStyle w:val="TableParagraph"/>
              <w:rPr>
                <w:rFonts w:ascii="Cambria"/>
                <w:sz w:val="20"/>
              </w:rPr>
            </w:pPr>
          </w:p>
          <w:p>
            <w:pPr>
              <w:pStyle w:val="TableParagraph"/>
              <w:numPr>
                <w:ilvl w:val="0"/>
                <w:numId w:val="11"/>
              </w:numPr>
              <w:tabs>
                <w:tab w:pos="793" w:val="left" w:leader="none"/>
              </w:tabs>
              <w:spacing w:line="240" w:lineRule="auto" w:before="160" w:after="0"/>
              <w:ind w:left="792" w:right="0" w:hanging="351"/>
              <w:jc w:val="left"/>
              <w:rPr>
                <w:rFonts w:ascii="Cambria" w:hAnsi="Cambria"/>
                <w:sz w:val="20"/>
              </w:rPr>
            </w:pPr>
            <w:r>
              <w:rPr>
                <w:rFonts w:ascii="Cambria" w:hAnsi="Cambria"/>
                <w:sz w:val="20"/>
              </w:rPr>
              <w:t>Long chain fatty acids ≥</w:t>
            </w:r>
            <w:r>
              <w:rPr>
                <w:rFonts w:ascii="Cambria" w:hAnsi="Cambria"/>
                <w:spacing w:val="-5"/>
                <w:sz w:val="20"/>
              </w:rPr>
              <w:t> </w:t>
            </w:r>
            <w:r>
              <w:rPr>
                <w:rFonts w:ascii="Cambria" w:hAnsi="Cambria"/>
                <w:sz w:val="20"/>
              </w:rPr>
              <w:t>18</w:t>
            </w:r>
          </w:p>
          <w:p>
            <w:pPr>
              <w:pStyle w:val="TableParagraph"/>
              <w:spacing w:before="120"/>
              <w:ind w:left="441"/>
              <w:rPr>
                <w:rFonts w:ascii="Cambria"/>
                <w:sz w:val="20"/>
              </w:rPr>
            </w:pPr>
            <w:r>
              <w:rPr>
                <w:rFonts w:ascii="Cambria"/>
                <w:sz w:val="20"/>
              </w:rPr>
              <w:t>C, %</w:t>
            </w:r>
          </w:p>
          <w:p>
            <w:pPr>
              <w:pStyle w:val="TableParagraph"/>
              <w:rPr>
                <w:rFonts w:ascii="Cambria"/>
                <w:sz w:val="20"/>
              </w:rPr>
            </w:pPr>
          </w:p>
          <w:p>
            <w:pPr>
              <w:pStyle w:val="TableParagraph"/>
              <w:numPr>
                <w:ilvl w:val="0"/>
                <w:numId w:val="11"/>
              </w:numPr>
              <w:tabs>
                <w:tab w:pos="793" w:val="left" w:leader="none"/>
              </w:tabs>
              <w:spacing w:line="362" w:lineRule="auto" w:before="160" w:after="0"/>
              <w:ind w:left="441" w:right="358" w:firstLine="0"/>
              <w:jc w:val="left"/>
              <w:rPr>
                <w:rFonts w:ascii="Cambria"/>
                <w:sz w:val="20"/>
              </w:rPr>
            </w:pPr>
            <w:r>
              <w:rPr>
                <w:rFonts w:ascii="Cambria"/>
                <w:sz w:val="20"/>
              </w:rPr>
              <w:t>18 carbons unsaturated fatty acids,</w:t>
            </w:r>
            <w:r>
              <w:rPr>
                <w:rFonts w:ascii="Cambria"/>
                <w:spacing w:val="-2"/>
                <w:sz w:val="20"/>
              </w:rPr>
              <w:t> </w:t>
            </w:r>
            <w:r>
              <w:rPr>
                <w:rFonts w:ascii="Cambria"/>
                <w:sz w:val="20"/>
              </w:rPr>
              <w:t>%</w:t>
            </w:r>
          </w:p>
          <w:p>
            <w:pPr>
              <w:pStyle w:val="TableParagraph"/>
              <w:spacing w:before="5"/>
              <w:rPr>
                <w:rFonts w:ascii="Cambria"/>
                <w:sz w:val="23"/>
              </w:rPr>
            </w:pPr>
          </w:p>
          <w:p>
            <w:pPr>
              <w:pStyle w:val="TableParagraph"/>
              <w:numPr>
                <w:ilvl w:val="0"/>
                <w:numId w:val="11"/>
              </w:numPr>
              <w:tabs>
                <w:tab w:pos="793" w:val="left" w:leader="none"/>
              </w:tabs>
              <w:spacing w:line="240" w:lineRule="auto" w:before="0" w:after="0"/>
              <w:ind w:left="792" w:right="0" w:hanging="351"/>
              <w:jc w:val="left"/>
              <w:rPr>
                <w:rFonts w:ascii="Cambria"/>
                <w:sz w:val="20"/>
              </w:rPr>
            </w:pPr>
            <w:r>
              <w:rPr>
                <w:rFonts w:ascii="Cambria"/>
                <w:i/>
                <w:sz w:val="20"/>
              </w:rPr>
              <w:t>cis</w:t>
            </w:r>
            <w:r>
              <w:rPr>
                <w:rFonts w:ascii="Cambria"/>
                <w:sz w:val="20"/>
              </w:rPr>
              <w:t>-fatty acids,</w:t>
            </w:r>
            <w:r>
              <w:rPr>
                <w:rFonts w:ascii="Cambria"/>
                <w:spacing w:val="-4"/>
                <w:sz w:val="20"/>
              </w:rPr>
              <w:t> </w:t>
            </w:r>
            <w:r>
              <w:rPr>
                <w:rFonts w:ascii="Cambria"/>
                <w:sz w:val="20"/>
              </w:rPr>
              <w:t>%</w:t>
            </w:r>
          </w:p>
        </w:tc>
        <w:tc>
          <w:tcPr>
            <w:tcW w:w="5431" w:type="dxa"/>
            <w:tcBorders>
              <w:top w:val="single" w:sz="4" w:space="0" w:color="000000"/>
              <w:left w:val="single" w:sz="4" w:space="0" w:color="000000"/>
              <w:right w:val="nil"/>
            </w:tcBorders>
          </w:tcPr>
          <w:p>
            <w:pPr>
              <w:pStyle w:val="TableParagraph"/>
              <w:spacing w:before="141"/>
              <w:ind w:left="67"/>
              <w:rPr>
                <w:rFonts w:ascii="Cambria"/>
                <w:sz w:val="20"/>
              </w:rPr>
            </w:pPr>
            <w:r>
              <w:rPr>
                <w:rFonts w:ascii="Cambria"/>
                <w:sz w:val="20"/>
              </w:rPr>
              <w:t>= </w:t>
            </w:r>
            <w:r>
              <w:rPr>
                <w:rFonts w:ascii="Cambria"/>
                <w:i/>
                <w:sz w:val="20"/>
              </w:rPr>
              <w:t>sum </w:t>
            </w:r>
            <w:r>
              <w:rPr>
                <w:rFonts w:ascii="Cambria"/>
                <w:sz w:val="20"/>
              </w:rPr>
              <w:t>(C12:0, C14:0, C15:0, C16:0, C17:0, C18:0 and C20:0)</w:t>
            </w:r>
          </w:p>
          <w:p>
            <w:pPr>
              <w:pStyle w:val="TableParagraph"/>
              <w:rPr>
                <w:rFonts w:ascii="Cambria"/>
                <w:sz w:val="20"/>
              </w:rPr>
            </w:pPr>
          </w:p>
          <w:p>
            <w:pPr>
              <w:pStyle w:val="TableParagraph"/>
              <w:spacing w:line="357" w:lineRule="auto" w:before="164"/>
              <w:ind w:left="67" w:right="712"/>
              <w:rPr>
                <w:rFonts w:ascii="Cambria"/>
                <w:sz w:val="20"/>
              </w:rPr>
            </w:pPr>
            <w:r>
              <w:rPr>
                <w:rFonts w:ascii="Cambria"/>
                <w:sz w:val="20"/>
              </w:rPr>
              <w:t>All fatty acids composited with equal or larger than 18 carbons</w:t>
            </w:r>
          </w:p>
          <w:p>
            <w:pPr>
              <w:pStyle w:val="TableParagraph"/>
              <w:spacing w:before="10"/>
              <w:rPr>
                <w:rFonts w:ascii="Cambria"/>
                <w:sz w:val="23"/>
              </w:rPr>
            </w:pPr>
          </w:p>
          <w:p>
            <w:pPr>
              <w:pStyle w:val="TableParagraph"/>
              <w:ind w:left="67"/>
              <w:rPr>
                <w:rFonts w:ascii="Cambria"/>
                <w:sz w:val="20"/>
              </w:rPr>
            </w:pPr>
            <w:r>
              <w:rPr>
                <w:rFonts w:ascii="Cambria"/>
                <w:sz w:val="20"/>
              </w:rPr>
              <w:t>= </w:t>
            </w:r>
            <w:r>
              <w:rPr>
                <w:rFonts w:ascii="Cambria"/>
                <w:i/>
                <w:sz w:val="20"/>
              </w:rPr>
              <w:t>sum </w:t>
            </w:r>
            <w:r>
              <w:rPr>
                <w:rFonts w:ascii="Cambria"/>
                <w:sz w:val="20"/>
              </w:rPr>
              <w:t>(C18:1 n9t, C18:1 n9c, C18:2 n6t, C18:2 n6c, and C18:3</w:t>
            </w:r>
          </w:p>
          <w:p>
            <w:pPr>
              <w:pStyle w:val="TableParagraph"/>
              <w:spacing w:before="120"/>
              <w:ind w:left="67"/>
              <w:rPr>
                <w:rFonts w:ascii="Cambria"/>
                <w:sz w:val="20"/>
              </w:rPr>
            </w:pPr>
            <w:r>
              <w:rPr>
                <w:rFonts w:ascii="Cambria"/>
                <w:sz w:val="20"/>
              </w:rPr>
              <w:t>n6)</w:t>
            </w:r>
          </w:p>
          <w:p>
            <w:pPr>
              <w:pStyle w:val="TableParagraph"/>
              <w:rPr>
                <w:rFonts w:ascii="Cambria"/>
                <w:sz w:val="20"/>
              </w:rPr>
            </w:pPr>
          </w:p>
          <w:p>
            <w:pPr>
              <w:pStyle w:val="TableParagraph"/>
              <w:spacing w:before="160"/>
              <w:ind w:left="67"/>
              <w:rPr>
                <w:rFonts w:ascii="Cambria"/>
                <w:sz w:val="20"/>
              </w:rPr>
            </w:pPr>
            <w:r>
              <w:rPr>
                <w:rFonts w:ascii="Cambria"/>
                <w:i/>
                <w:sz w:val="20"/>
              </w:rPr>
              <w:t>= sum </w:t>
            </w:r>
            <w:r>
              <w:rPr>
                <w:rFonts w:ascii="Cambria"/>
                <w:sz w:val="20"/>
              </w:rPr>
              <w:t>(C18:1 n9c, C18:2 n6c)</w:t>
            </w:r>
          </w:p>
        </w:tc>
      </w:tr>
    </w:tbl>
    <w:p>
      <w:pPr>
        <w:spacing w:after="0"/>
        <w:rPr>
          <w:rFonts w:ascii="Cambria"/>
          <w:sz w:val="20"/>
        </w:rPr>
        <w:sectPr>
          <w:pgSz w:w="12240" w:h="15840"/>
          <w:pgMar w:header="684" w:footer="1164" w:top="1380" w:bottom="1380" w:left="1440" w:right="1460"/>
        </w:sectPr>
      </w:pPr>
    </w:p>
    <w:p>
      <w:pPr>
        <w:pStyle w:val="BodyText"/>
        <w:spacing w:before="5" w:after="1"/>
        <w:rPr>
          <w:sz w:val="21"/>
        </w:rPr>
      </w:pPr>
    </w:p>
    <w:tbl>
      <w:tblPr>
        <w:tblW w:w="0" w:type="auto"/>
        <w:jc w:val="left"/>
        <w:tblInd w:w="3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193"/>
        <w:gridCol w:w="5431"/>
      </w:tblGrid>
      <w:tr>
        <w:trPr>
          <w:trHeight w:val="533" w:hRule="exact"/>
        </w:trPr>
        <w:tc>
          <w:tcPr>
            <w:tcW w:w="3193" w:type="dxa"/>
            <w:tcBorders>
              <w:left w:val="nil"/>
              <w:bottom w:val="nil"/>
              <w:right w:val="single" w:sz="4" w:space="0" w:color="000000"/>
            </w:tcBorders>
          </w:tcPr>
          <w:p>
            <w:pPr>
              <w:pStyle w:val="TableParagraph"/>
              <w:spacing w:before="2"/>
              <w:ind w:left="441"/>
              <w:rPr>
                <w:rFonts w:ascii="Cambria"/>
                <w:sz w:val="20"/>
              </w:rPr>
            </w:pPr>
            <w:r>
              <w:rPr>
                <w:rFonts w:ascii="Cambria"/>
                <w:i/>
                <w:sz w:val="20"/>
              </w:rPr>
              <w:t>e)    trans</w:t>
            </w:r>
            <w:r>
              <w:rPr>
                <w:rFonts w:ascii="Cambria"/>
                <w:sz w:val="20"/>
              </w:rPr>
              <w:t>-fatty acids, %</w:t>
            </w:r>
          </w:p>
        </w:tc>
        <w:tc>
          <w:tcPr>
            <w:tcW w:w="5431" w:type="dxa"/>
            <w:tcBorders>
              <w:left w:val="single" w:sz="4" w:space="0" w:color="000000"/>
              <w:bottom w:val="nil"/>
              <w:right w:val="nil"/>
            </w:tcBorders>
          </w:tcPr>
          <w:p>
            <w:pPr>
              <w:pStyle w:val="TableParagraph"/>
              <w:spacing w:before="146"/>
              <w:ind w:left="67"/>
              <w:rPr>
                <w:rFonts w:ascii="Cambria"/>
                <w:sz w:val="20"/>
              </w:rPr>
            </w:pPr>
            <w:r>
              <w:rPr>
                <w:rFonts w:ascii="Cambria"/>
                <w:i/>
                <w:sz w:val="20"/>
              </w:rPr>
              <w:t>= sum </w:t>
            </w:r>
            <w:r>
              <w:rPr>
                <w:rFonts w:ascii="Cambria"/>
                <w:sz w:val="20"/>
              </w:rPr>
              <w:t>(C18:1 n9t, C18:2 n6t)</w:t>
            </w:r>
          </w:p>
        </w:tc>
      </w:tr>
      <w:tr>
        <w:trPr>
          <w:trHeight w:val="632" w:hRule="exact"/>
        </w:trPr>
        <w:tc>
          <w:tcPr>
            <w:tcW w:w="3193" w:type="dxa"/>
            <w:tcBorders>
              <w:top w:val="nil"/>
              <w:left w:val="nil"/>
              <w:bottom w:val="nil"/>
              <w:right w:val="single" w:sz="4" w:space="0" w:color="000000"/>
            </w:tcBorders>
          </w:tcPr>
          <w:p>
            <w:pPr>
              <w:pStyle w:val="TableParagraph"/>
              <w:tabs>
                <w:tab w:pos="791" w:val="left" w:leader="none"/>
              </w:tabs>
              <w:spacing w:before="117"/>
              <w:ind w:left="441"/>
              <w:rPr>
                <w:rFonts w:ascii="Cambria"/>
                <w:sz w:val="20"/>
              </w:rPr>
            </w:pPr>
            <w:r>
              <w:rPr>
                <w:rFonts w:ascii="Cambria"/>
                <w:sz w:val="20"/>
              </w:rPr>
              <w:t>f)</w:t>
              <w:tab/>
              <w:t>Ratios</w:t>
            </w:r>
            <w:r>
              <w:rPr>
                <w:rFonts w:ascii="Cambria"/>
                <w:spacing w:val="-8"/>
                <w:sz w:val="20"/>
              </w:rPr>
              <w:t> </w:t>
            </w:r>
            <w:r>
              <w:rPr>
                <w:rFonts w:ascii="Cambria"/>
                <w:sz w:val="20"/>
              </w:rPr>
              <w:t>(</w:t>
            </w:r>
            <w:r>
              <w:rPr>
                <w:rFonts w:ascii="Cambria"/>
                <w:i/>
                <w:sz w:val="20"/>
              </w:rPr>
              <w:t>cis-</w:t>
            </w:r>
            <w:r>
              <w:rPr>
                <w:rFonts w:ascii="Cambria"/>
                <w:sz w:val="20"/>
              </w:rPr>
              <w:t>/</w:t>
            </w:r>
            <w:r>
              <w:rPr>
                <w:rFonts w:ascii="Cambria"/>
                <w:i/>
                <w:sz w:val="20"/>
              </w:rPr>
              <w:t>trans-</w:t>
            </w:r>
            <w:r>
              <w:rPr>
                <w:rFonts w:ascii="Cambria"/>
                <w:sz w:val="20"/>
              </w:rPr>
              <w:t>)</w:t>
            </w:r>
          </w:p>
        </w:tc>
        <w:tc>
          <w:tcPr>
            <w:tcW w:w="5431" w:type="dxa"/>
            <w:tcBorders>
              <w:top w:val="nil"/>
              <w:left w:val="single" w:sz="4" w:space="0" w:color="000000"/>
              <w:bottom w:val="nil"/>
              <w:right w:val="nil"/>
            </w:tcBorders>
          </w:tcPr>
          <w:p>
            <w:pPr>
              <w:pStyle w:val="TableParagraph"/>
              <w:spacing w:before="10"/>
              <w:rPr>
                <w:rFonts w:ascii="Cambria"/>
                <w:sz w:val="21"/>
              </w:rPr>
            </w:pPr>
          </w:p>
          <w:p>
            <w:pPr>
              <w:pStyle w:val="TableParagraph"/>
              <w:ind w:left="67"/>
              <w:rPr>
                <w:rFonts w:ascii="Cambria"/>
                <w:sz w:val="20"/>
              </w:rPr>
            </w:pPr>
            <w:r>
              <w:rPr>
                <w:rFonts w:ascii="Cambria"/>
                <w:sz w:val="20"/>
              </w:rPr>
              <w:t>= </w:t>
            </w:r>
            <w:r>
              <w:rPr>
                <w:rFonts w:ascii="Cambria"/>
                <w:i/>
                <w:sz w:val="20"/>
              </w:rPr>
              <w:t>sum </w:t>
            </w:r>
            <w:r>
              <w:rPr>
                <w:rFonts w:ascii="Cambria"/>
                <w:sz w:val="20"/>
              </w:rPr>
              <w:t>(C18:1 n9c, C18:2 n6c)/</w:t>
            </w:r>
            <w:r>
              <w:rPr>
                <w:rFonts w:ascii="Cambria"/>
                <w:i/>
                <w:sz w:val="20"/>
              </w:rPr>
              <w:t>sum </w:t>
            </w:r>
            <w:r>
              <w:rPr>
                <w:rFonts w:ascii="Cambria"/>
                <w:sz w:val="20"/>
              </w:rPr>
              <w:t>(C18:1 n9t, C18:2 n6t)</w:t>
            </w:r>
          </w:p>
        </w:tc>
      </w:tr>
      <w:tr>
        <w:trPr>
          <w:trHeight w:val="403" w:hRule="exact"/>
        </w:trPr>
        <w:tc>
          <w:tcPr>
            <w:tcW w:w="3193" w:type="dxa"/>
            <w:tcBorders>
              <w:top w:val="nil"/>
              <w:left w:val="nil"/>
              <w:bottom w:val="nil"/>
              <w:right w:val="single" w:sz="4" w:space="0" w:color="000000"/>
            </w:tcBorders>
          </w:tcPr>
          <w:p>
            <w:pPr>
              <w:pStyle w:val="TableParagraph"/>
              <w:spacing w:before="119"/>
              <w:ind w:left="441"/>
              <w:rPr>
                <w:rFonts w:ascii="Cambria"/>
                <w:sz w:val="20"/>
              </w:rPr>
            </w:pPr>
            <w:r>
              <w:rPr>
                <w:rFonts w:ascii="Cambria"/>
                <w:sz w:val="20"/>
              </w:rPr>
              <w:t>g)    Ratios (Stearic acid:</w:t>
            </w:r>
          </w:p>
        </w:tc>
        <w:tc>
          <w:tcPr>
            <w:tcW w:w="5431" w:type="dxa"/>
            <w:tcBorders>
              <w:top w:val="nil"/>
              <w:left w:val="single" w:sz="4" w:space="0" w:color="000000"/>
              <w:bottom w:val="nil"/>
              <w:right w:val="nil"/>
            </w:tcBorders>
          </w:tcPr>
          <w:p>
            <w:pPr/>
          </w:p>
        </w:tc>
      </w:tr>
      <w:tr>
        <w:trPr>
          <w:trHeight w:val="511" w:hRule="exact"/>
        </w:trPr>
        <w:tc>
          <w:tcPr>
            <w:tcW w:w="3193" w:type="dxa"/>
            <w:tcBorders>
              <w:top w:val="nil"/>
              <w:left w:val="nil"/>
              <w:bottom w:val="nil"/>
              <w:right w:val="single" w:sz="4" w:space="0" w:color="000000"/>
            </w:tcBorders>
          </w:tcPr>
          <w:p>
            <w:pPr>
              <w:pStyle w:val="TableParagraph"/>
              <w:spacing w:before="67"/>
              <w:ind w:left="441"/>
              <w:rPr>
                <w:rFonts w:ascii="Cambria"/>
                <w:sz w:val="20"/>
              </w:rPr>
            </w:pPr>
            <w:r>
              <w:rPr>
                <w:rFonts w:ascii="Cambria"/>
                <w:sz w:val="20"/>
              </w:rPr>
              <w:t>Palmitic acid)</w:t>
            </w:r>
          </w:p>
        </w:tc>
        <w:tc>
          <w:tcPr>
            <w:tcW w:w="5431" w:type="dxa"/>
            <w:tcBorders>
              <w:top w:val="nil"/>
              <w:left w:val="single" w:sz="4" w:space="0" w:color="000000"/>
              <w:bottom w:val="nil"/>
              <w:right w:val="nil"/>
            </w:tcBorders>
          </w:tcPr>
          <w:p>
            <w:pPr>
              <w:pStyle w:val="TableParagraph"/>
              <w:spacing w:before="28"/>
              <w:ind w:left="67"/>
              <w:rPr>
                <w:rFonts w:ascii="Cambria"/>
                <w:sz w:val="20"/>
              </w:rPr>
            </w:pPr>
            <w:r>
              <w:rPr>
                <w:rFonts w:ascii="Cambria"/>
                <w:sz w:val="20"/>
              </w:rPr>
              <w:t>= C18:0/C 16:0</w:t>
            </w:r>
          </w:p>
        </w:tc>
      </w:tr>
      <w:tr>
        <w:trPr>
          <w:trHeight w:val="701" w:hRule="exact"/>
        </w:trPr>
        <w:tc>
          <w:tcPr>
            <w:tcW w:w="3193" w:type="dxa"/>
            <w:tcBorders>
              <w:top w:val="nil"/>
              <w:left w:val="nil"/>
              <w:bottom w:val="nil"/>
              <w:right w:val="single" w:sz="4" w:space="0" w:color="000000"/>
            </w:tcBorders>
          </w:tcPr>
          <w:p>
            <w:pPr>
              <w:pStyle w:val="TableParagraph"/>
              <w:spacing w:before="1"/>
              <w:rPr>
                <w:rFonts w:ascii="Cambria"/>
                <w:sz w:val="16"/>
              </w:rPr>
            </w:pPr>
          </w:p>
          <w:p>
            <w:pPr>
              <w:pStyle w:val="TableParagraph"/>
              <w:ind w:left="441"/>
              <w:rPr>
                <w:rFonts w:ascii="Cambria"/>
                <w:sz w:val="20"/>
              </w:rPr>
            </w:pPr>
            <w:r>
              <w:rPr>
                <w:rFonts w:ascii="Cambria"/>
                <w:sz w:val="20"/>
              </w:rPr>
              <w:t>h)    </w:t>
            </w:r>
            <w:r>
              <w:rPr>
                <w:rFonts w:ascii="Cambria"/>
                <w:i/>
                <w:sz w:val="20"/>
              </w:rPr>
              <w:t>odd</w:t>
            </w:r>
            <w:r>
              <w:rPr>
                <w:rFonts w:ascii="Cambria"/>
                <w:sz w:val="20"/>
              </w:rPr>
              <w:t>-carbon fatty acids, %</w:t>
            </w:r>
          </w:p>
        </w:tc>
        <w:tc>
          <w:tcPr>
            <w:tcW w:w="5431" w:type="dxa"/>
            <w:tcBorders>
              <w:top w:val="nil"/>
              <w:left w:val="single" w:sz="4" w:space="0" w:color="000000"/>
              <w:bottom w:val="nil"/>
              <w:right w:val="nil"/>
            </w:tcBorders>
          </w:tcPr>
          <w:p>
            <w:pPr>
              <w:pStyle w:val="TableParagraph"/>
              <w:rPr>
                <w:rFonts w:ascii="Cambria"/>
                <w:sz w:val="28"/>
              </w:rPr>
            </w:pPr>
          </w:p>
          <w:p>
            <w:pPr>
              <w:pStyle w:val="TableParagraph"/>
              <w:ind w:left="67"/>
              <w:rPr>
                <w:rFonts w:ascii="Cambria"/>
                <w:sz w:val="20"/>
              </w:rPr>
            </w:pPr>
            <w:r>
              <w:rPr>
                <w:rFonts w:ascii="Cambria"/>
                <w:sz w:val="20"/>
              </w:rPr>
              <w:t>= </w:t>
            </w:r>
            <w:r>
              <w:rPr>
                <w:rFonts w:ascii="Cambria"/>
                <w:i/>
                <w:sz w:val="20"/>
              </w:rPr>
              <w:t>sum </w:t>
            </w:r>
            <w:r>
              <w:rPr>
                <w:rFonts w:ascii="Cambria"/>
                <w:sz w:val="20"/>
              </w:rPr>
              <w:t>(C15:0, C15:1, C17:0, C17:1)</w:t>
            </w:r>
          </w:p>
        </w:tc>
      </w:tr>
      <w:tr>
        <w:trPr>
          <w:trHeight w:val="403" w:hRule="exact"/>
        </w:trPr>
        <w:tc>
          <w:tcPr>
            <w:tcW w:w="3193" w:type="dxa"/>
            <w:tcBorders>
              <w:top w:val="nil"/>
              <w:left w:val="nil"/>
              <w:bottom w:val="nil"/>
              <w:right w:val="single" w:sz="4" w:space="0" w:color="000000"/>
            </w:tcBorders>
          </w:tcPr>
          <w:p>
            <w:pPr>
              <w:pStyle w:val="TableParagraph"/>
              <w:tabs>
                <w:tab w:pos="791" w:val="left" w:leader="none"/>
              </w:tabs>
              <w:spacing w:before="117"/>
              <w:ind w:left="441"/>
              <w:rPr>
                <w:rFonts w:ascii="Cambria"/>
                <w:sz w:val="20"/>
              </w:rPr>
            </w:pPr>
            <w:r>
              <w:rPr>
                <w:rFonts w:ascii="Cambria"/>
                <w:sz w:val="20"/>
              </w:rPr>
              <w:t>i)</w:t>
              <w:tab/>
            </w:r>
            <w:r>
              <w:rPr>
                <w:rFonts w:ascii="Cambria"/>
                <w:i/>
                <w:sz w:val="20"/>
              </w:rPr>
              <w:t>even</w:t>
            </w:r>
            <w:r>
              <w:rPr>
                <w:rFonts w:ascii="Cambria"/>
                <w:sz w:val="20"/>
              </w:rPr>
              <w:t>-carbon</w:t>
            </w:r>
            <w:r>
              <w:rPr>
                <w:rFonts w:ascii="Cambria"/>
                <w:spacing w:val="-3"/>
                <w:sz w:val="20"/>
              </w:rPr>
              <w:t> </w:t>
            </w:r>
            <w:r>
              <w:rPr>
                <w:rFonts w:ascii="Cambria"/>
                <w:sz w:val="20"/>
              </w:rPr>
              <w:t>saturated</w:t>
            </w:r>
          </w:p>
        </w:tc>
        <w:tc>
          <w:tcPr>
            <w:tcW w:w="5431" w:type="dxa"/>
            <w:tcBorders>
              <w:top w:val="nil"/>
              <w:left w:val="single" w:sz="4" w:space="0" w:color="000000"/>
              <w:bottom w:val="nil"/>
              <w:right w:val="nil"/>
            </w:tcBorders>
          </w:tcPr>
          <w:p>
            <w:pPr/>
          </w:p>
        </w:tc>
      </w:tr>
      <w:tr>
        <w:trPr>
          <w:trHeight w:val="509" w:hRule="exact"/>
        </w:trPr>
        <w:tc>
          <w:tcPr>
            <w:tcW w:w="3193" w:type="dxa"/>
            <w:tcBorders>
              <w:top w:val="nil"/>
              <w:left w:val="nil"/>
              <w:bottom w:val="nil"/>
              <w:right w:val="single" w:sz="4" w:space="0" w:color="000000"/>
            </w:tcBorders>
          </w:tcPr>
          <w:p>
            <w:pPr>
              <w:pStyle w:val="TableParagraph"/>
              <w:spacing w:before="64"/>
              <w:ind w:left="441"/>
              <w:rPr>
                <w:rFonts w:ascii="Cambria"/>
                <w:sz w:val="20"/>
              </w:rPr>
            </w:pPr>
            <w:r>
              <w:rPr>
                <w:rFonts w:ascii="Cambria"/>
                <w:sz w:val="20"/>
              </w:rPr>
              <w:t>fatty acids, %</w:t>
            </w:r>
          </w:p>
        </w:tc>
        <w:tc>
          <w:tcPr>
            <w:tcW w:w="5431" w:type="dxa"/>
            <w:tcBorders>
              <w:top w:val="nil"/>
              <w:left w:val="single" w:sz="4" w:space="0" w:color="000000"/>
              <w:bottom w:val="nil"/>
              <w:right w:val="nil"/>
            </w:tcBorders>
          </w:tcPr>
          <w:p>
            <w:pPr>
              <w:pStyle w:val="TableParagraph"/>
              <w:spacing w:before="31"/>
              <w:ind w:left="67"/>
              <w:rPr>
                <w:rFonts w:ascii="Cambria"/>
                <w:sz w:val="20"/>
              </w:rPr>
            </w:pPr>
            <w:r>
              <w:rPr>
                <w:rFonts w:ascii="Cambria"/>
                <w:sz w:val="20"/>
              </w:rPr>
              <w:t>= </w:t>
            </w:r>
            <w:r>
              <w:rPr>
                <w:rFonts w:ascii="Cambria"/>
                <w:i/>
                <w:sz w:val="20"/>
              </w:rPr>
              <w:t>sum </w:t>
            </w:r>
            <w:r>
              <w:rPr>
                <w:rFonts w:ascii="Cambria"/>
                <w:sz w:val="20"/>
              </w:rPr>
              <w:t>(C12:0, C14:0, C16:0, C18:0, C20:0)</w:t>
            </w:r>
          </w:p>
        </w:tc>
      </w:tr>
      <w:tr>
        <w:trPr>
          <w:trHeight w:val="562" w:hRule="exact"/>
        </w:trPr>
        <w:tc>
          <w:tcPr>
            <w:tcW w:w="3193" w:type="dxa"/>
            <w:tcBorders>
              <w:top w:val="nil"/>
              <w:left w:val="nil"/>
              <w:bottom w:val="nil"/>
              <w:right w:val="single" w:sz="4" w:space="0" w:color="000000"/>
            </w:tcBorders>
          </w:tcPr>
          <w:p>
            <w:pPr>
              <w:pStyle w:val="TableParagraph"/>
              <w:spacing w:before="1"/>
              <w:rPr>
                <w:rFonts w:ascii="Cambria"/>
                <w:sz w:val="16"/>
              </w:rPr>
            </w:pPr>
          </w:p>
          <w:p>
            <w:pPr>
              <w:pStyle w:val="TableParagraph"/>
              <w:tabs>
                <w:tab w:pos="791" w:val="left" w:leader="none"/>
              </w:tabs>
              <w:ind w:left="441"/>
              <w:rPr>
                <w:rFonts w:ascii="Cambria"/>
                <w:sz w:val="20"/>
              </w:rPr>
            </w:pPr>
            <w:r>
              <w:rPr>
                <w:rFonts w:ascii="Cambria"/>
                <w:sz w:val="20"/>
              </w:rPr>
              <w:t>j)</w:t>
              <w:tab/>
            </w:r>
            <w:r>
              <w:rPr>
                <w:rFonts w:ascii="Cambria"/>
                <w:i/>
                <w:sz w:val="20"/>
              </w:rPr>
              <w:t>even</w:t>
            </w:r>
            <w:r>
              <w:rPr>
                <w:rFonts w:ascii="Cambria"/>
                <w:sz w:val="20"/>
              </w:rPr>
              <w:t>-carbon</w:t>
            </w:r>
            <w:r>
              <w:rPr>
                <w:rFonts w:ascii="Cambria"/>
                <w:spacing w:val="-5"/>
                <w:sz w:val="20"/>
              </w:rPr>
              <w:t> </w:t>
            </w:r>
            <w:r>
              <w:rPr>
                <w:rFonts w:ascii="Cambria"/>
                <w:sz w:val="20"/>
              </w:rPr>
              <w:t>unsaturated</w:t>
            </w:r>
          </w:p>
        </w:tc>
        <w:tc>
          <w:tcPr>
            <w:tcW w:w="5431" w:type="dxa"/>
            <w:tcBorders>
              <w:top w:val="nil"/>
              <w:left w:val="single" w:sz="4" w:space="0" w:color="000000"/>
              <w:bottom w:val="nil"/>
              <w:right w:val="nil"/>
            </w:tcBorders>
          </w:tcPr>
          <w:p>
            <w:pPr>
              <w:pStyle w:val="TableParagraph"/>
              <w:rPr>
                <w:rFonts w:ascii="Cambria"/>
                <w:sz w:val="28"/>
              </w:rPr>
            </w:pPr>
          </w:p>
          <w:p>
            <w:pPr>
              <w:pStyle w:val="TableParagraph"/>
              <w:spacing w:before="1"/>
              <w:ind w:left="67"/>
              <w:rPr>
                <w:rFonts w:ascii="Cambria"/>
                <w:sz w:val="20"/>
              </w:rPr>
            </w:pPr>
            <w:r>
              <w:rPr>
                <w:rFonts w:ascii="Cambria"/>
                <w:sz w:val="20"/>
              </w:rPr>
              <w:t>= </w:t>
            </w:r>
            <w:r>
              <w:rPr>
                <w:rFonts w:ascii="Cambria"/>
                <w:i/>
                <w:sz w:val="20"/>
              </w:rPr>
              <w:t>sum </w:t>
            </w:r>
            <w:r>
              <w:rPr>
                <w:rFonts w:ascii="Cambria"/>
                <w:sz w:val="20"/>
              </w:rPr>
              <w:t>(C14:1, C16:1, C18:1 n9t, C18:1 n9c, C18:2 n6t, C18:2</w:t>
            </w:r>
          </w:p>
        </w:tc>
      </w:tr>
      <w:tr>
        <w:trPr>
          <w:trHeight w:val="492" w:hRule="exact"/>
        </w:trPr>
        <w:tc>
          <w:tcPr>
            <w:tcW w:w="3193" w:type="dxa"/>
            <w:tcBorders>
              <w:top w:val="nil"/>
              <w:left w:val="nil"/>
              <w:bottom w:val="nil"/>
              <w:right w:val="single" w:sz="4" w:space="0" w:color="000000"/>
            </w:tcBorders>
          </w:tcPr>
          <w:p>
            <w:pPr>
              <w:pStyle w:val="TableParagraph"/>
              <w:spacing w:line="213" w:lineRule="exact"/>
              <w:ind w:left="441"/>
              <w:rPr>
                <w:rFonts w:ascii="Cambria"/>
                <w:sz w:val="20"/>
              </w:rPr>
            </w:pPr>
            <w:r>
              <w:rPr>
                <w:rFonts w:ascii="Cambria"/>
                <w:sz w:val="20"/>
              </w:rPr>
              <w:t>fatty acids, %</w:t>
            </w:r>
          </w:p>
        </w:tc>
        <w:tc>
          <w:tcPr>
            <w:tcW w:w="5431" w:type="dxa"/>
            <w:tcBorders>
              <w:top w:val="nil"/>
              <w:left w:val="single" w:sz="4" w:space="0" w:color="000000"/>
              <w:bottom w:val="nil"/>
              <w:right w:val="nil"/>
            </w:tcBorders>
          </w:tcPr>
          <w:p>
            <w:pPr>
              <w:pStyle w:val="TableParagraph"/>
              <w:spacing w:before="117"/>
              <w:ind w:left="67"/>
              <w:rPr>
                <w:rFonts w:ascii="Cambria"/>
                <w:sz w:val="20"/>
              </w:rPr>
            </w:pPr>
            <w:r>
              <w:rPr>
                <w:rFonts w:ascii="Cambria"/>
                <w:sz w:val="20"/>
              </w:rPr>
              <w:t>n6c, C18:3 n6)</w:t>
            </w:r>
          </w:p>
        </w:tc>
      </w:tr>
      <w:tr>
        <w:trPr>
          <w:trHeight w:val="439" w:hRule="exact"/>
        </w:trPr>
        <w:tc>
          <w:tcPr>
            <w:tcW w:w="3193" w:type="dxa"/>
            <w:tcBorders>
              <w:top w:val="nil"/>
              <w:left w:val="nil"/>
              <w:bottom w:val="nil"/>
              <w:right w:val="single" w:sz="4" w:space="0" w:color="000000"/>
            </w:tcBorders>
          </w:tcPr>
          <w:p>
            <w:pPr>
              <w:pStyle w:val="TableParagraph"/>
              <w:spacing w:before="153"/>
              <w:ind w:left="441"/>
              <w:rPr>
                <w:rFonts w:ascii="Cambria"/>
                <w:sz w:val="20"/>
              </w:rPr>
            </w:pPr>
            <w:r>
              <w:rPr>
                <w:rFonts w:ascii="Cambria"/>
                <w:sz w:val="20"/>
              </w:rPr>
              <w:t>k)   Saturated/unsaturated</w:t>
            </w:r>
          </w:p>
        </w:tc>
        <w:tc>
          <w:tcPr>
            <w:tcW w:w="5431" w:type="dxa"/>
            <w:tcBorders>
              <w:top w:val="nil"/>
              <w:left w:val="single" w:sz="4" w:space="0" w:color="000000"/>
              <w:bottom w:val="nil"/>
              <w:right w:val="nil"/>
            </w:tcBorders>
          </w:tcPr>
          <w:p>
            <w:pPr>
              <w:pStyle w:val="TableParagraph"/>
              <w:spacing w:before="119"/>
              <w:ind w:left="67"/>
              <w:rPr>
                <w:rFonts w:ascii="Cambria"/>
                <w:i/>
                <w:sz w:val="20"/>
              </w:rPr>
            </w:pPr>
            <w:r>
              <w:rPr>
                <w:rFonts w:ascii="Cambria"/>
                <w:sz w:val="20"/>
              </w:rPr>
              <w:t>= </w:t>
            </w:r>
            <w:r>
              <w:rPr>
                <w:rFonts w:ascii="Cambria"/>
                <w:i/>
                <w:sz w:val="20"/>
              </w:rPr>
              <w:t>sum </w:t>
            </w:r>
            <w:r>
              <w:rPr>
                <w:rFonts w:ascii="Cambria"/>
                <w:sz w:val="20"/>
              </w:rPr>
              <w:t>(C12:0, C14:0, C15:0, C16:0, C17:0, C18:0, C20:0)/</w:t>
            </w:r>
            <w:r>
              <w:rPr>
                <w:rFonts w:ascii="Cambria"/>
                <w:i/>
                <w:sz w:val="20"/>
              </w:rPr>
              <w:t>sum</w:t>
            </w:r>
          </w:p>
        </w:tc>
      </w:tr>
      <w:tr>
        <w:trPr>
          <w:trHeight w:val="353" w:hRule="exact"/>
        </w:trPr>
        <w:tc>
          <w:tcPr>
            <w:tcW w:w="3193" w:type="dxa"/>
            <w:tcBorders>
              <w:top w:val="nil"/>
              <w:left w:val="nil"/>
              <w:bottom w:val="nil"/>
              <w:right w:val="single" w:sz="4" w:space="0" w:color="000000"/>
            </w:tcBorders>
          </w:tcPr>
          <w:p>
            <w:pPr>
              <w:pStyle w:val="TableParagraph"/>
              <w:spacing w:before="69"/>
              <w:ind w:left="441"/>
              <w:rPr>
                <w:rFonts w:ascii="Cambria"/>
                <w:sz w:val="20"/>
              </w:rPr>
            </w:pPr>
            <w:r>
              <w:rPr>
                <w:rFonts w:ascii="Cambria"/>
                <w:sz w:val="20"/>
              </w:rPr>
              <w:t>fatty acids</w:t>
            </w:r>
          </w:p>
        </w:tc>
        <w:tc>
          <w:tcPr>
            <w:tcW w:w="5431" w:type="dxa"/>
            <w:tcBorders>
              <w:top w:val="nil"/>
              <w:left w:val="single" w:sz="4" w:space="0" w:color="000000"/>
              <w:bottom w:val="nil"/>
              <w:right w:val="nil"/>
            </w:tcBorders>
          </w:tcPr>
          <w:p>
            <w:pPr>
              <w:pStyle w:val="TableParagraph"/>
              <w:spacing w:before="31"/>
              <w:ind w:left="67"/>
              <w:rPr>
                <w:rFonts w:ascii="Cambria"/>
                <w:sz w:val="20"/>
              </w:rPr>
            </w:pPr>
            <w:r>
              <w:rPr>
                <w:rFonts w:ascii="Cambria"/>
                <w:sz w:val="20"/>
              </w:rPr>
              <w:t>(C14:1, C15:1, C16:1, C17:1, C18:1 n9t, C18:1 n9c, C18:2 n6t,</w:t>
            </w:r>
          </w:p>
        </w:tc>
      </w:tr>
      <w:tr>
        <w:trPr>
          <w:trHeight w:val="397" w:hRule="exact"/>
        </w:trPr>
        <w:tc>
          <w:tcPr>
            <w:tcW w:w="3193" w:type="dxa"/>
            <w:tcBorders>
              <w:top w:val="nil"/>
              <w:left w:val="nil"/>
              <w:right w:val="single" w:sz="4" w:space="0" w:color="000000"/>
            </w:tcBorders>
          </w:tcPr>
          <w:p>
            <w:pPr/>
          </w:p>
        </w:tc>
        <w:tc>
          <w:tcPr>
            <w:tcW w:w="5431" w:type="dxa"/>
            <w:tcBorders>
              <w:top w:val="nil"/>
              <w:left w:val="single" w:sz="4" w:space="0" w:color="000000"/>
              <w:right w:val="nil"/>
            </w:tcBorders>
          </w:tcPr>
          <w:p>
            <w:pPr>
              <w:pStyle w:val="TableParagraph"/>
              <w:spacing w:before="28"/>
              <w:ind w:left="67"/>
              <w:rPr>
                <w:rFonts w:ascii="Cambria"/>
                <w:sz w:val="20"/>
              </w:rPr>
            </w:pPr>
            <w:r>
              <w:rPr>
                <w:rFonts w:ascii="Cambria"/>
                <w:sz w:val="20"/>
              </w:rPr>
              <w:t>C18:2 n6c, C18:3 n6)</w:t>
            </w:r>
          </w:p>
        </w:tc>
      </w:tr>
    </w:tbl>
    <w:p>
      <w:pPr>
        <w:pStyle w:val="BodyText"/>
        <w:spacing w:before="3"/>
        <w:rPr>
          <w:sz w:val="18"/>
        </w:rPr>
      </w:pPr>
    </w:p>
    <w:p>
      <w:pPr>
        <w:pStyle w:val="BodyText"/>
        <w:spacing w:line="360" w:lineRule="auto" w:before="66"/>
        <w:ind w:left="259" w:right="234" w:firstLine="283"/>
        <w:jc w:val="both"/>
      </w:pPr>
      <w:r>
        <w:rPr/>
        <w:t>Statistical analyses were performed using the GLM procedure of SPSS (</w:t>
      </w:r>
      <w:hyperlink w:history="true" w:anchor="_bookmark3">
        <w:r>
          <w:rPr/>
          <w:t>2011</w:t>
        </w:r>
      </w:hyperlink>
      <w:r>
        <w:rPr/>
        <w:t>) and means within standard errors were compared with least squares means.  Least squares means were reported throughout the text, and statistical significances were declared if </w:t>
      </w:r>
      <w:r>
        <w:rPr>
          <w:i/>
        </w:rPr>
        <w:t>P&lt; 0.05</w:t>
      </w:r>
      <w:r>
        <w:rPr/>
        <w:t>.</w:t>
      </w:r>
    </w:p>
    <w:p>
      <w:pPr>
        <w:pStyle w:val="BodyText"/>
        <w:spacing w:before="9"/>
        <w:rPr>
          <w:sz w:val="23"/>
        </w:rPr>
      </w:pPr>
    </w:p>
    <w:p>
      <w:pPr>
        <w:pStyle w:val="ListParagraph"/>
        <w:numPr>
          <w:ilvl w:val="0"/>
          <w:numId w:val="12"/>
        </w:numPr>
        <w:tabs>
          <w:tab w:pos="515" w:val="left" w:leader="none"/>
        </w:tabs>
        <w:spacing w:line="240" w:lineRule="auto" w:before="0" w:after="0"/>
        <w:ind w:left="514" w:right="0" w:hanging="255"/>
        <w:jc w:val="left"/>
        <w:rPr>
          <w:b/>
          <w:sz w:val="24"/>
        </w:rPr>
      </w:pPr>
      <w:r>
        <w:rPr>
          <w:b/>
          <w:sz w:val="24"/>
        </w:rPr>
        <w:t>Partes</w:t>
      </w:r>
      <w:r>
        <w:rPr>
          <w:b/>
          <w:spacing w:val="-13"/>
          <w:sz w:val="24"/>
        </w:rPr>
        <w:t> </w:t>
      </w:r>
      <w:r>
        <w:rPr>
          <w:b/>
          <w:sz w:val="24"/>
        </w:rPr>
        <w:t>teóricas</w:t>
      </w:r>
    </w:p>
    <w:p>
      <w:pPr>
        <w:pStyle w:val="BodyText"/>
        <w:rPr>
          <w:b/>
        </w:rPr>
      </w:pPr>
    </w:p>
    <w:p>
      <w:pPr>
        <w:pStyle w:val="ListParagraph"/>
        <w:numPr>
          <w:ilvl w:val="1"/>
          <w:numId w:val="12"/>
        </w:numPr>
        <w:tabs>
          <w:tab w:pos="712" w:val="left" w:leader="none"/>
        </w:tabs>
        <w:spacing w:line="240" w:lineRule="auto" w:before="143" w:after="0"/>
        <w:ind w:left="711" w:right="0" w:hanging="452"/>
        <w:jc w:val="left"/>
        <w:rPr>
          <w:b/>
          <w:sz w:val="24"/>
        </w:rPr>
      </w:pPr>
      <w:r>
        <w:rPr>
          <w:b/>
          <w:sz w:val="24"/>
        </w:rPr>
        <w:t>Sección</w:t>
      </w:r>
      <w:r>
        <w:rPr>
          <w:b/>
          <w:spacing w:val="-12"/>
          <w:sz w:val="24"/>
        </w:rPr>
        <w:t> </w:t>
      </w:r>
      <w:r>
        <w:rPr>
          <w:b/>
          <w:sz w:val="24"/>
        </w:rPr>
        <w:t>experimental</w:t>
      </w:r>
    </w:p>
    <w:p>
      <w:pPr>
        <w:pStyle w:val="BodyText"/>
        <w:spacing w:before="4"/>
        <w:rPr>
          <w:b/>
          <w:sz w:val="35"/>
        </w:rPr>
      </w:pPr>
    </w:p>
    <w:p>
      <w:pPr>
        <w:pStyle w:val="BodyText"/>
        <w:spacing w:line="362" w:lineRule="auto" w:before="1"/>
        <w:ind w:left="259" w:right="247" w:firstLine="283"/>
        <w:jc w:val="both"/>
      </w:pPr>
      <w:r>
        <w:rPr/>
        <w:t>En el flujo de trabajo de esta parte experimental (Fig. 1). Los datos generales de los procedimientos experimentales utilizados en el experimento 1 y el experimento 2 se explican de la siguiente manera.</w:t>
      </w:r>
    </w:p>
    <w:p>
      <w:pPr>
        <w:spacing w:after="0" w:line="362" w:lineRule="auto"/>
        <w:jc w:val="both"/>
        <w:sectPr>
          <w:pgSz w:w="12240" w:h="15840"/>
          <w:pgMar w:header="684" w:footer="1164" w:top="1380" w:bottom="1380" w:left="1440" w:right="1460"/>
        </w:sectPr>
      </w:pPr>
    </w:p>
    <w:p>
      <w:pPr>
        <w:pStyle w:val="BodyText"/>
        <w:spacing w:before="5"/>
        <w:rPr>
          <w:sz w:val="21"/>
        </w:rPr>
      </w:pPr>
    </w:p>
    <w:p>
      <w:pPr>
        <w:pStyle w:val="BodyText"/>
        <w:ind w:left="259"/>
        <w:rPr>
          <w:sz w:val="20"/>
        </w:rPr>
      </w:pPr>
      <w:r>
        <w:rPr>
          <w:sz w:val="20"/>
        </w:rPr>
        <w:drawing>
          <wp:inline distT="0" distB="0" distL="0" distR="0">
            <wp:extent cx="5229381" cy="2942081"/>
            <wp:effectExtent l="0" t="0" r="0" b="0"/>
            <wp:docPr id="63" name="image29.jpeg" descr=""/>
            <wp:cNvGraphicFramePr>
              <a:graphicFrameLocks noChangeAspect="1"/>
            </wp:cNvGraphicFramePr>
            <a:graphic>
              <a:graphicData uri="http://schemas.openxmlformats.org/drawingml/2006/picture">
                <pic:pic>
                  <pic:nvPicPr>
                    <pic:cNvPr id="64" name="image29.jpeg"/>
                    <pic:cNvPicPr/>
                  </pic:nvPicPr>
                  <pic:blipFill>
                    <a:blip r:embed="rId64" cstate="print"/>
                    <a:stretch>
                      <a:fillRect/>
                    </a:stretch>
                  </pic:blipFill>
                  <pic:spPr>
                    <a:xfrm>
                      <a:off x="0" y="0"/>
                      <a:ext cx="5229381" cy="2942081"/>
                    </a:xfrm>
                    <a:prstGeom prst="rect">
                      <a:avLst/>
                    </a:prstGeom>
                  </pic:spPr>
                </pic:pic>
              </a:graphicData>
            </a:graphic>
          </wp:inline>
        </w:drawing>
      </w:r>
      <w:r>
        <w:rPr>
          <w:sz w:val="20"/>
        </w:rPr>
      </w:r>
    </w:p>
    <w:p>
      <w:pPr>
        <w:pStyle w:val="BodyText"/>
        <w:rPr>
          <w:sz w:val="20"/>
        </w:rPr>
      </w:pPr>
    </w:p>
    <w:p>
      <w:pPr>
        <w:pStyle w:val="BodyText"/>
        <w:spacing w:line="360" w:lineRule="auto" w:before="190"/>
        <w:ind w:left="276" w:right="263"/>
        <w:jc w:val="center"/>
      </w:pPr>
      <w:r>
        <w:rPr>
          <w:b/>
        </w:rPr>
        <w:t>Fig. 1. </w:t>
      </w:r>
      <w:r>
        <w:rPr/>
        <w:t>Workflow of the experimental section (dataset): IPA values</w:t>
      </w:r>
      <w:r>
        <w:rPr>
          <w:spacing w:val="-37"/>
        </w:rPr>
        <w:t> </w:t>
      </w:r>
      <w:r>
        <w:rPr/>
        <w:t>of each FA based on bacterial membrane FAs catalyzed with methylation methods (</w:t>
      </w:r>
      <w:r>
        <w:rPr>
          <w:b/>
        </w:rPr>
        <w:t>experiment 1</w:t>
      </w:r>
      <w:r>
        <w:rPr/>
        <w:t>) and IPA values obtained from bacteria, protozoan, and media fractions with the fermentation of various exogenous ω-6/ω-3 ratios supplementation with base methylation (</w:t>
      </w:r>
      <w:r>
        <w:rPr>
          <w:b/>
        </w:rPr>
        <w:t>experiment</w:t>
      </w:r>
      <w:r>
        <w:rPr>
          <w:b/>
          <w:spacing w:val="-9"/>
        </w:rPr>
        <w:t> </w:t>
      </w:r>
      <w:r>
        <w:rPr>
          <w:b/>
        </w:rPr>
        <w:t>2</w:t>
      </w:r>
      <w:r>
        <w:rPr/>
        <w:t>)</w:t>
      </w:r>
    </w:p>
    <w:p>
      <w:pPr>
        <w:pStyle w:val="BodyText"/>
        <w:spacing w:before="2"/>
      </w:pPr>
    </w:p>
    <w:p>
      <w:pPr>
        <w:pStyle w:val="ListParagraph"/>
        <w:numPr>
          <w:ilvl w:val="2"/>
          <w:numId w:val="12"/>
        </w:numPr>
        <w:tabs>
          <w:tab w:pos="909" w:val="left" w:leader="none"/>
        </w:tabs>
        <w:spacing w:line="240" w:lineRule="auto" w:before="0" w:after="0"/>
        <w:ind w:left="908" w:right="0" w:hanging="649"/>
        <w:jc w:val="left"/>
        <w:rPr>
          <w:sz w:val="24"/>
        </w:rPr>
      </w:pPr>
      <w:r>
        <w:rPr>
          <w:b/>
          <w:sz w:val="24"/>
        </w:rPr>
        <w:t>Bienestar</w:t>
      </w:r>
      <w:r>
        <w:rPr>
          <w:b/>
          <w:spacing w:val="-7"/>
          <w:sz w:val="24"/>
        </w:rPr>
        <w:t> </w:t>
      </w:r>
      <w:r>
        <w:rPr>
          <w:b/>
          <w:sz w:val="24"/>
        </w:rPr>
        <w:t>animal</w:t>
      </w:r>
      <w:r>
        <w:rPr>
          <w:sz w:val="24"/>
        </w:rPr>
        <w:t>.</w:t>
      </w:r>
    </w:p>
    <w:p>
      <w:pPr>
        <w:pStyle w:val="BodyText"/>
        <w:spacing w:before="4"/>
        <w:rPr>
          <w:sz w:val="35"/>
        </w:rPr>
      </w:pPr>
    </w:p>
    <w:p>
      <w:pPr>
        <w:pStyle w:val="BodyText"/>
        <w:spacing w:line="362" w:lineRule="auto"/>
        <w:ind w:left="259" w:right="236" w:firstLine="283"/>
        <w:jc w:val="both"/>
      </w:pPr>
      <w:r>
        <w:rPr/>
        <w:t>Tres hombre adulto Pelibuey oveja con rumen-fístula permanente (peso corporal, 45,0 ± 5,0 kg) fueron utilizados como donantes de inóculo de acuerdo a la Norma Oficial Mexicana (NOM-220-SSA1-2002). Composición nutricional del forraje para animales donantes fue de acuerdo con el Consejo Nacional de Investigación (NRC). (2007)</w:t>
      </w:r>
    </w:p>
    <w:p>
      <w:pPr>
        <w:pStyle w:val="BodyText"/>
        <w:spacing w:before="6"/>
        <w:rPr>
          <w:sz w:val="23"/>
        </w:rPr>
      </w:pPr>
    </w:p>
    <w:p>
      <w:pPr>
        <w:pStyle w:val="ListParagraph"/>
        <w:numPr>
          <w:ilvl w:val="2"/>
          <w:numId w:val="12"/>
        </w:numPr>
        <w:tabs>
          <w:tab w:pos="913" w:val="left" w:leader="none"/>
        </w:tabs>
        <w:spacing w:line="240" w:lineRule="auto" w:before="0" w:after="0"/>
        <w:ind w:left="913" w:right="0" w:hanging="654"/>
        <w:jc w:val="left"/>
        <w:rPr>
          <w:sz w:val="24"/>
        </w:rPr>
      </w:pPr>
      <w:r>
        <w:rPr>
          <w:b/>
          <w:sz w:val="24"/>
        </w:rPr>
        <w:t>Detalles de fermentación in</w:t>
      </w:r>
      <w:r>
        <w:rPr>
          <w:b/>
          <w:spacing w:val="-22"/>
          <w:sz w:val="24"/>
        </w:rPr>
        <w:t> </w:t>
      </w:r>
      <w:r>
        <w:rPr>
          <w:b/>
          <w:sz w:val="24"/>
        </w:rPr>
        <w:t>vitro</w:t>
      </w:r>
      <w:r>
        <w:rPr>
          <w:sz w:val="24"/>
        </w:rPr>
        <w:t>.</w:t>
      </w:r>
    </w:p>
    <w:p>
      <w:pPr>
        <w:pStyle w:val="BodyText"/>
        <w:spacing w:before="4"/>
        <w:rPr>
          <w:sz w:val="35"/>
        </w:rPr>
      </w:pPr>
    </w:p>
    <w:p>
      <w:pPr>
        <w:pStyle w:val="BodyText"/>
        <w:spacing w:line="360" w:lineRule="auto"/>
        <w:ind w:left="259" w:right="203" w:firstLine="283"/>
        <w:jc w:val="both"/>
        <w:rPr>
          <w:rFonts w:ascii="Cambria Math" w:hAnsi="Cambria Math"/>
        </w:rPr>
      </w:pPr>
      <w:r>
        <w:rPr/>
        <w:t>Los detalles in vitro están de acuerdo con la descripción de Tang, el al., (Tang et al., 2008) con el fluido de rumen libre de partículas mezclado con la solución tampón de saliva artificial (Menke y Steingass, 1988) en una proporción de 1 : 2 (v / v) a 39 </w:t>
      </w:r>
      <w:r>
        <w:rPr>
          <w:rFonts w:ascii="Cambria Math" w:hAnsi="Cambria Math"/>
        </w:rPr>
        <w:t>℃</w:t>
      </w:r>
    </w:p>
    <w:p>
      <w:pPr>
        <w:pStyle w:val="BodyText"/>
        <w:spacing w:before="1"/>
        <w:ind w:left="9"/>
        <w:jc w:val="center"/>
      </w:pPr>
      <w:r>
        <w:rPr/>
        <w:t>bajo lavado continuo de CO2. Ácidos grasos microbianas se prepararon de acuerdo</w:t>
      </w:r>
    </w:p>
    <w:p>
      <w:pPr>
        <w:spacing w:after="0"/>
        <w:jc w:val="center"/>
        <w:sectPr>
          <w:pgSz w:w="12240" w:h="15840"/>
          <w:pgMar w:header="684" w:footer="1164" w:top="1380" w:bottom="1360" w:left="1440" w:right="1460"/>
        </w:sectPr>
      </w:pPr>
    </w:p>
    <w:p>
      <w:pPr>
        <w:pStyle w:val="BodyText"/>
        <w:spacing w:before="7"/>
        <w:rPr>
          <w:sz w:val="15"/>
        </w:rPr>
      </w:pPr>
    </w:p>
    <w:p>
      <w:pPr>
        <w:pStyle w:val="BodyText"/>
        <w:spacing w:line="362" w:lineRule="auto" w:before="66"/>
        <w:ind w:left="259" w:right="246"/>
        <w:jc w:val="both"/>
      </w:pPr>
      <w:r>
        <w:rPr/>
        <w:t>con el método desarrollado por O-Rashid. (O-Rashid et al., 2007) Más específicamente, las muestras microbianas y protozoarios se separaron por centrifugación diferencial de acuerdo con el método descrito por Legay-Carmier y Bauchart. (1989)</w:t>
      </w:r>
    </w:p>
    <w:p>
      <w:pPr>
        <w:pStyle w:val="BodyText"/>
        <w:spacing w:before="6"/>
        <w:rPr>
          <w:sz w:val="23"/>
        </w:rPr>
      </w:pPr>
    </w:p>
    <w:p>
      <w:pPr>
        <w:pStyle w:val="ListParagraph"/>
        <w:numPr>
          <w:ilvl w:val="2"/>
          <w:numId w:val="12"/>
        </w:numPr>
        <w:tabs>
          <w:tab w:pos="909" w:val="left" w:leader="none"/>
        </w:tabs>
        <w:spacing w:line="240" w:lineRule="auto" w:before="0" w:after="0"/>
        <w:ind w:left="908" w:right="0" w:hanging="649"/>
        <w:jc w:val="both"/>
        <w:rPr>
          <w:sz w:val="24"/>
        </w:rPr>
      </w:pPr>
      <w:r>
        <w:rPr>
          <w:b/>
          <w:sz w:val="24"/>
        </w:rPr>
        <w:t>Procedimientos específicos de parte</w:t>
      </w:r>
      <w:r>
        <w:rPr>
          <w:b/>
          <w:spacing w:val="-17"/>
          <w:sz w:val="24"/>
        </w:rPr>
        <w:t> </w:t>
      </w:r>
      <w:r>
        <w:rPr>
          <w:b/>
          <w:sz w:val="24"/>
        </w:rPr>
        <w:t>1</w:t>
      </w:r>
      <w:r>
        <w:rPr>
          <w:sz w:val="24"/>
        </w:rPr>
        <w:t>.</w:t>
      </w:r>
    </w:p>
    <w:p>
      <w:pPr>
        <w:pStyle w:val="BodyText"/>
        <w:spacing w:before="9"/>
        <w:rPr>
          <w:sz w:val="35"/>
        </w:rPr>
      </w:pPr>
    </w:p>
    <w:p>
      <w:pPr>
        <w:pStyle w:val="BodyText"/>
        <w:spacing w:line="360" w:lineRule="auto"/>
        <w:ind w:left="259" w:right="234" w:firstLine="283"/>
        <w:jc w:val="both"/>
      </w:pPr>
      <w:r>
        <w:rPr/>
        <w:t>Microbios ruminales mezclados sin fermentación fueron catalizadas con la metilación del ácido (8% de HCl (w / v) disuelto en metanol / agua (85/15)) (Ichihara y Fukubayashi, 2010), la metilación de base (trimetilsilildiazometano, TMSD) (O- Rashid et al., 2007) (prensatelas et al., 2004) y ácido combinado de bases metilaciones (primera catalizadas con 8% de HCl, y posteriormente catalizadas con TMSD), respectivamente. Los valores de la zona Peak, PA (i), para cada LCFA bajo diferentes conjuntos de condiciones experimentales cj (diferentes muestras) se determinaron con GC (O-Rashid et al, 2007;. Na, 2011) (Modelo 6890N, Agilent Technologies Inc ., EE.UU.) con HP-88 columna en el laboratorio de CENID FYMA, INIFAP, y AGV se determinaron con la columna DB-FFAP. Se utilizaron los valores de área de pico obtenido para calcular el área del pico interna, IPA (%), como sigue.</w:t>
      </w:r>
    </w:p>
    <w:p>
      <w:pPr>
        <w:pStyle w:val="BodyText"/>
        <w:spacing w:before="8"/>
        <w:rPr>
          <w:sz w:val="19"/>
        </w:rPr>
      </w:pPr>
    </w:p>
    <w:p>
      <w:pPr>
        <w:spacing w:after="0"/>
        <w:rPr>
          <w:sz w:val="19"/>
        </w:rPr>
        <w:sectPr>
          <w:pgSz w:w="12240" w:h="15840"/>
          <w:pgMar w:header="684" w:footer="1164" w:top="1380" w:bottom="1380" w:left="1440" w:right="1460"/>
        </w:sectPr>
      </w:pPr>
    </w:p>
    <w:p>
      <w:pPr>
        <w:pStyle w:val="BodyText"/>
        <w:rPr>
          <w:sz w:val="22"/>
        </w:rPr>
      </w:pPr>
    </w:p>
    <w:p>
      <w:pPr>
        <w:pStyle w:val="BodyText"/>
        <w:spacing w:before="11"/>
        <w:rPr>
          <w:sz w:val="18"/>
        </w:rPr>
      </w:pPr>
    </w:p>
    <w:p>
      <w:pPr>
        <w:spacing w:line="235" w:lineRule="exact" w:before="0"/>
        <w:ind w:left="0" w:right="0" w:firstLine="0"/>
        <w:jc w:val="right"/>
        <w:rPr>
          <w:rFonts w:ascii="Times New Roman"/>
          <w:sz w:val="11"/>
        </w:rPr>
      </w:pPr>
      <w:r>
        <w:rPr>
          <w:rFonts w:ascii="Times New Roman"/>
          <w:w w:val="115"/>
          <w:sz w:val="19"/>
        </w:rPr>
        <w:t>IPA(%)</w:t>
      </w:r>
      <w:r>
        <w:rPr>
          <w:rFonts w:ascii="Times New Roman"/>
          <w:w w:val="115"/>
          <w:position w:val="-4"/>
          <w:sz w:val="11"/>
        </w:rPr>
        <w:t>ij</w:t>
      </w:r>
    </w:p>
    <w:p>
      <w:pPr>
        <w:spacing w:line="177" w:lineRule="exact" w:before="69"/>
        <w:ind w:left="0" w:right="0" w:firstLine="0"/>
        <w:jc w:val="right"/>
        <w:rPr>
          <w:rFonts w:ascii="Symbol" w:hAnsi="Symbol"/>
          <w:sz w:val="19"/>
        </w:rPr>
      </w:pPr>
      <w:r>
        <w:rPr/>
        <w:br w:type="column"/>
      </w:r>
      <w:r>
        <w:rPr>
          <w:rFonts w:ascii="Symbol" w:hAnsi="Symbol"/>
          <w:w w:val="115"/>
          <w:sz w:val="19"/>
        </w:rPr>
        <w:t></w:t>
      </w:r>
    </w:p>
    <w:p>
      <w:pPr>
        <w:spacing w:line="149" w:lineRule="exact" w:before="0"/>
        <w:ind w:left="0" w:right="0" w:firstLine="0"/>
        <w:jc w:val="right"/>
        <w:rPr>
          <w:rFonts w:ascii="Symbol" w:hAnsi="Symbol"/>
          <w:sz w:val="19"/>
        </w:rPr>
      </w:pPr>
      <w:r>
        <w:rPr>
          <w:rFonts w:ascii="Symbol" w:hAnsi="Symbol"/>
          <w:w w:val="118"/>
          <w:sz w:val="19"/>
        </w:rPr>
        <w:t></w:t>
      </w:r>
    </w:p>
    <w:p>
      <w:pPr>
        <w:spacing w:line="305" w:lineRule="exact" w:before="0"/>
        <w:ind w:left="0" w:right="0" w:firstLine="0"/>
        <w:jc w:val="right"/>
        <w:rPr>
          <w:rFonts w:ascii="Symbol" w:hAnsi="Symbol"/>
          <w:sz w:val="19"/>
        </w:rPr>
      </w:pPr>
      <w:r>
        <w:rPr/>
        <w:pict>
          <v:shape style="position:absolute;margin-left:310.13092pt;margin-top:9.389736pt;width:4.350pt;height:9.75pt;mso-position-horizontal-relative:page;mso-position-vertical-relative:paragraph;z-index:-330136" type="#_x0000_t202" filled="false" stroked="false">
            <v:textbox inset="0,0,0,0">
              <w:txbxContent>
                <w:p>
                  <w:pPr>
                    <w:spacing w:line="194" w:lineRule="exact" w:before="0"/>
                    <w:ind w:left="0" w:right="0" w:firstLine="0"/>
                    <w:jc w:val="left"/>
                    <w:rPr>
                      <w:rFonts w:ascii="Symbol" w:hAnsi="Symbol"/>
                      <w:sz w:val="19"/>
                    </w:rPr>
                  </w:pPr>
                  <w:r>
                    <w:rPr>
                      <w:rFonts w:ascii="Symbol" w:hAnsi="Symbol"/>
                      <w:w w:val="118"/>
                      <w:sz w:val="19"/>
                    </w:rPr>
                    <w:t></w:t>
                  </w:r>
                </w:p>
              </w:txbxContent>
            </v:textbox>
            <w10:wrap type="none"/>
          </v:shape>
        </w:pict>
      </w:r>
      <w:r>
        <w:rPr>
          <w:rFonts w:ascii="Symbol" w:hAnsi="Symbol"/>
          <w:w w:val="120"/>
          <w:sz w:val="19"/>
        </w:rPr>
        <w:t></w:t>
      </w:r>
      <w:r>
        <w:rPr>
          <w:rFonts w:ascii="Times New Roman" w:hAnsi="Times New Roman"/>
          <w:w w:val="120"/>
          <w:sz w:val="19"/>
        </w:rPr>
        <w:t> 100</w:t>
      </w:r>
      <w:r>
        <w:rPr>
          <w:rFonts w:ascii="Symbol" w:hAnsi="Symbol"/>
          <w:w w:val="120"/>
          <w:sz w:val="19"/>
        </w:rPr>
        <w:t></w:t>
      </w:r>
      <w:r>
        <w:rPr>
          <w:rFonts w:ascii="Symbol" w:hAnsi="Symbol"/>
          <w:w w:val="120"/>
          <w:position w:val="10"/>
          <w:sz w:val="19"/>
        </w:rPr>
        <w:t></w:t>
      </w:r>
    </w:p>
    <w:p>
      <w:pPr>
        <w:pStyle w:val="BodyText"/>
        <w:spacing w:before="7"/>
        <w:rPr>
          <w:rFonts w:ascii="Symbol" w:hAnsi="Symbol"/>
          <w:sz w:val="27"/>
        </w:rPr>
      </w:pPr>
      <w:r>
        <w:rPr/>
        <w:br w:type="column"/>
      </w:r>
      <w:r>
        <w:rPr>
          <w:rFonts w:ascii="Symbol" w:hAnsi="Symbol"/>
          <w:sz w:val="27"/>
        </w:rPr>
      </w:r>
    </w:p>
    <w:p>
      <w:pPr>
        <w:spacing w:before="0"/>
        <w:ind w:left="149" w:right="-3" w:firstLine="0"/>
        <w:jc w:val="left"/>
        <w:rPr>
          <w:rFonts w:ascii="Times New Roman"/>
          <w:sz w:val="11"/>
        </w:rPr>
      </w:pPr>
      <w:r>
        <w:rPr>
          <w:rFonts w:ascii="Times New Roman"/>
          <w:w w:val="115"/>
          <w:position w:val="5"/>
          <w:sz w:val="19"/>
        </w:rPr>
        <w:t>PA</w:t>
      </w:r>
      <w:r>
        <w:rPr>
          <w:rFonts w:ascii="Times New Roman"/>
          <w:w w:val="115"/>
          <w:sz w:val="11"/>
        </w:rPr>
        <w:t>(i)</w:t>
      </w:r>
    </w:p>
    <w:p>
      <w:pPr>
        <w:spacing w:line="102" w:lineRule="exact" w:before="23"/>
        <w:ind w:left="106" w:right="-3" w:firstLine="0"/>
        <w:jc w:val="left"/>
        <w:rPr>
          <w:rFonts w:ascii="Times New Roman"/>
          <w:i/>
          <w:sz w:val="11"/>
        </w:rPr>
      </w:pPr>
      <w:r>
        <w:rPr>
          <w:rFonts w:ascii="Times New Roman"/>
          <w:i/>
          <w:w w:val="120"/>
          <w:sz w:val="11"/>
        </w:rPr>
        <w:t>nj</w:t>
      </w:r>
    </w:p>
    <w:p>
      <w:pPr>
        <w:spacing w:line="177" w:lineRule="exact" w:before="69"/>
        <w:ind w:left="160" w:right="0" w:firstLine="0"/>
        <w:jc w:val="left"/>
        <w:rPr>
          <w:rFonts w:ascii="Symbol" w:hAnsi="Symbol"/>
          <w:sz w:val="19"/>
        </w:rPr>
      </w:pPr>
      <w:r>
        <w:rPr/>
        <w:br w:type="column"/>
      </w:r>
      <w:r>
        <w:rPr>
          <w:rFonts w:ascii="Symbol" w:hAnsi="Symbol"/>
          <w:w w:val="120"/>
          <w:sz w:val="19"/>
        </w:rPr>
        <w:t></w:t>
      </w:r>
    </w:p>
    <w:p>
      <w:pPr>
        <w:spacing w:line="149" w:lineRule="exact" w:before="0"/>
        <w:ind w:left="160" w:right="0" w:firstLine="0"/>
        <w:jc w:val="left"/>
        <w:rPr>
          <w:rFonts w:ascii="Symbol" w:hAnsi="Symbol"/>
          <w:sz w:val="19"/>
        </w:rPr>
      </w:pPr>
      <w:r>
        <w:rPr>
          <w:rFonts w:ascii="Symbol" w:hAnsi="Symbol"/>
          <w:w w:val="118"/>
          <w:sz w:val="19"/>
        </w:rPr>
        <w:t></w:t>
      </w:r>
    </w:p>
    <w:p>
      <w:pPr>
        <w:tabs>
          <w:tab w:pos="447" w:val="left" w:leader="none"/>
        </w:tabs>
        <w:spacing w:line="318" w:lineRule="exact" w:before="0"/>
        <w:ind w:left="160" w:right="0" w:firstLine="0"/>
        <w:jc w:val="left"/>
        <w:rPr>
          <w:rFonts w:ascii="Symbol" w:hAnsi="Symbol"/>
          <w:sz w:val="25"/>
        </w:rPr>
      </w:pPr>
      <w:r>
        <w:rPr/>
        <w:pict>
          <v:line style="position:absolute;mso-position-horizontal-relative:page;mso-position-vertical-relative:paragraph;z-index:-330160" from="316.045715pt,11.07745pt" to="353.736486pt,11.077457pt" stroked="true" strokeweight=".108395pt" strokecolor="#000000">
            <w10:wrap type="none"/>
          </v:line>
        </w:pict>
      </w:r>
      <w:r>
        <w:rPr/>
        <w:pict>
          <v:shape style="position:absolute;margin-left:354.735779pt;margin-top:9.389729pt;width:4.350pt;height:9.75pt;mso-position-horizontal-relative:page;mso-position-vertical-relative:paragraph;z-index:-330112" type="#_x0000_t202" filled="false" stroked="false">
            <v:textbox inset="0,0,0,0">
              <w:txbxContent>
                <w:p>
                  <w:pPr>
                    <w:spacing w:line="194" w:lineRule="exact" w:before="0"/>
                    <w:ind w:left="0" w:right="0" w:firstLine="0"/>
                    <w:jc w:val="left"/>
                    <w:rPr>
                      <w:rFonts w:ascii="Symbol" w:hAnsi="Symbol"/>
                      <w:sz w:val="19"/>
                    </w:rPr>
                  </w:pPr>
                  <w:r>
                    <w:rPr>
                      <w:rFonts w:ascii="Symbol" w:hAnsi="Symbol"/>
                      <w:w w:val="118"/>
                      <w:sz w:val="19"/>
                    </w:rPr>
                    <w:t></w:t>
                  </w:r>
                </w:p>
              </w:txbxContent>
            </v:textbox>
            <w10:wrap type="none"/>
          </v:shape>
        </w:pict>
      </w:r>
      <w:r>
        <w:rPr>
          <w:rFonts w:ascii="Symbol" w:hAnsi="Symbol"/>
          <w:w w:val="110"/>
          <w:position w:val="10"/>
          <w:sz w:val="19"/>
        </w:rPr>
        <w:t></w:t>
      </w:r>
      <w:r>
        <w:rPr>
          <w:rFonts w:ascii="Times New Roman" w:hAnsi="Times New Roman"/>
          <w:w w:val="110"/>
          <w:position w:val="10"/>
          <w:sz w:val="19"/>
        </w:rPr>
        <w:tab/>
      </w:r>
      <w:r>
        <w:rPr>
          <w:rFonts w:ascii="Symbol" w:hAnsi="Symbol"/>
          <w:spacing w:val="-11"/>
          <w:w w:val="110"/>
          <w:sz w:val="25"/>
        </w:rPr>
        <w:t></w:t>
      </w:r>
      <w:r>
        <w:rPr>
          <w:rFonts w:ascii="Times New Roman" w:hAnsi="Times New Roman"/>
          <w:spacing w:val="-11"/>
          <w:w w:val="110"/>
          <w:sz w:val="19"/>
        </w:rPr>
        <w:t>13</w:t>
      </w:r>
      <w:r>
        <w:rPr>
          <w:rFonts w:ascii="Symbol" w:hAnsi="Symbol"/>
          <w:spacing w:val="-11"/>
          <w:w w:val="110"/>
          <w:sz w:val="25"/>
        </w:rPr>
        <w:t></w:t>
      </w:r>
    </w:p>
    <w:p>
      <w:pPr>
        <w:spacing w:after="0" w:line="318" w:lineRule="exact"/>
        <w:jc w:val="left"/>
        <w:rPr>
          <w:rFonts w:ascii="Symbol" w:hAnsi="Symbol"/>
          <w:sz w:val="25"/>
        </w:rPr>
        <w:sectPr>
          <w:type w:val="continuous"/>
          <w:pgSz w:w="12240" w:h="15840"/>
          <w:pgMar w:top="3080" w:bottom="2780" w:left="1440" w:right="1460"/>
          <w:cols w:num="4" w:equalWidth="0">
            <w:col w:w="4132" w:space="40"/>
            <w:col w:w="679" w:space="40"/>
            <w:col w:w="565" w:space="40"/>
            <w:col w:w="3844"/>
          </w:cols>
        </w:sectPr>
      </w:pPr>
    </w:p>
    <w:p>
      <w:pPr>
        <w:spacing w:line="245" w:lineRule="exact" w:before="0"/>
        <w:ind w:left="1164" w:right="0" w:firstLine="0"/>
        <w:jc w:val="center"/>
        <w:rPr>
          <w:rFonts w:ascii="Symbol" w:hAnsi="Symbol"/>
          <w:sz w:val="19"/>
        </w:rPr>
      </w:pPr>
      <w:r>
        <w:rPr>
          <w:rFonts w:ascii="Symbol" w:hAnsi="Symbol"/>
          <w:w w:val="118"/>
          <w:position w:val="4"/>
          <w:sz w:val="19"/>
        </w:rPr>
        <w:t></w:t>
      </w:r>
      <w:r>
        <w:rPr>
          <w:rFonts w:ascii="Times New Roman" w:hAnsi="Times New Roman"/>
          <w:position w:val="4"/>
          <w:sz w:val="19"/>
        </w:rPr>
        <w:t> </w:t>
      </w:r>
      <w:r>
        <w:rPr>
          <w:rFonts w:ascii="Times New Roman" w:hAnsi="Times New Roman"/>
          <w:spacing w:val="-13"/>
          <w:position w:val="4"/>
          <w:sz w:val="19"/>
        </w:rPr>
        <w:t> </w:t>
      </w:r>
      <w:r>
        <w:rPr>
          <w:rFonts w:ascii="Symbol" w:hAnsi="Symbol"/>
          <w:spacing w:val="16"/>
          <w:w w:val="116"/>
          <w:sz w:val="29"/>
        </w:rPr>
        <w:t></w:t>
      </w:r>
      <w:r>
        <w:rPr>
          <w:rFonts w:ascii="Times New Roman" w:hAnsi="Times New Roman"/>
          <w:spacing w:val="-2"/>
          <w:w w:val="118"/>
          <w:position w:val="5"/>
          <w:sz w:val="19"/>
        </w:rPr>
        <w:t>P</w:t>
      </w:r>
      <w:r>
        <w:rPr>
          <w:rFonts w:ascii="Times New Roman" w:hAnsi="Times New Roman"/>
          <w:spacing w:val="-1"/>
          <w:w w:val="118"/>
          <w:position w:val="5"/>
          <w:sz w:val="19"/>
        </w:rPr>
        <w:t>A</w:t>
      </w:r>
      <w:r>
        <w:rPr>
          <w:rFonts w:ascii="Times New Roman" w:hAnsi="Times New Roman"/>
          <w:spacing w:val="-2"/>
          <w:w w:val="119"/>
          <w:sz w:val="11"/>
        </w:rPr>
        <w:t>(</w:t>
      </w:r>
      <w:r>
        <w:rPr>
          <w:rFonts w:ascii="Times New Roman" w:hAnsi="Times New Roman"/>
          <w:spacing w:val="5"/>
          <w:w w:val="119"/>
          <w:sz w:val="11"/>
        </w:rPr>
        <w:t>i</w:t>
      </w:r>
      <w:r>
        <w:rPr>
          <w:rFonts w:ascii="Times New Roman" w:hAnsi="Times New Roman"/>
          <w:w w:val="119"/>
          <w:sz w:val="11"/>
        </w:rPr>
        <w:t>)</w:t>
      </w:r>
      <w:r>
        <w:rPr>
          <w:rFonts w:ascii="Times New Roman" w:hAnsi="Times New Roman"/>
          <w:sz w:val="11"/>
        </w:rPr>
        <w:t> </w:t>
      </w:r>
      <w:r>
        <w:rPr>
          <w:rFonts w:ascii="Times New Roman" w:hAnsi="Times New Roman"/>
          <w:spacing w:val="-6"/>
          <w:sz w:val="11"/>
        </w:rPr>
        <w:t> </w:t>
      </w:r>
      <w:r>
        <w:rPr>
          <w:rFonts w:ascii="Symbol" w:hAnsi="Symbol"/>
          <w:w w:val="118"/>
          <w:position w:val="4"/>
          <w:sz w:val="19"/>
        </w:rPr>
        <w:t></w:t>
      </w:r>
    </w:p>
    <w:p>
      <w:pPr>
        <w:tabs>
          <w:tab w:pos="2056" w:val="left" w:leader="none"/>
        </w:tabs>
        <w:spacing w:line="203" w:lineRule="exact" w:before="0"/>
        <w:ind w:left="1164" w:right="0" w:firstLine="0"/>
        <w:jc w:val="center"/>
        <w:rPr>
          <w:rFonts w:ascii="Symbol" w:hAnsi="Symbol"/>
          <w:sz w:val="19"/>
        </w:rPr>
      </w:pPr>
      <w:r>
        <w:rPr>
          <w:rFonts w:ascii="Symbol" w:hAnsi="Symbol"/>
          <w:w w:val="120"/>
          <w:position w:val="-2"/>
          <w:sz w:val="19"/>
        </w:rPr>
        <w:t></w:t>
      </w:r>
      <w:r>
        <w:rPr>
          <w:rFonts w:ascii="Times New Roman" w:hAnsi="Times New Roman"/>
          <w:spacing w:val="-17"/>
          <w:w w:val="120"/>
          <w:position w:val="-2"/>
          <w:sz w:val="19"/>
        </w:rPr>
        <w:t> </w:t>
      </w:r>
      <w:r>
        <w:rPr>
          <w:rFonts w:ascii="Times New Roman" w:hAnsi="Times New Roman"/>
          <w:w w:val="120"/>
          <w:sz w:val="11"/>
        </w:rPr>
        <w:t>m</w:t>
      </w:r>
      <w:r>
        <w:rPr>
          <w:rFonts w:ascii="Times New Roman" w:hAnsi="Times New Roman"/>
          <w:w w:val="120"/>
          <w:position w:val="-2"/>
          <w:sz w:val="8"/>
        </w:rPr>
        <w:t>i</w:t>
      </w:r>
      <w:r>
        <w:rPr>
          <w:rFonts w:ascii="Symbol" w:hAnsi="Symbol"/>
          <w:w w:val="120"/>
          <w:sz w:val="11"/>
        </w:rPr>
        <w:t></w:t>
      </w:r>
      <w:r>
        <w:rPr>
          <w:rFonts w:ascii="Times New Roman" w:hAnsi="Times New Roman"/>
          <w:w w:val="120"/>
          <w:sz w:val="11"/>
        </w:rPr>
        <w:t>cj</w:t>
        <w:tab/>
      </w:r>
      <w:r>
        <w:rPr>
          <w:rFonts w:ascii="Symbol" w:hAnsi="Symbol"/>
          <w:w w:val="120"/>
          <w:position w:val="-2"/>
          <w:sz w:val="19"/>
        </w:rPr>
        <w:t></w:t>
      </w:r>
    </w:p>
    <w:p>
      <w:pPr>
        <w:pStyle w:val="BodyText"/>
        <w:rPr>
          <w:rFonts w:ascii="Symbol" w:hAnsi="Symbol"/>
          <w:sz w:val="20"/>
        </w:rPr>
      </w:pPr>
    </w:p>
    <w:p>
      <w:pPr>
        <w:pStyle w:val="ListParagraph"/>
        <w:numPr>
          <w:ilvl w:val="2"/>
          <w:numId w:val="12"/>
        </w:numPr>
        <w:tabs>
          <w:tab w:pos="909" w:val="left" w:leader="none"/>
        </w:tabs>
        <w:spacing w:line="240" w:lineRule="auto" w:before="191" w:after="0"/>
        <w:ind w:left="908" w:right="0" w:hanging="649"/>
        <w:jc w:val="left"/>
        <w:rPr>
          <w:sz w:val="24"/>
        </w:rPr>
      </w:pPr>
      <w:r>
        <w:rPr>
          <w:b/>
          <w:sz w:val="24"/>
        </w:rPr>
        <w:t>Especificación de procedimientos experimentales</w:t>
      </w:r>
      <w:r>
        <w:rPr>
          <w:b/>
          <w:spacing w:val="-21"/>
          <w:sz w:val="24"/>
        </w:rPr>
        <w:t> </w:t>
      </w:r>
      <w:r>
        <w:rPr>
          <w:b/>
          <w:sz w:val="24"/>
        </w:rPr>
        <w:t>2</w:t>
      </w:r>
      <w:r>
        <w:rPr>
          <w:sz w:val="24"/>
        </w:rPr>
        <w:t>.</w:t>
      </w:r>
    </w:p>
    <w:p>
      <w:pPr>
        <w:pStyle w:val="BodyText"/>
        <w:spacing w:before="4"/>
        <w:rPr>
          <w:sz w:val="35"/>
        </w:rPr>
      </w:pPr>
    </w:p>
    <w:p>
      <w:pPr>
        <w:pStyle w:val="BodyText"/>
        <w:spacing w:line="360" w:lineRule="auto" w:before="1"/>
        <w:ind w:left="259" w:right="234" w:firstLine="283"/>
        <w:jc w:val="both"/>
      </w:pPr>
      <w:r>
        <w:rPr/>
        <w:t>Este estudio se realizó para evaluar el efecto de diversos ω-6 exógenos / ω-3 proporciones sobre el metabolismo biohidrogenación del microbioma microbiana. Los ω-6 y ω-3 PUFAs, ácido linoleico (LA, L1376-5g, Sigma-Aldrich) y el ácido α-linolénico (ALA, L2376-500mg, Sigma-Aldrich) con un importe total de 100 mg / g en sustratos , se establecieron como las proporciones de 100: 0, 90:10, 80:20, 66:33, 50:50 y 20:80, respectivamente.</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40" w:firstLine="283"/>
        <w:jc w:val="both"/>
      </w:pPr>
      <w:r>
        <w:rPr/>
        <w:t>Componentes de los alimentos utilizados para alimentar a los animales fueron los mismos que los utilizados en el experimento 1. Todas las muestras de lípidos de fermentación se extrae con una mezcla de cloroformo-metanol (2: 1, v / v) a partir de fracciones bacterianas y protozoarias (Folch et al, 1957). fueron catalizadas con la metilación de base (TMSD, en este documento) (O-Rashid et al., 2007). LCFA perfiles extraídos de fracciones bacterianas y protozoarias y los perfiles de AGV se determinaron para calcular IPA (%), y también se calculó la concentración (mM) de  los perfiles de</w:t>
      </w:r>
      <w:r>
        <w:rPr>
          <w:spacing w:val="-7"/>
        </w:rPr>
        <w:t> </w:t>
      </w:r>
      <w:r>
        <w:rPr/>
        <w:t>VFA.</w:t>
      </w:r>
    </w:p>
    <w:p>
      <w:pPr>
        <w:pStyle w:val="BodyText"/>
        <w:spacing w:before="9"/>
        <w:rPr>
          <w:sz w:val="23"/>
        </w:rPr>
      </w:pPr>
    </w:p>
    <w:p>
      <w:pPr>
        <w:pStyle w:val="ListParagraph"/>
        <w:numPr>
          <w:ilvl w:val="1"/>
          <w:numId w:val="13"/>
        </w:numPr>
        <w:tabs>
          <w:tab w:pos="712" w:val="left" w:leader="none"/>
        </w:tabs>
        <w:spacing w:line="240" w:lineRule="auto" w:before="0" w:after="0"/>
        <w:ind w:left="711" w:right="0" w:hanging="452"/>
        <w:jc w:val="left"/>
        <w:rPr>
          <w:b/>
          <w:sz w:val="24"/>
        </w:rPr>
      </w:pPr>
      <w:r>
        <w:rPr>
          <w:b/>
          <w:sz w:val="24"/>
        </w:rPr>
        <w:t>Sección</w:t>
      </w:r>
      <w:r>
        <w:rPr>
          <w:b/>
          <w:spacing w:val="-15"/>
          <w:sz w:val="24"/>
        </w:rPr>
        <w:t> </w:t>
      </w:r>
      <w:r>
        <w:rPr>
          <w:b/>
          <w:sz w:val="24"/>
        </w:rPr>
        <w:t>teórica</w:t>
      </w:r>
    </w:p>
    <w:p>
      <w:pPr>
        <w:pStyle w:val="BodyText"/>
        <w:spacing w:before="9"/>
        <w:rPr>
          <w:b/>
          <w:sz w:val="35"/>
        </w:rPr>
      </w:pPr>
    </w:p>
    <w:p>
      <w:pPr>
        <w:pStyle w:val="ListParagraph"/>
        <w:numPr>
          <w:ilvl w:val="2"/>
          <w:numId w:val="13"/>
        </w:numPr>
        <w:tabs>
          <w:tab w:pos="912" w:val="left" w:leader="none"/>
        </w:tabs>
        <w:spacing w:line="240" w:lineRule="auto" w:before="0" w:after="0"/>
        <w:ind w:left="911" w:right="0" w:hanging="652"/>
        <w:jc w:val="left"/>
        <w:rPr>
          <w:sz w:val="24"/>
        </w:rPr>
      </w:pPr>
      <w:r>
        <w:rPr>
          <w:b/>
          <w:sz w:val="24"/>
        </w:rPr>
        <w:t>Workflow used for PT-LFER Estudio</w:t>
      </w:r>
      <w:r>
        <w:rPr>
          <w:b/>
          <w:spacing w:val="-23"/>
          <w:sz w:val="24"/>
        </w:rPr>
        <w:t> </w:t>
      </w:r>
      <w:r>
        <w:rPr>
          <w:b/>
          <w:sz w:val="24"/>
        </w:rPr>
        <w:t>quimioinformática</w:t>
      </w:r>
      <w:r>
        <w:rPr>
          <w:sz w:val="24"/>
        </w:rPr>
        <w:t>.</w:t>
      </w:r>
    </w:p>
    <w:p>
      <w:pPr>
        <w:pStyle w:val="BodyText"/>
        <w:spacing w:before="4"/>
        <w:rPr>
          <w:sz w:val="35"/>
        </w:rPr>
      </w:pPr>
    </w:p>
    <w:p>
      <w:pPr>
        <w:pStyle w:val="BodyText"/>
        <w:spacing w:line="360" w:lineRule="auto"/>
        <w:ind w:left="259" w:right="238" w:firstLine="283"/>
        <w:jc w:val="both"/>
      </w:pPr>
      <w:r>
        <w:rPr/>
        <w:t>En la segunda sección, un estudio Quimioinformática de los resultados obtenidos  en la sección experimental se llevó a cabo. Fig. 2 muestra el diagrama de flujo de trabajo que establece la integración de ambas secciones (experimentales y teóricos). Para el análisis, los valores de los datos cromatográficos sobre IPA (%) de ácidos grasos se recogieron bajo diferentes </w:t>
      </w:r>
      <w:r>
        <w:rPr>
          <w:spacing w:val="3"/>
        </w:rPr>
        <w:t>ω-6 </w:t>
      </w:r>
      <w:r>
        <w:rPr/>
        <w:t>/ ω-3 ratios y condiciones experimentales cj. A continuación, definimos el modelo PT-LFER. Después de eso, se calcularon los valores de las variables de entrada, incluyendo descriptores moleculares (IVK) </w:t>
      </w:r>
      <w:r>
        <w:rPr>
          <w:spacing w:val="2"/>
        </w:rPr>
        <w:t>de </w:t>
      </w:r>
      <w:r>
        <w:rPr/>
        <w:t>la clase de orden k para cada ITH molécula de ácido graso, y los operadores de perturbación ΔΔVk (cj). Después de que se realizó el análisis estadístico y obtuvimos  el</w:t>
      </w:r>
      <w:r>
        <w:rPr>
          <w:spacing w:val="-1"/>
        </w:rPr>
        <w:t> </w:t>
      </w:r>
      <w:r>
        <w:rPr/>
        <w:t>modelo</w:t>
      </w:r>
      <w:r>
        <w:rPr>
          <w:spacing w:val="-1"/>
        </w:rPr>
        <w:t> </w:t>
      </w:r>
      <w:r>
        <w:rPr/>
        <w:t>PT-LFER.</w:t>
      </w:r>
      <w:r>
        <w:rPr>
          <w:spacing w:val="-4"/>
        </w:rPr>
        <w:t> </w:t>
      </w:r>
      <w:r>
        <w:rPr/>
        <w:t>En</w:t>
      </w:r>
      <w:r>
        <w:rPr>
          <w:spacing w:val="-3"/>
        </w:rPr>
        <w:t> </w:t>
      </w:r>
      <w:r>
        <w:rPr/>
        <w:t>la</w:t>
      </w:r>
      <w:r>
        <w:rPr>
          <w:spacing w:val="-5"/>
        </w:rPr>
        <w:t> </w:t>
      </w:r>
      <w:r>
        <w:rPr/>
        <w:t>siguiente</w:t>
      </w:r>
      <w:r>
        <w:rPr>
          <w:spacing w:val="-4"/>
        </w:rPr>
        <w:t> </w:t>
      </w:r>
      <w:r>
        <w:rPr/>
        <w:t>manera,</w:t>
      </w:r>
      <w:r>
        <w:rPr>
          <w:spacing w:val="-4"/>
        </w:rPr>
        <w:t> </w:t>
      </w:r>
      <w:r>
        <w:rPr/>
        <w:t>más</w:t>
      </w:r>
      <w:r>
        <w:rPr>
          <w:spacing w:val="-5"/>
        </w:rPr>
        <w:t> </w:t>
      </w:r>
      <w:r>
        <w:rPr/>
        <w:t>detalles</w:t>
      </w:r>
      <w:r>
        <w:rPr>
          <w:spacing w:val="-5"/>
        </w:rPr>
        <w:t> </w:t>
      </w:r>
      <w:r>
        <w:rPr/>
        <w:t>se</w:t>
      </w:r>
      <w:r>
        <w:rPr>
          <w:spacing w:val="-4"/>
        </w:rPr>
        <w:t> </w:t>
      </w:r>
      <w:r>
        <w:rPr/>
        <w:t>explican</w:t>
      </w:r>
      <w:r>
        <w:rPr>
          <w:spacing w:val="-3"/>
        </w:rPr>
        <w:t> </w:t>
      </w:r>
      <w:r>
        <w:rPr/>
        <w:t>en</w:t>
      </w:r>
      <w:r>
        <w:rPr>
          <w:spacing w:val="2"/>
        </w:rPr>
        <w:t> </w:t>
      </w:r>
      <w:r>
        <w:rPr/>
        <w:t>algunos</w:t>
      </w:r>
      <w:r>
        <w:rPr>
          <w:spacing w:val="-5"/>
        </w:rPr>
        <w:t> </w:t>
      </w:r>
      <w:r>
        <w:rPr/>
        <w:t>pasos.</w:t>
      </w:r>
    </w:p>
    <w:p>
      <w:pPr>
        <w:spacing w:after="0" w:line="360" w:lineRule="auto"/>
        <w:jc w:val="both"/>
        <w:sectPr>
          <w:pgSz w:w="12240" w:h="15840"/>
          <w:pgMar w:header="684" w:footer="1164" w:top="1380" w:bottom="1380" w:left="1440" w:right="1460"/>
        </w:sectPr>
      </w:pPr>
    </w:p>
    <w:p>
      <w:pPr>
        <w:pStyle w:val="BodyText"/>
        <w:spacing w:before="5"/>
        <w:rPr>
          <w:sz w:val="21"/>
        </w:rPr>
      </w:pPr>
    </w:p>
    <w:p>
      <w:pPr>
        <w:pStyle w:val="BodyText"/>
        <w:ind w:left="802"/>
        <w:rPr>
          <w:sz w:val="20"/>
        </w:rPr>
      </w:pPr>
      <w:r>
        <w:rPr>
          <w:sz w:val="20"/>
        </w:rPr>
        <w:drawing>
          <wp:inline distT="0" distB="0" distL="0" distR="0">
            <wp:extent cx="4939437" cy="2778632"/>
            <wp:effectExtent l="0" t="0" r="0" b="0"/>
            <wp:docPr id="65" name="image30.jpeg" descr=""/>
            <wp:cNvGraphicFramePr>
              <a:graphicFrameLocks noChangeAspect="1"/>
            </wp:cNvGraphicFramePr>
            <a:graphic>
              <a:graphicData uri="http://schemas.openxmlformats.org/drawingml/2006/picture">
                <pic:pic>
                  <pic:nvPicPr>
                    <pic:cNvPr id="66" name="image30.jpeg"/>
                    <pic:cNvPicPr/>
                  </pic:nvPicPr>
                  <pic:blipFill>
                    <a:blip r:embed="rId65" cstate="print"/>
                    <a:stretch>
                      <a:fillRect/>
                    </a:stretch>
                  </pic:blipFill>
                  <pic:spPr>
                    <a:xfrm>
                      <a:off x="0" y="0"/>
                      <a:ext cx="4939437" cy="2778632"/>
                    </a:xfrm>
                    <a:prstGeom prst="rect">
                      <a:avLst/>
                    </a:prstGeom>
                  </pic:spPr>
                </pic:pic>
              </a:graphicData>
            </a:graphic>
          </wp:inline>
        </w:drawing>
      </w:r>
      <w:r>
        <w:rPr>
          <w:sz w:val="20"/>
        </w:rPr>
      </w:r>
    </w:p>
    <w:p>
      <w:pPr>
        <w:pStyle w:val="BodyText"/>
        <w:spacing w:before="2"/>
        <w:rPr>
          <w:sz w:val="29"/>
        </w:rPr>
      </w:pPr>
    </w:p>
    <w:p>
      <w:pPr>
        <w:pStyle w:val="BodyText"/>
        <w:spacing w:before="67"/>
        <w:ind w:left="1950"/>
      </w:pPr>
      <w:r>
        <w:rPr>
          <w:b/>
        </w:rPr>
        <w:t>Fig. 2 </w:t>
      </w:r>
      <w:r>
        <w:rPr/>
        <w:t>Workflow used herein to seek PT-LFER models</w:t>
      </w:r>
    </w:p>
    <w:p>
      <w:pPr>
        <w:pStyle w:val="BodyText"/>
        <w:spacing w:before="9"/>
        <w:rPr>
          <w:sz w:val="35"/>
        </w:rPr>
      </w:pPr>
    </w:p>
    <w:p>
      <w:pPr>
        <w:pStyle w:val="ListParagraph"/>
        <w:numPr>
          <w:ilvl w:val="2"/>
          <w:numId w:val="13"/>
        </w:numPr>
        <w:tabs>
          <w:tab w:pos="913" w:val="left" w:leader="none"/>
        </w:tabs>
        <w:spacing w:line="240" w:lineRule="auto" w:before="0" w:after="0"/>
        <w:ind w:left="913" w:right="0" w:hanging="654"/>
        <w:jc w:val="left"/>
        <w:rPr>
          <w:sz w:val="24"/>
        </w:rPr>
      </w:pPr>
      <w:r>
        <w:rPr>
          <w:b/>
          <w:sz w:val="24"/>
        </w:rPr>
        <w:t>Detalles teóricos de modelos</w:t>
      </w:r>
      <w:r>
        <w:rPr>
          <w:b/>
          <w:spacing w:val="-19"/>
          <w:sz w:val="24"/>
        </w:rPr>
        <w:t> </w:t>
      </w:r>
      <w:r>
        <w:rPr>
          <w:b/>
          <w:sz w:val="24"/>
        </w:rPr>
        <w:t>PT-LFER</w:t>
      </w:r>
      <w:r>
        <w:rPr>
          <w:sz w:val="24"/>
        </w:rPr>
        <w:t>.</w:t>
      </w:r>
    </w:p>
    <w:p>
      <w:pPr>
        <w:pStyle w:val="BodyText"/>
        <w:spacing w:before="4"/>
        <w:rPr>
          <w:sz w:val="35"/>
        </w:rPr>
      </w:pPr>
    </w:p>
    <w:p>
      <w:pPr>
        <w:pStyle w:val="BodyText"/>
        <w:spacing w:line="360" w:lineRule="auto"/>
        <w:ind w:left="259" w:right="231" w:firstLine="283"/>
        <w:jc w:val="both"/>
      </w:pPr>
      <w:r>
        <w:rPr/>
        <w:t>En un estudio reciente, González-Díaz et al. (González-Díaz et al., 2013) ha formulado un modelo PT-propósito general para múltiples-frontera problemas Quimioinformática. En este trabajo, esta teoría se extiende al estudio de los modelos PT-LFER de perturbaciones en redes complejas. Dejado ser una función general f (Lnr) útil para cuantificar la ocurrencia (Lnr = 1) o </w:t>
      </w:r>
      <w:r>
        <w:rPr>
          <w:spacing w:val="-3"/>
        </w:rPr>
        <w:t>no </w:t>
      </w:r>
      <w:r>
        <w:rPr/>
        <w:t>(Lnr = 0) de un proceso que </w:t>
      </w:r>
      <w:r>
        <w:rPr>
          <w:spacing w:val="2"/>
        </w:rPr>
        <w:t>implica </w:t>
      </w:r>
      <w:r>
        <w:rPr/>
        <w:t>un conjunto de moléculas de (mi) en un sistema complejo. Se considera que todos los posibles estados forman una red de estados. Los nodos de la red son los estados iniciales o de referencia (r) vinculados a sus respectivos estados finales o nuevos </w:t>
      </w:r>
      <w:r>
        <w:rPr>
          <w:spacing w:val="3"/>
        </w:rPr>
        <w:t>(n) </w:t>
      </w:r>
      <w:r>
        <w:rPr/>
        <w:t>alcanzado por el sistema después de una perturbación de las condiciones iniciales. Se separa en un conjunto de múltiples condiciones de contorno experimentales iniciales refcj ≡ (c0, c1, c2, c3 ... cn) (condiciones de referencia) y un conjunto de condiciones de contorno newcj ≡ (c0, c1, c2, c3 ... cn diferente o nuevo ) (condiciones de nuevo) después de uno o múltiples perturbaciones (cambios en estas condiciones). El modelo PT-LFER propuesto en este documento es una ecuación lineal con el siguiente formulario:</w:t>
      </w:r>
    </w:p>
    <w:p>
      <w:pPr>
        <w:spacing w:after="0" w:line="360" w:lineRule="auto"/>
        <w:jc w:val="both"/>
        <w:sectPr>
          <w:pgSz w:w="12240" w:h="15840"/>
          <w:pgMar w:header="684" w:footer="1164" w:top="1380" w:bottom="1380" w:left="1440" w:right="1460"/>
        </w:sectPr>
      </w:pPr>
    </w:p>
    <w:p>
      <w:pPr>
        <w:pStyle w:val="BodyText"/>
        <w:spacing w:before="4"/>
        <w:rPr>
          <w:sz w:val="16"/>
        </w:rPr>
      </w:pPr>
    </w:p>
    <w:p>
      <w:pPr>
        <w:spacing w:line="73" w:lineRule="exact" w:before="78"/>
        <w:ind w:left="5578" w:right="0" w:firstLine="0"/>
        <w:jc w:val="left"/>
        <w:rPr>
          <w:rFonts w:ascii="Times New Roman" w:hAnsi="Times New Roman"/>
          <w:sz w:val="13"/>
        </w:rPr>
      </w:pPr>
      <w:r>
        <w:rPr>
          <w:rFonts w:ascii="Times New Roman" w:hAnsi="Times New Roman"/>
          <w:w w:val="110"/>
          <w:sz w:val="13"/>
        </w:rPr>
        <w:t>j</w:t>
      </w:r>
      <w:r>
        <w:rPr>
          <w:rFonts w:ascii="Symbol" w:hAnsi="Symbol"/>
          <w:w w:val="110"/>
          <w:sz w:val="13"/>
        </w:rPr>
        <w:t></w:t>
      </w:r>
      <w:r>
        <w:rPr>
          <w:rFonts w:ascii="Times New Roman" w:hAnsi="Times New Roman"/>
          <w:w w:val="110"/>
          <w:sz w:val="13"/>
        </w:rPr>
        <w:t> jmax, k</w:t>
      </w:r>
      <w:r>
        <w:rPr>
          <w:rFonts w:ascii="Symbol" w:hAnsi="Symbol"/>
          <w:w w:val="110"/>
          <w:sz w:val="13"/>
        </w:rPr>
        <w:t></w:t>
      </w:r>
      <w:r>
        <w:rPr>
          <w:rFonts w:ascii="Times New Roman" w:hAnsi="Times New Roman"/>
          <w:w w:val="110"/>
          <w:sz w:val="13"/>
        </w:rPr>
        <w:t>kmax</w:t>
      </w:r>
    </w:p>
    <w:p>
      <w:pPr>
        <w:spacing w:after="0" w:line="73" w:lineRule="exact"/>
        <w:jc w:val="left"/>
        <w:rPr>
          <w:rFonts w:ascii="Times New Roman" w:hAnsi="Times New Roman"/>
          <w:sz w:val="13"/>
        </w:rPr>
        <w:sectPr>
          <w:pgSz w:w="12240" w:h="15840"/>
          <w:pgMar w:header="684" w:footer="1164" w:top="1380" w:bottom="1380" w:left="1440" w:right="1460"/>
        </w:sectPr>
      </w:pPr>
    </w:p>
    <w:p>
      <w:pPr>
        <w:tabs>
          <w:tab w:pos="2349" w:val="left" w:leader="none"/>
        </w:tabs>
        <w:spacing w:line="67" w:lineRule="exact" w:before="0"/>
        <w:ind w:left="1402" w:right="0" w:firstLine="0"/>
        <w:jc w:val="left"/>
        <w:rPr>
          <w:rFonts w:ascii="Times New Roman" w:hAnsi="Times New Roman"/>
          <w:sz w:val="22"/>
        </w:rPr>
      </w:pPr>
      <w:r>
        <w:rPr/>
        <w:pict>
          <v:shape style="position:absolute;margin-left:159.619995pt;margin-top:679.290527pt;width:2.9pt;height:17.150pt;mso-position-horizontal-relative:page;mso-position-vertical-relative:paragraph;z-index:2176" coordorigin="3192,13586" coordsize="58,343" path="m6039,91l5981,245m5981,246l6039,402e" filled="false" stroked="true" strokeweight=".133145pt" strokecolor="#000000">
            <v:path arrowok="t"/>
            <w10:wrap type="none"/>
          </v:shape>
        </w:pict>
      </w:r>
      <w:r>
        <w:rPr/>
        <w:pict>
          <v:shape style="position:absolute;margin-left:186.149994pt;margin-top:679.290527pt;width:2.9pt;height:17.150pt;mso-position-horizontal-relative:page;mso-position-vertical-relative:paragraph;z-index:2200" coordorigin="3723,13586" coordsize="58,343" path="m6508,91l6566,245m6566,246l6508,402e" filled="false" stroked="true" strokeweight=".133145pt" strokecolor="#000000">
            <v:path arrowok="t"/>
            <w10:wrap type="none"/>
          </v:shape>
        </w:pict>
      </w:r>
      <w:r>
        <w:rPr>
          <w:rFonts w:ascii="Times New Roman" w:hAnsi="Times New Roman"/>
          <w:spacing w:val="7"/>
          <w:w w:val="105"/>
          <w:sz w:val="22"/>
        </w:rPr>
        <w:t>'f</w:t>
      </w:r>
      <w:r>
        <w:rPr>
          <w:rFonts w:ascii="Times New Roman" w:hAnsi="Times New Roman"/>
          <w:spacing w:val="-29"/>
          <w:w w:val="105"/>
          <w:sz w:val="22"/>
        </w:rPr>
        <w:t> </w:t>
      </w:r>
      <w:r>
        <w:rPr>
          <w:rFonts w:ascii="Symbol" w:hAnsi="Symbol"/>
          <w:spacing w:val="-4"/>
          <w:w w:val="105"/>
          <w:sz w:val="30"/>
        </w:rPr>
        <w:t></w:t>
      </w:r>
      <w:r>
        <w:rPr>
          <w:rFonts w:ascii="Times New Roman" w:hAnsi="Times New Roman"/>
          <w:spacing w:val="-4"/>
          <w:w w:val="105"/>
          <w:sz w:val="22"/>
        </w:rPr>
        <w:t>L </w:t>
      </w:r>
      <w:r>
        <w:rPr>
          <w:rFonts w:ascii="Times New Roman" w:hAnsi="Times New Roman"/>
          <w:spacing w:val="35"/>
          <w:w w:val="105"/>
          <w:sz w:val="22"/>
        </w:rPr>
        <w:t> </w:t>
      </w:r>
      <w:r>
        <w:rPr>
          <w:rFonts w:ascii="Symbol" w:hAnsi="Symbol"/>
          <w:w w:val="105"/>
          <w:sz w:val="30"/>
        </w:rPr>
        <w:t></w:t>
      </w:r>
      <w:r>
        <w:rPr>
          <w:rFonts w:ascii="Times New Roman" w:hAnsi="Times New Roman"/>
          <w:w w:val="105"/>
          <w:sz w:val="30"/>
        </w:rPr>
        <w:tab/>
      </w:r>
      <w:r>
        <w:rPr>
          <w:rFonts w:ascii="Symbol" w:hAnsi="Symbol"/>
          <w:w w:val="105"/>
          <w:sz w:val="22"/>
        </w:rPr>
        <w:t></w:t>
      </w:r>
      <w:r>
        <w:rPr>
          <w:rFonts w:ascii="Times New Roman" w:hAnsi="Times New Roman"/>
          <w:w w:val="105"/>
          <w:sz w:val="22"/>
        </w:rPr>
        <w:t> a   </w:t>
      </w:r>
      <w:r>
        <w:rPr>
          <w:rFonts w:ascii="Symbol" w:hAnsi="Symbol"/>
          <w:w w:val="105"/>
          <w:sz w:val="22"/>
        </w:rPr>
        <w:t></w:t>
      </w:r>
      <w:r>
        <w:rPr>
          <w:rFonts w:ascii="Times New Roman" w:hAnsi="Times New Roman"/>
          <w:spacing w:val="-13"/>
          <w:w w:val="105"/>
          <w:sz w:val="22"/>
        </w:rPr>
        <w:t> </w:t>
      </w:r>
      <w:r>
        <w:rPr>
          <w:rFonts w:ascii="Times New Roman" w:hAnsi="Times New Roman"/>
          <w:w w:val="105"/>
          <w:sz w:val="22"/>
        </w:rPr>
        <w:t>a</w:t>
      </w:r>
    </w:p>
    <w:p>
      <w:pPr>
        <w:tabs>
          <w:tab w:pos="872" w:val="left" w:leader="none"/>
        </w:tabs>
        <w:spacing w:line="67" w:lineRule="exact" w:before="0"/>
        <w:ind w:left="78" w:right="0" w:firstLine="0"/>
        <w:jc w:val="left"/>
        <w:rPr>
          <w:rFonts w:ascii="Symbol" w:hAnsi="Symbol"/>
          <w:sz w:val="22"/>
        </w:rPr>
      </w:pPr>
      <w:r>
        <w:rPr/>
        <w:br w:type="column"/>
      </w:r>
      <w:r>
        <w:rPr>
          <w:rFonts w:ascii="Symbol" w:hAnsi="Symbol"/>
          <w:sz w:val="22"/>
        </w:rPr>
        <w:t></w:t>
      </w:r>
      <w:r>
        <w:rPr>
          <w:rFonts w:ascii="Times New Roman" w:hAnsi="Times New Roman"/>
          <w:spacing w:val="-28"/>
          <w:sz w:val="22"/>
        </w:rPr>
        <w:t> </w:t>
      </w:r>
      <w:r>
        <w:rPr>
          <w:rFonts w:ascii="Times New Roman" w:hAnsi="Times New Roman"/>
          <w:sz w:val="22"/>
        </w:rPr>
        <w:t>f</w:t>
      </w:r>
      <w:r>
        <w:rPr>
          <w:rFonts w:ascii="Times New Roman" w:hAnsi="Times New Roman"/>
          <w:spacing w:val="-26"/>
          <w:sz w:val="22"/>
        </w:rPr>
        <w:t> </w:t>
      </w:r>
      <w:r>
        <w:rPr>
          <w:rFonts w:ascii="Symbol" w:hAnsi="Symbol"/>
          <w:spacing w:val="-14"/>
          <w:sz w:val="35"/>
        </w:rPr>
        <w:t></w:t>
      </w:r>
      <w:r>
        <w:rPr>
          <w:rFonts w:ascii="Symbol" w:hAnsi="Symbol"/>
          <w:i/>
          <w:spacing w:val="-14"/>
          <w:sz w:val="24"/>
        </w:rPr>
        <w:t></w:t>
      </w:r>
      <w:r>
        <w:rPr>
          <w:rFonts w:ascii="Times New Roman" w:hAnsi="Times New Roman"/>
          <w:i/>
          <w:spacing w:val="-14"/>
          <w:sz w:val="24"/>
        </w:rPr>
        <w:t> </w:t>
      </w:r>
      <w:r>
        <w:rPr>
          <w:rFonts w:ascii="Times New Roman" w:hAnsi="Times New Roman"/>
          <w:i/>
          <w:spacing w:val="-5"/>
          <w:sz w:val="24"/>
        </w:rPr>
        <w:t> </w:t>
      </w:r>
      <w:r>
        <w:rPr>
          <w:rFonts w:ascii="Symbol" w:hAnsi="Symbol"/>
          <w:sz w:val="35"/>
        </w:rPr>
        <w:t></w:t>
      </w:r>
      <w:r>
        <w:rPr>
          <w:rFonts w:ascii="Times New Roman" w:hAnsi="Times New Roman"/>
          <w:sz w:val="35"/>
        </w:rPr>
        <w:tab/>
      </w:r>
      <w:r>
        <w:rPr>
          <w:rFonts w:ascii="Symbol" w:hAnsi="Symbol"/>
          <w:sz w:val="22"/>
        </w:rPr>
        <w:t></w:t>
      </w:r>
      <w:r>
        <w:rPr>
          <w:rFonts w:ascii="Times New Roman" w:hAnsi="Times New Roman"/>
          <w:sz w:val="22"/>
        </w:rPr>
        <w:t> a   </w:t>
      </w:r>
      <w:r>
        <w:rPr>
          <w:rFonts w:ascii="Symbol" w:hAnsi="Symbol"/>
          <w:sz w:val="22"/>
        </w:rPr>
        <w:t></w:t>
      </w:r>
    </w:p>
    <w:p>
      <w:pPr>
        <w:tabs>
          <w:tab w:pos="845" w:val="left" w:leader="none"/>
        </w:tabs>
        <w:spacing w:line="67" w:lineRule="exact" w:before="0"/>
        <w:ind w:left="68" w:right="0" w:firstLine="0"/>
        <w:jc w:val="left"/>
        <w:rPr>
          <w:rFonts w:ascii="Symbol" w:hAnsi="Symbol"/>
          <w:sz w:val="22"/>
        </w:rPr>
      </w:pPr>
      <w:r>
        <w:rPr/>
        <w:br w:type="column"/>
      </w:r>
      <w:r>
        <w:rPr>
          <w:rFonts w:ascii="Times New Roman" w:hAnsi="Times New Roman"/>
          <w:sz w:val="22"/>
        </w:rPr>
        <w:t>f</w:t>
      </w:r>
      <w:r>
        <w:rPr>
          <w:rFonts w:ascii="Times New Roman" w:hAnsi="Times New Roman"/>
          <w:spacing w:val="-27"/>
          <w:sz w:val="22"/>
        </w:rPr>
        <w:t> </w:t>
      </w:r>
      <w:r>
        <w:rPr>
          <w:rFonts w:ascii="Symbol" w:hAnsi="Symbol"/>
          <w:spacing w:val="-14"/>
          <w:sz w:val="35"/>
        </w:rPr>
        <w:t></w:t>
      </w:r>
      <w:r>
        <w:rPr>
          <w:rFonts w:ascii="Symbol" w:hAnsi="Symbol"/>
          <w:i/>
          <w:spacing w:val="-14"/>
          <w:sz w:val="24"/>
        </w:rPr>
        <w:t></w:t>
      </w:r>
      <w:r>
        <w:rPr>
          <w:rFonts w:ascii="Times New Roman" w:hAnsi="Times New Roman"/>
          <w:i/>
          <w:spacing w:val="-14"/>
          <w:sz w:val="24"/>
        </w:rPr>
        <w:t> </w:t>
      </w:r>
      <w:r>
        <w:rPr>
          <w:rFonts w:ascii="Times New Roman" w:hAnsi="Times New Roman"/>
          <w:i/>
          <w:spacing w:val="-8"/>
          <w:sz w:val="24"/>
        </w:rPr>
        <w:t> </w:t>
      </w:r>
      <w:r>
        <w:rPr>
          <w:rFonts w:ascii="Symbol" w:hAnsi="Symbol"/>
          <w:sz w:val="35"/>
        </w:rPr>
        <w:t></w:t>
      </w:r>
      <w:r>
        <w:rPr>
          <w:rFonts w:ascii="Times New Roman" w:hAnsi="Times New Roman"/>
          <w:sz w:val="35"/>
        </w:rPr>
        <w:tab/>
      </w:r>
      <w:r>
        <w:rPr>
          <w:rFonts w:ascii="Symbol" w:hAnsi="Symbol"/>
          <w:sz w:val="22"/>
        </w:rPr>
        <w:t></w:t>
      </w:r>
    </w:p>
    <w:p>
      <w:pPr>
        <w:spacing w:line="67" w:lineRule="exact" w:before="0"/>
        <w:ind w:left="654" w:right="0" w:firstLine="0"/>
        <w:jc w:val="left"/>
        <w:rPr>
          <w:rFonts w:ascii="Symbol" w:hAnsi="Symbol"/>
          <w:sz w:val="30"/>
        </w:rPr>
      </w:pPr>
      <w:r>
        <w:rPr/>
        <w:br w:type="column"/>
      </w:r>
      <w:r>
        <w:rPr>
          <w:rFonts w:ascii="Times New Roman" w:hAnsi="Times New Roman"/>
          <w:sz w:val="22"/>
        </w:rPr>
        <w:t>a  </w:t>
      </w:r>
      <w:r>
        <w:rPr>
          <w:rFonts w:ascii="Times New Roman" w:hAnsi="Times New Roman"/>
          <w:spacing w:val="-4"/>
          <w:sz w:val="22"/>
        </w:rPr>
        <w:t>·ΔΔ</w:t>
      </w:r>
      <w:r>
        <w:rPr>
          <w:rFonts w:ascii="Tahoma" w:hAnsi="Tahoma"/>
          <w:spacing w:val="-4"/>
          <w:sz w:val="22"/>
        </w:rPr>
        <w:t>V </w:t>
      </w:r>
      <w:r>
        <w:rPr>
          <w:rFonts w:ascii="Symbol" w:hAnsi="Symbol"/>
          <w:spacing w:val="-11"/>
          <w:sz w:val="35"/>
        </w:rPr>
        <w:t></w:t>
      </w:r>
      <w:r>
        <w:rPr>
          <w:rFonts w:ascii="Times New Roman" w:hAnsi="Times New Roman"/>
          <w:spacing w:val="-11"/>
          <w:sz w:val="22"/>
        </w:rPr>
        <w:t>c  </w:t>
      </w:r>
      <w:r>
        <w:rPr>
          <w:rFonts w:ascii="Symbol" w:hAnsi="Symbol"/>
          <w:sz w:val="35"/>
        </w:rPr>
        <w:t></w:t>
      </w:r>
      <w:r>
        <w:rPr>
          <w:rFonts w:ascii="Times New Roman" w:hAnsi="Times New Roman"/>
          <w:sz w:val="35"/>
        </w:rPr>
        <w:t> </w:t>
      </w:r>
      <w:r>
        <w:rPr>
          <w:rFonts w:ascii="Times New Roman" w:hAnsi="Times New Roman"/>
          <w:spacing w:val="50"/>
          <w:sz w:val="35"/>
        </w:rPr>
        <w:t> </w:t>
      </w:r>
      <w:r>
        <w:rPr>
          <w:rFonts w:ascii="Symbol" w:hAnsi="Symbol"/>
          <w:spacing w:val="-9"/>
          <w:sz w:val="30"/>
        </w:rPr>
        <w:t></w:t>
      </w:r>
      <w:r>
        <w:rPr>
          <w:rFonts w:ascii="Times New Roman" w:hAnsi="Times New Roman"/>
          <w:spacing w:val="-9"/>
          <w:sz w:val="22"/>
        </w:rPr>
        <w:t>14</w:t>
      </w:r>
      <w:r>
        <w:rPr>
          <w:rFonts w:ascii="Symbol" w:hAnsi="Symbol"/>
          <w:spacing w:val="-9"/>
          <w:sz w:val="30"/>
        </w:rPr>
        <w:t></w:t>
      </w:r>
    </w:p>
    <w:p>
      <w:pPr>
        <w:spacing w:after="0" w:line="67" w:lineRule="exact"/>
        <w:jc w:val="left"/>
        <w:rPr>
          <w:rFonts w:ascii="Symbol" w:hAnsi="Symbol"/>
          <w:sz w:val="30"/>
        </w:rPr>
        <w:sectPr>
          <w:type w:val="continuous"/>
          <w:pgSz w:w="12240" w:h="15840"/>
          <w:pgMar w:top="3080" w:bottom="2780" w:left="1440" w:right="1460"/>
          <w:cols w:num="4" w:equalWidth="0">
            <w:col w:w="3087" w:space="40"/>
            <w:col w:w="1368" w:space="40"/>
            <w:col w:w="982" w:space="40"/>
            <w:col w:w="3783"/>
          </w:cols>
        </w:sectPr>
      </w:pPr>
    </w:p>
    <w:p>
      <w:pPr>
        <w:tabs>
          <w:tab w:pos="2659" w:val="left" w:leader="none"/>
          <w:tab w:pos="3160" w:val="right" w:leader="none"/>
        </w:tabs>
        <w:spacing w:before="160"/>
        <w:ind w:left="1807" w:right="0" w:firstLine="0"/>
        <w:jc w:val="left"/>
        <w:rPr>
          <w:rFonts w:ascii="Times New Roman"/>
          <w:sz w:val="13"/>
        </w:rPr>
      </w:pPr>
      <w:r>
        <w:rPr>
          <w:rFonts w:ascii="Times New Roman"/>
          <w:w w:val="110"/>
          <w:position w:val="1"/>
          <w:sz w:val="13"/>
        </w:rPr>
        <w:t>nr </w:t>
      </w:r>
      <w:r>
        <w:rPr>
          <w:rFonts w:ascii="Times New Roman"/>
          <w:spacing w:val="31"/>
          <w:w w:val="110"/>
          <w:position w:val="1"/>
          <w:sz w:val="13"/>
        </w:rPr>
        <w:t> </w:t>
      </w:r>
      <w:r>
        <w:rPr>
          <w:rFonts w:ascii="Times New Roman"/>
          <w:w w:val="110"/>
          <w:sz w:val="13"/>
        </w:rPr>
        <w:t>new</w:t>
        <w:tab/>
      </w:r>
      <w:r>
        <w:rPr>
          <w:rFonts w:ascii="Times New Roman"/>
          <w:w w:val="110"/>
          <w:position w:val="1"/>
          <w:sz w:val="13"/>
        </w:rPr>
        <w:t>0</w:t>
        <w:tab/>
        <w:t>1</w:t>
      </w:r>
    </w:p>
    <w:p>
      <w:pPr>
        <w:tabs>
          <w:tab w:pos="1176" w:val="right" w:leader="none"/>
        </w:tabs>
        <w:spacing w:before="160"/>
        <w:ind w:left="390" w:right="0" w:firstLine="0"/>
        <w:jc w:val="left"/>
        <w:rPr>
          <w:rFonts w:ascii="Times New Roman"/>
          <w:sz w:val="13"/>
        </w:rPr>
      </w:pPr>
      <w:r>
        <w:rPr/>
        <w:br w:type="column"/>
      </w:r>
      <w:r>
        <w:rPr>
          <w:rFonts w:ascii="Times New Roman"/>
          <w:spacing w:val="3"/>
          <w:w w:val="110"/>
          <w:sz w:val="13"/>
        </w:rPr>
        <w:t>ij  </w:t>
      </w:r>
      <w:r>
        <w:rPr>
          <w:rFonts w:ascii="Times New Roman"/>
          <w:w w:val="110"/>
          <w:position w:val="-3"/>
          <w:sz w:val="13"/>
        </w:rPr>
        <w:t>ref</w:t>
      </w:r>
      <w:r>
        <w:rPr>
          <w:rFonts w:ascii="Times New Roman"/>
          <w:w w:val="110"/>
          <w:sz w:val="13"/>
        </w:rPr>
        <w:tab/>
        <w:t>2</w:t>
      </w:r>
    </w:p>
    <w:p>
      <w:pPr>
        <w:spacing w:before="156"/>
        <w:ind w:left="478" w:right="0" w:firstLine="0"/>
        <w:jc w:val="left"/>
        <w:rPr>
          <w:rFonts w:ascii="Times New Roman"/>
          <w:sz w:val="13"/>
        </w:rPr>
      </w:pPr>
      <w:r>
        <w:rPr/>
        <w:br w:type="column"/>
      </w:r>
      <w:r>
        <w:rPr>
          <w:rFonts w:ascii="Times New Roman"/>
          <w:w w:val="110"/>
          <w:position w:val="6"/>
          <w:sz w:val="13"/>
        </w:rPr>
        <w:t>ij   </w:t>
      </w:r>
      <w:r>
        <w:rPr>
          <w:rFonts w:ascii="Times New Roman"/>
          <w:w w:val="110"/>
          <w:sz w:val="13"/>
        </w:rPr>
        <w:t>ref</w:t>
      </w:r>
    </w:p>
    <w:p>
      <w:pPr>
        <w:tabs>
          <w:tab w:pos="1627" w:val="left" w:leader="none"/>
          <w:tab w:pos="1918" w:val="left" w:leader="none"/>
        </w:tabs>
        <w:spacing w:line="331" w:lineRule="exact" w:before="0"/>
        <w:ind w:left="598" w:right="0" w:firstLine="0"/>
        <w:jc w:val="left"/>
        <w:rPr>
          <w:rFonts w:ascii="Times New Roman" w:hAnsi="Times New Roman"/>
          <w:sz w:val="13"/>
        </w:rPr>
      </w:pPr>
      <w:r>
        <w:rPr/>
        <w:br w:type="column"/>
      </w:r>
      <w:r>
        <w:rPr>
          <w:rFonts w:ascii="Symbol" w:hAnsi="Symbol"/>
          <w:w w:val="110"/>
          <w:sz w:val="34"/>
        </w:rPr>
        <w:t></w:t>
      </w:r>
      <w:r>
        <w:rPr>
          <w:rFonts w:ascii="Times New Roman" w:hAnsi="Times New Roman"/>
          <w:spacing w:val="48"/>
          <w:w w:val="110"/>
          <w:sz w:val="34"/>
        </w:rPr>
        <w:t> </w:t>
      </w:r>
      <w:r>
        <w:rPr>
          <w:rFonts w:ascii="Times New Roman" w:hAnsi="Times New Roman"/>
          <w:w w:val="110"/>
          <w:sz w:val="13"/>
        </w:rPr>
        <w:t>kj</w:t>
        <w:tab/>
        <w:t>k</w:t>
        <w:tab/>
        <w:t>j</w:t>
      </w:r>
    </w:p>
    <w:p>
      <w:pPr>
        <w:spacing w:line="134" w:lineRule="exact" w:before="0"/>
        <w:ind w:left="505" w:right="0" w:firstLine="0"/>
        <w:jc w:val="left"/>
        <w:rPr>
          <w:rFonts w:ascii="Times New Roman" w:hAnsi="Times New Roman"/>
          <w:sz w:val="13"/>
        </w:rPr>
      </w:pPr>
      <w:r>
        <w:rPr>
          <w:rFonts w:ascii="Times New Roman" w:hAnsi="Times New Roman"/>
          <w:w w:val="110"/>
          <w:sz w:val="13"/>
        </w:rPr>
        <w:t>j</w:t>
      </w:r>
      <w:r>
        <w:rPr>
          <w:rFonts w:ascii="Symbol" w:hAnsi="Symbol"/>
          <w:w w:val="110"/>
          <w:sz w:val="13"/>
        </w:rPr>
        <w:t></w:t>
      </w:r>
      <w:r>
        <w:rPr>
          <w:rFonts w:ascii="Times New Roman" w:hAnsi="Times New Roman"/>
          <w:w w:val="110"/>
          <w:sz w:val="13"/>
        </w:rPr>
        <w:t>1,k</w:t>
      </w:r>
      <w:r>
        <w:rPr>
          <w:rFonts w:ascii="Symbol" w:hAnsi="Symbol"/>
          <w:w w:val="110"/>
          <w:sz w:val="13"/>
        </w:rPr>
        <w:t></w:t>
      </w:r>
      <w:r>
        <w:rPr>
          <w:rFonts w:ascii="Times New Roman" w:hAnsi="Times New Roman"/>
          <w:w w:val="110"/>
          <w:sz w:val="13"/>
        </w:rPr>
        <w:t>1</w:t>
      </w:r>
    </w:p>
    <w:p>
      <w:pPr>
        <w:spacing w:after="0" w:line="134" w:lineRule="exact"/>
        <w:jc w:val="left"/>
        <w:rPr>
          <w:rFonts w:ascii="Times New Roman" w:hAnsi="Times New Roman"/>
          <w:sz w:val="13"/>
        </w:rPr>
        <w:sectPr>
          <w:type w:val="continuous"/>
          <w:pgSz w:w="12240" w:h="15840"/>
          <w:pgMar w:top="3080" w:bottom="2780" w:left="1440" w:right="1460"/>
          <w:cols w:num="4" w:equalWidth="0">
            <w:col w:w="3161" w:space="40"/>
            <w:col w:w="1177" w:space="40"/>
            <w:col w:w="875" w:space="40"/>
            <w:col w:w="4007"/>
          </w:cols>
        </w:sectPr>
      </w:pPr>
    </w:p>
    <w:p>
      <w:pPr>
        <w:pStyle w:val="BodyText"/>
        <w:rPr>
          <w:rFonts w:ascii="Times New Roman"/>
        </w:rPr>
      </w:pPr>
    </w:p>
    <w:p>
      <w:pPr>
        <w:pStyle w:val="BodyText"/>
        <w:spacing w:line="360" w:lineRule="auto" w:before="184"/>
        <w:ind w:left="259" w:right="239" w:firstLine="283"/>
        <w:jc w:val="both"/>
      </w:pPr>
      <w:r>
        <w:rPr/>
        <w:t>F La función de salida '(Lnr) nueva es una puntuación utilizado en el análisis discriminante lineal (LDA) para calcular las salidas o probabilidad a posteriori de la clasificación binaria de las entradas Lnr = 1 o Lnr = 0 (Hill y Lewicki, 2006). Los vectores Vi = [f (εij) REF, &lt;f (ɛij)&gt; ref, ω-3, ω-6, IV1, ... iVkmax, ΔV1 (c1), ... ΔVk (cj), ... ΔVkmax (cjmax), ΔΔV1 (c1), ... ΔΔVk (cj), ... ΔΔVkmax (cjmax)] son las entradas de este modelo. Cada vi vector, representa un caso estadístico (caso ITH), de un total de n = 407.655 casos (perturbaciones). Estos casos estadísticos codificadas por vi vectores son perturbaciones de una entrada o estado de referencia (cambios en los parámetros de entrada) que producen una salida o nuevo estado. Los vectores de entrada vi incluyen el valor de f (εij) ref para el estado de referencia (valor conocido). Los vectores vi también tienen en cuenta las cantidades de ω-6 y ω-3 para el nuevo estado (después de la perturbación). También se incluyeron los valores de descriptores moleculares (IVK) utilizados en el análisis de un clásico de Hánsch. Por último, las entradas también se consideran los valores de la operadores ΔΔVk PT-LFER (cj).</w:t>
      </w:r>
    </w:p>
    <w:p>
      <w:pPr>
        <w:pStyle w:val="BodyText"/>
        <w:spacing w:before="9"/>
        <w:rPr>
          <w:sz w:val="23"/>
        </w:rPr>
      </w:pPr>
    </w:p>
    <w:p>
      <w:pPr>
        <w:pStyle w:val="ListParagraph"/>
        <w:numPr>
          <w:ilvl w:val="2"/>
          <w:numId w:val="13"/>
        </w:numPr>
        <w:tabs>
          <w:tab w:pos="909" w:val="left" w:leader="none"/>
        </w:tabs>
        <w:spacing w:line="240" w:lineRule="auto" w:before="0" w:after="0"/>
        <w:ind w:left="908" w:right="0" w:hanging="649"/>
        <w:jc w:val="left"/>
        <w:rPr>
          <w:sz w:val="24"/>
        </w:rPr>
      </w:pPr>
      <w:r>
        <w:rPr>
          <w:b/>
          <w:sz w:val="24"/>
        </w:rPr>
        <w:t>Cálculo de descriptores</w:t>
      </w:r>
      <w:r>
        <w:rPr>
          <w:b/>
          <w:spacing w:val="-19"/>
          <w:sz w:val="24"/>
        </w:rPr>
        <w:t> </w:t>
      </w:r>
      <w:r>
        <w:rPr>
          <w:b/>
          <w:sz w:val="24"/>
        </w:rPr>
        <w:t>moleculares</w:t>
      </w:r>
      <w:r>
        <w:rPr>
          <w:sz w:val="24"/>
        </w:rPr>
        <w:t>.</w:t>
      </w:r>
    </w:p>
    <w:p>
      <w:pPr>
        <w:pStyle w:val="BodyText"/>
        <w:spacing w:before="9"/>
        <w:rPr>
          <w:sz w:val="35"/>
        </w:rPr>
      </w:pPr>
    </w:p>
    <w:p>
      <w:pPr>
        <w:pStyle w:val="BodyText"/>
        <w:spacing w:line="360" w:lineRule="auto"/>
        <w:ind w:left="259" w:right="236" w:firstLine="283"/>
        <w:jc w:val="both"/>
      </w:pPr>
      <w:r>
        <w:rPr/>
        <w:t>En la primera obra de esta serie, hemos utilizado los valores medios de electronegatividad atómica de los descriptores de la estructura química (IVK) de un medicamento (Hong et al., 2008). En otro trabajo reciente, el método para la predicción de epítopos de péptidos fue adaptada utilizando la teoría  de perturbaciones (González-Díaz et al., 2014). En el presente trabajo, los modelos PT anteriores se extienden a otra dirección. En este documento, se combinan los modelos PT y ecuaciones LFER de Hansch para llevar a cabo un análisis de PT-LFER por primera vez. Para ello, se tomaron los siguientes pasos. En primer lugar, se utilizaron variables estructurales (IVK) como un nuevo conjunto de descriptores moleculares. Los valores de estas variables se calcularon con el software DRAGON (Papa et al, 2005;..  Mauri  et  al,  2006;.  Helguera  et  al,  2008)  (.  Mauri  et  al,  2006).  La primera</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6"/>
        <w:jc w:val="both"/>
      </w:pPr>
      <w:r>
        <w:rPr/>
        <w:t>descriptor molecular calculado fue V1 = Mw (peso molecular). Los descriptores moleculares V2 = AEigv, V3 = AEige, y V4 = AEigp fueron incluidos, que son los valores propios medios de las matrices de distancia topológicos ponderados con volúmenes atómicos de van der Waals (v), polarizabilidades (p), o Electronegatividad (e). Por último, también se propusieron V5 = MR (Molecular Refractividad), V6 = LogP (logaritmo de la n-octanol / Coeficiente de reparto de agua). Las estructuras de los ácidos grasos se han subido al dragón en una forma de códigos simplificado Molecular Input-Portero Line (sonríe). Códigos sonrisas son muy útiles para administrar estructuras moleculares (Siani y col., 1994; Karwath y De Raedt, 2006; Toropov y Benfenati, 2007). Y para su posterior cálculo de descriptores moleculares (Tetko et al., 2001; Vidal et al, 2005) (Tabla 1). En nuestro trabajo, los códigos de sonrisas de los ácidos grasos correspondientes fueron descargados de los datos del sitio web de entidades químicas de interés biológico (ChEBI: </w:t>
      </w:r>
      <w:hyperlink r:id="rId66">
        <w:r>
          <w:rPr>
            <w:b/>
            <w:color w:val="0000FF"/>
            <w:u w:val="single" w:color="0000FF"/>
          </w:rPr>
          <w:t>http://www.ebi.ac.uk/chebi/</w:t>
        </w:r>
      </w:hyperlink>
      <w:r>
        <w:rPr/>
        <w:t>).</w:t>
      </w:r>
    </w:p>
    <w:p>
      <w:pPr>
        <w:pStyle w:val="BodyText"/>
        <w:spacing w:before="6"/>
        <w:rPr>
          <w:sz w:val="18"/>
        </w:rPr>
      </w:pPr>
    </w:p>
    <w:p>
      <w:pPr>
        <w:pStyle w:val="BodyText"/>
        <w:spacing w:before="66"/>
        <w:ind w:left="380"/>
      </w:pPr>
      <w:r>
        <w:rPr>
          <w:b/>
          <w:position w:val="2"/>
        </w:rPr>
        <w:t>Table 1. </w:t>
      </w:r>
      <w:r>
        <w:rPr>
          <w:position w:val="2"/>
        </w:rPr>
        <w:t>Molecular descriptors (</w:t>
      </w:r>
      <w:r>
        <w:rPr>
          <w:position w:val="8"/>
          <w:sz w:val="16"/>
        </w:rPr>
        <w:t>i</w:t>
      </w:r>
      <w:r>
        <w:rPr>
          <w:position w:val="2"/>
        </w:rPr>
        <w:t>V</w:t>
      </w:r>
      <w:r>
        <w:rPr>
          <w:sz w:val="16"/>
        </w:rPr>
        <w:t>k</w:t>
      </w:r>
      <w:r>
        <w:rPr>
          <w:position w:val="2"/>
        </w:rPr>
        <w:t>) of fatty acids obtained from the ChEBI database</w:t>
      </w:r>
    </w:p>
    <w:p>
      <w:pPr>
        <w:pStyle w:val="BodyText"/>
        <w:rPr>
          <w:sz w:val="20"/>
        </w:rPr>
      </w:pPr>
    </w:p>
    <w:p>
      <w:pPr>
        <w:pStyle w:val="BodyText"/>
        <w:spacing w:before="5"/>
        <w:rPr>
          <w:sz w:val="15"/>
        </w:rPr>
      </w:pPr>
    </w:p>
    <w:p>
      <w:pPr>
        <w:pStyle w:val="BodyText"/>
        <w:spacing w:line="29" w:lineRule="exact"/>
        <w:ind w:left="173"/>
        <w:rPr>
          <w:sz w:val="2"/>
        </w:rPr>
      </w:pPr>
      <w:r>
        <w:rPr>
          <w:position w:val="0"/>
          <w:sz w:val="2"/>
        </w:rPr>
        <w:pict>
          <v:group style="width:450.7pt;height:1.45pt;mso-position-horizontal-relative:char;mso-position-vertical-relative:line" coordorigin="0,0" coordsize="9014,29">
            <v:line style="position:absolute" from="15,15" to="2411,15" stroked="true" strokeweight="1.44pt" strokecolor="#000000"/>
            <v:line style="position:absolute" from="2411,15" to="2439,15" stroked="true" strokeweight="1.44pt" strokecolor="#000000"/>
            <v:line style="position:absolute" from="2439,15" to="3760,15" stroked="true" strokeweight="1.44pt" strokecolor="#000000"/>
            <v:line style="position:absolute" from="3760,15" to="3789,15" stroked="true" strokeweight="1.44pt" strokecolor="#000000"/>
            <v:line style="position:absolute" from="3789,15" to="8999,15" stroked="true" strokeweight="1.44pt" strokecolor="#000000"/>
          </v:group>
        </w:pict>
      </w:r>
      <w:r>
        <w:rPr>
          <w:position w:val="0"/>
          <w:sz w:val="2"/>
        </w:rPr>
      </w:r>
    </w:p>
    <w:p>
      <w:pPr>
        <w:spacing w:after="0" w:line="29" w:lineRule="exact"/>
        <w:rPr>
          <w:sz w:val="2"/>
        </w:rPr>
        <w:sectPr>
          <w:pgSz w:w="12240" w:h="15840"/>
          <w:pgMar w:header="684" w:footer="1164" w:top="1380" w:bottom="1380" w:left="1440" w:right="1460"/>
        </w:sectPr>
      </w:pPr>
    </w:p>
    <w:p>
      <w:pPr>
        <w:pStyle w:val="BodyText"/>
        <w:spacing w:before="6"/>
        <w:rPr>
          <w:sz w:val="18"/>
        </w:rPr>
      </w:pPr>
    </w:p>
    <w:p>
      <w:pPr>
        <w:spacing w:before="0"/>
        <w:ind w:left="259" w:right="-8" w:firstLine="0"/>
        <w:jc w:val="left"/>
        <w:rPr>
          <w:i/>
          <w:sz w:val="10"/>
        </w:rPr>
      </w:pPr>
      <w:r>
        <w:rPr>
          <w:sz w:val="16"/>
        </w:rPr>
        <w:t>Name of fatty acids in ChEBI</w:t>
      </w:r>
      <w:r>
        <w:rPr>
          <w:spacing w:val="-24"/>
          <w:sz w:val="16"/>
        </w:rPr>
        <w:t> </w:t>
      </w:r>
      <w:r>
        <w:rPr>
          <w:i/>
          <w:position w:val="4"/>
          <w:sz w:val="10"/>
        </w:rPr>
        <w:t>a</w:t>
      </w:r>
    </w:p>
    <w:p>
      <w:pPr>
        <w:spacing w:before="78"/>
        <w:ind w:left="259" w:right="0" w:firstLine="0"/>
        <w:jc w:val="center"/>
        <w:rPr>
          <w:sz w:val="16"/>
        </w:rPr>
      </w:pPr>
      <w:r>
        <w:rPr/>
        <w:br w:type="column"/>
      </w:r>
      <w:r>
        <w:rPr>
          <w:i/>
          <w:sz w:val="16"/>
        </w:rPr>
        <w:t>cis</w:t>
      </w:r>
      <w:r>
        <w:rPr>
          <w:sz w:val="16"/>
        </w:rPr>
        <w:t>/</w:t>
      </w:r>
      <w:r>
        <w:rPr>
          <w:i/>
          <w:sz w:val="16"/>
        </w:rPr>
        <w:t>trans</w:t>
      </w:r>
      <w:r>
        <w:rPr>
          <w:i/>
          <w:spacing w:val="-25"/>
          <w:sz w:val="16"/>
        </w:rPr>
        <w:t> </w:t>
      </w:r>
      <w:r>
        <w:rPr>
          <w:sz w:val="16"/>
        </w:rPr>
        <w:t>pattern</w:t>
      </w:r>
    </w:p>
    <w:p>
      <w:pPr>
        <w:spacing w:before="109"/>
        <w:ind w:left="257" w:right="0" w:firstLine="0"/>
        <w:jc w:val="center"/>
        <w:rPr>
          <w:i/>
          <w:sz w:val="10"/>
        </w:rPr>
      </w:pPr>
      <w:r>
        <w:rPr/>
        <w:pict>
          <v:shape style="position:absolute;margin-left:81.384003pt;margin-top:8.520959pt;width:449.25pt;height:282.1pt;mso-position-horizontal-relative:page;mso-position-vertical-relative:paragraph;z-index:22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0"/>
                    <w:gridCol w:w="1266"/>
                    <w:gridCol w:w="1383"/>
                    <w:gridCol w:w="899"/>
                    <w:gridCol w:w="899"/>
                    <w:gridCol w:w="876"/>
                    <w:gridCol w:w="713"/>
                    <w:gridCol w:w="468"/>
                  </w:tblGrid>
                  <w:tr>
                    <w:trPr>
                      <w:trHeight w:val="293" w:hRule="exact"/>
                    </w:trPr>
                    <w:tc>
                      <w:tcPr>
                        <w:tcW w:w="3746" w:type="dxa"/>
                        <w:gridSpan w:val="2"/>
                        <w:tcBorders>
                          <w:bottom w:val="single" w:sz="4" w:space="0" w:color="000000"/>
                        </w:tcBorders>
                      </w:tcPr>
                      <w:p>
                        <w:pPr/>
                      </w:p>
                    </w:tc>
                    <w:tc>
                      <w:tcPr>
                        <w:tcW w:w="1383" w:type="dxa"/>
                        <w:tcBorders>
                          <w:top w:val="single" w:sz="4" w:space="0" w:color="000000"/>
                          <w:bottom w:val="single" w:sz="4" w:space="0" w:color="000000"/>
                        </w:tcBorders>
                      </w:tcPr>
                      <w:p>
                        <w:pPr>
                          <w:pStyle w:val="TableParagraph"/>
                          <w:spacing w:line="184" w:lineRule="exact"/>
                          <w:ind w:right="252"/>
                          <w:jc w:val="right"/>
                          <w:rPr>
                            <w:rFonts w:ascii="Cambria"/>
                            <w:i/>
                            <w:sz w:val="10"/>
                          </w:rPr>
                        </w:pPr>
                        <w:r>
                          <w:rPr>
                            <w:rFonts w:ascii="Cambria"/>
                            <w:i/>
                            <w:position w:val="1"/>
                            <w:sz w:val="16"/>
                          </w:rPr>
                          <w:t>V</w:t>
                        </w:r>
                        <w:r>
                          <w:rPr>
                            <w:rFonts w:ascii="Cambria"/>
                            <w:i/>
                            <w:sz w:val="10"/>
                          </w:rPr>
                          <w:t>1</w:t>
                        </w:r>
                      </w:p>
                    </w:tc>
                    <w:tc>
                      <w:tcPr>
                        <w:tcW w:w="899" w:type="dxa"/>
                        <w:tcBorders>
                          <w:top w:val="single" w:sz="4" w:space="0" w:color="000000"/>
                          <w:bottom w:val="single" w:sz="4" w:space="0" w:color="000000"/>
                        </w:tcBorders>
                      </w:tcPr>
                      <w:p>
                        <w:pPr>
                          <w:pStyle w:val="TableParagraph"/>
                          <w:spacing w:line="184" w:lineRule="exact"/>
                          <w:ind w:right="253"/>
                          <w:jc w:val="right"/>
                          <w:rPr>
                            <w:rFonts w:ascii="Cambria"/>
                            <w:i/>
                            <w:sz w:val="10"/>
                          </w:rPr>
                        </w:pPr>
                        <w:r>
                          <w:rPr>
                            <w:rFonts w:ascii="Cambria"/>
                            <w:i/>
                            <w:position w:val="1"/>
                            <w:sz w:val="16"/>
                          </w:rPr>
                          <w:t>V</w:t>
                        </w:r>
                        <w:r>
                          <w:rPr>
                            <w:rFonts w:ascii="Cambria"/>
                            <w:i/>
                            <w:sz w:val="10"/>
                          </w:rPr>
                          <w:t>2</w:t>
                        </w:r>
                      </w:p>
                    </w:tc>
                    <w:tc>
                      <w:tcPr>
                        <w:tcW w:w="899" w:type="dxa"/>
                        <w:tcBorders>
                          <w:top w:val="single" w:sz="4" w:space="0" w:color="000000"/>
                          <w:bottom w:val="single" w:sz="4" w:space="0" w:color="000000"/>
                        </w:tcBorders>
                      </w:tcPr>
                      <w:p>
                        <w:pPr>
                          <w:pStyle w:val="TableParagraph"/>
                          <w:spacing w:line="184" w:lineRule="exact"/>
                          <w:ind w:right="254"/>
                          <w:jc w:val="right"/>
                          <w:rPr>
                            <w:rFonts w:ascii="Cambria"/>
                            <w:i/>
                            <w:sz w:val="10"/>
                          </w:rPr>
                        </w:pPr>
                        <w:r>
                          <w:rPr>
                            <w:rFonts w:ascii="Cambria"/>
                            <w:i/>
                            <w:position w:val="1"/>
                            <w:sz w:val="16"/>
                          </w:rPr>
                          <w:t>V</w:t>
                        </w:r>
                        <w:r>
                          <w:rPr>
                            <w:rFonts w:ascii="Cambria"/>
                            <w:i/>
                            <w:sz w:val="10"/>
                          </w:rPr>
                          <w:t>3</w:t>
                        </w:r>
                      </w:p>
                    </w:tc>
                    <w:tc>
                      <w:tcPr>
                        <w:tcW w:w="876" w:type="dxa"/>
                        <w:tcBorders>
                          <w:top w:val="single" w:sz="4" w:space="0" w:color="000000"/>
                          <w:bottom w:val="single" w:sz="4" w:space="0" w:color="000000"/>
                        </w:tcBorders>
                      </w:tcPr>
                      <w:p>
                        <w:pPr>
                          <w:pStyle w:val="TableParagraph"/>
                          <w:spacing w:line="184" w:lineRule="exact"/>
                          <w:ind w:right="228"/>
                          <w:jc w:val="right"/>
                          <w:rPr>
                            <w:rFonts w:ascii="Cambria"/>
                            <w:i/>
                            <w:sz w:val="10"/>
                          </w:rPr>
                        </w:pPr>
                        <w:r>
                          <w:rPr>
                            <w:rFonts w:ascii="Cambria"/>
                            <w:i/>
                            <w:position w:val="1"/>
                            <w:sz w:val="16"/>
                          </w:rPr>
                          <w:t>V</w:t>
                        </w:r>
                        <w:r>
                          <w:rPr>
                            <w:rFonts w:ascii="Cambria"/>
                            <w:i/>
                            <w:sz w:val="10"/>
                          </w:rPr>
                          <w:t>4</w:t>
                        </w:r>
                      </w:p>
                    </w:tc>
                    <w:tc>
                      <w:tcPr>
                        <w:tcW w:w="713" w:type="dxa"/>
                        <w:tcBorders>
                          <w:top w:val="single" w:sz="4" w:space="0" w:color="000000"/>
                          <w:bottom w:val="single" w:sz="4" w:space="0" w:color="000000"/>
                        </w:tcBorders>
                      </w:tcPr>
                      <w:p>
                        <w:pPr>
                          <w:pStyle w:val="TableParagraph"/>
                          <w:spacing w:line="184" w:lineRule="exact"/>
                          <w:ind w:right="182"/>
                          <w:jc w:val="right"/>
                          <w:rPr>
                            <w:rFonts w:ascii="Cambria"/>
                            <w:i/>
                            <w:sz w:val="10"/>
                          </w:rPr>
                        </w:pPr>
                        <w:r>
                          <w:rPr>
                            <w:rFonts w:ascii="Cambria"/>
                            <w:i/>
                            <w:position w:val="1"/>
                            <w:sz w:val="16"/>
                          </w:rPr>
                          <w:t>V</w:t>
                        </w:r>
                        <w:r>
                          <w:rPr>
                            <w:rFonts w:ascii="Cambria"/>
                            <w:i/>
                            <w:sz w:val="10"/>
                          </w:rPr>
                          <w:t>5</w:t>
                        </w:r>
                      </w:p>
                    </w:tc>
                    <w:tc>
                      <w:tcPr>
                        <w:tcW w:w="468" w:type="dxa"/>
                        <w:tcBorders>
                          <w:top w:val="single" w:sz="4" w:space="0" w:color="000000"/>
                          <w:bottom w:val="single" w:sz="4" w:space="0" w:color="000000"/>
                        </w:tcBorders>
                      </w:tcPr>
                      <w:p>
                        <w:pPr>
                          <w:pStyle w:val="TableParagraph"/>
                          <w:spacing w:line="184" w:lineRule="exact"/>
                          <w:ind w:right="69"/>
                          <w:jc w:val="right"/>
                          <w:rPr>
                            <w:rFonts w:ascii="Cambria"/>
                            <w:i/>
                            <w:sz w:val="10"/>
                          </w:rPr>
                        </w:pPr>
                        <w:r>
                          <w:rPr>
                            <w:rFonts w:ascii="Cambria"/>
                            <w:i/>
                            <w:position w:val="1"/>
                            <w:sz w:val="16"/>
                          </w:rPr>
                          <w:t>V</w:t>
                        </w:r>
                        <w:r>
                          <w:rPr>
                            <w:rFonts w:ascii="Cambria"/>
                            <w:i/>
                            <w:sz w:val="10"/>
                          </w:rPr>
                          <w:t>6</w:t>
                        </w:r>
                      </w:p>
                    </w:tc>
                  </w:tr>
                  <w:tr>
                    <w:trPr>
                      <w:trHeight w:val="244" w:hRule="exact"/>
                    </w:trPr>
                    <w:tc>
                      <w:tcPr>
                        <w:tcW w:w="2480" w:type="dxa"/>
                        <w:tcBorders>
                          <w:top w:val="single" w:sz="4" w:space="0" w:color="000000"/>
                        </w:tcBorders>
                      </w:tcPr>
                      <w:p>
                        <w:pPr>
                          <w:pStyle w:val="TableParagraph"/>
                          <w:spacing w:line="184" w:lineRule="exact"/>
                          <w:ind w:left="71"/>
                          <w:rPr>
                            <w:rFonts w:ascii="Cambria"/>
                            <w:sz w:val="16"/>
                          </w:rPr>
                        </w:pPr>
                        <w:r>
                          <w:rPr>
                            <w:rFonts w:ascii="Cambria"/>
                            <w:sz w:val="16"/>
                          </w:rPr>
                          <w:t>Lauric Acid</w:t>
                        </w:r>
                      </w:p>
                    </w:tc>
                    <w:tc>
                      <w:tcPr>
                        <w:tcW w:w="1266" w:type="dxa"/>
                        <w:tcBorders>
                          <w:top w:val="single" w:sz="4" w:space="0" w:color="000000"/>
                        </w:tcBorders>
                      </w:tcPr>
                      <w:p>
                        <w:pPr>
                          <w:pStyle w:val="TableParagraph"/>
                          <w:spacing w:line="184" w:lineRule="exact"/>
                          <w:ind w:right="652"/>
                          <w:jc w:val="right"/>
                          <w:rPr>
                            <w:rFonts w:ascii="Cambria"/>
                            <w:i/>
                            <w:sz w:val="16"/>
                          </w:rPr>
                        </w:pPr>
                        <w:r>
                          <w:rPr>
                            <w:rFonts w:ascii="Cambria"/>
                            <w:i/>
                            <w:w w:val="98"/>
                            <w:sz w:val="16"/>
                          </w:rPr>
                          <w:t>l</w:t>
                        </w:r>
                      </w:p>
                    </w:tc>
                    <w:tc>
                      <w:tcPr>
                        <w:tcW w:w="1383" w:type="dxa"/>
                        <w:tcBorders>
                          <w:top w:val="single" w:sz="4" w:space="0" w:color="000000"/>
                        </w:tcBorders>
                      </w:tcPr>
                      <w:p>
                        <w:pPr>
                          <w:pStyle w:val="TableParagraph"/>
                          <w:spacing w:line="184" w:lineRule="exact"/>
                          <w:ind w:right="256"/>
                          <w:jc w:val="right"/>
                          <w:rPr>
                            <w:rFonts w:ascii="Cambria"/>
                            <w:sz w:val="16"/>
                          </w:rPr>
                        </w:pPr>
                        <w:r>
                          <w:rPr>
                            <w:rFonts w:ascii="Cambria"/>
                            <w:sz w:val="16"/>
                          </w:rPr>
                          <w:t>200.4</w:t>
                        </w:r>
                      </w:p>
                    </w:tc>
                    <w:tc>
                      <w:tcPr>
                        <w:tcW w:w="899" w:type="dxa"/>
                        <w:tcBorders>
                          <w:top w:val="single" w:sz="4" w:space="0" w:color="000000"/>
                        </w:tcBorders>
                      </w:tcPr>
                      <w:p>
                        <w:pPr>
                          <w:pStyle w:val="TableParagraph"/>
                          <w:spacing w:line="184" w:lineRule="exact"/>
                          <w:ind w:right="257"/>
                          <w:jc w:val="right"/>
                          <w:rPr>
                            <w:rFonts w:ascii="Cambria"/>
                            <w:sz w:val="16"/>
                          </w:rPr>
                        </w:pPr>
                        <w:r>
                          <w:rPr>
                            <w:rFonts w:ascii="Cambria"/>
                            <w:sz w:val="16"/>
                          </w:rPr>
                          <w:t>137.4</w:t>
                        </w:r>
                      </w:p>
                    </w:tc>
                    <w:tc>
                      <w:tcPr>
                        <w:tcW w:w="899" w:type="dxa"/>
                        <w:tcBorders>
                          <w:top w:val="single" w:sz="4" w:space="0" w:color="000000"/>
                        </w:tcBorders>
                      </w:tcPr>
                      <w:p>
                        <w:pPr>
                          <w:pStyle w:val="TableParagraph"/>
                          <w:spacing w:line="184" w:lineRule="exact"/>
                          <w:ind w:right="258"/>
                          <w:jc w:val="right"/>
                          <w:rPr>
                            <w:rFonts w:ascii="Cambria"/>
                            <w:sz w:val="16"/>
                          </w:rPr>
                        </w:pPr>
                        <w:r>
                          <w:rPr>
                            <w:rFonts w:ascii="Cambria"/>
                            <w:sz w:val="16"/>
                          </w:rPr>
                          <w:t>127.6</w:t>
                        </w:r>
                      </w:p>
                    </w:tc>
                    <w:tc>
                      <w:tcPr>
                        <w:tcW w:w="876" w:type="dxa"/>
                        <w:tcBorders>
                          <w:top w:val="single" w:sz="4" w:space="0" w:color="000000"/>
                        </w:tcBorders>
                      </w:tcPr>
                      <w:p>
                        <w:pPr>
                          <w:pStyle w:val="TableParagraph"/>
                          <w:spacing w:line="184" w:lineRule="exact"/>
                          <w:ind w:right="232"/>
                          <w:jc w:val="right"/>
                          <w:rPr>
                            <w:rFonts w:ascii="Cambria"/>
                            <w:sz w:val="16"/>
                          </w:rPr>
                        </w:pPr>
                        <w:r>
                          <w:rPr>
                            <w:rFonts w:ascii="Cambria"/>
                            <w:sz w:val="16"/>
                          </w:rPr>
                          <w:t>139.5</w:t>
                        </w:r>
                      </w:p>
                    </w:tc>
                    <w:tc>
                      <w:tcPr>
                        <w:tcW w:w="713" w:type="dxa"/>
                        <w:tcBorders>
                          <w:top w:val="single" w:sz="4" w:space="0" w:color="000000"/>
                        </w:tcBorders>
                      </w:tcPr>
                      <w:p>
                        <w:pPr>
                          <w:pStyle w:val="TableParagraph"/>
                          <w:spacing w:line="184" w:lineRule="exact"/>
                          <w:ind w:right="187"/>
                          <w:jc w:val="right"/>
                          <w:rPr>
                            <w:rFonts w:ascii="Cambria"/>
                            <w:sz w:val="16"/>
                          </w:rPr>
                        </w:pPr>
                        <w:r>
                          <w:rPr>
                            <w:rFonts w:ascii="Cambria"/>
                            <w:sz w:val="16"/>
                          </w:rPr>
                          <w:t>58.7</w:t>
                        </w:r>
                      </w:p>
                    </w:tc>
                    <w:tc>
                      <w:tcPr>
                        <w:tcW w:w="468" w:type="dxa"/>
                        <w:tcBorders>
                          <w:top w:val="single" w:sz="4" w:space="0" w:color="000000"/>
                        </w:tcBorders>
                      </w:tcPr>
                      <w:p>
                        <w:pPr>
                          <w:pStyle w:val="TableParagraph"/>
                          <w:spacing w:line="184" w:lineRule="exact"/>
                          <w:ind w:right="73"/>
                          <w:jc w:val="right"/>
                          <w:rPr>
                            <w:rFonts w:ascii="Cambria"/>
                            <w:sz w:val="16"/>
                          </w:rPr>
                        </w:pPr>
                        <w:r>
                          <w:rPr>
                            <w:rFonts w:ascii="Cambria"/>
                            <w:w w:val="95"/>
                            <w:sz w:val="16"/>
                          </w:rPr>
                          <w:t>4.5</w:t>
                        </w:r>
                      </w:p>
                    </w:tc>
                  </w:tr>
                  <w:tr>
                    <w:trPr>
                      <w:trHeight w:val="281" w:hRule="exact"/>
                    </w:trPr>
                    <w:tc>
                      <w:tcPr>
                        <w:tcW w:w="2480" w:type="dxa"/>
                      </w:tcPr>
                      <w:p>
                        <w:pPr>
                          <w:pStyle w:val="TableParagraph"/>
                          <w:spacing w:before="36"/>
                          <w:ind w:left="71"/>
                          <w:rPr>
                            <w:rFonts w:ascii="Cambria"/>
                            <w:sz w:val="16"/>
                          </w:rPr>
                        </w:pPr>
                        <w:r>
                          <w:rPr>
                            <w:rFonts w:ascii="Cambria"/>
                            <w:sz w:val="16"/>
                          </w:rPr>
                          <w:t>Myristic Acid</w:t>
                        </w:r>
                      </w:p>
                    </w:tc>
                    <w:tc>
                      <w:tcPr>
                        <w:tcW w:w="1266" w:type="dxa"/>
                      </w:tcPr>
                      <w:p>
                        <w:pPr>
                          <w:pStyle w:val="TableParagraph"/>
                          <w:spacing w:before="36"/>
                          <w:ind w:right="652"/>
                          <w:jc w:val="right"/>
                          <w:rPr>
                            <w:rFonts w:ascii="Cambria"/>
                            <w:i/>
                            <w:sz w:val="16"/>
                          </w:rPr>
                        </w:pPr>
                        <w:r>
                          <w:rPr>
                            <w:rFonts w:ascii="Cambria"/>
                            <w:i/>
                            <w:w w:val="98"/>
                            <w:sz w:val="16"/>
                          </w:rPr>
                          <w:t>l</w:t>
                        </w:r>
                      </w:p>
                    </w:tc>
                    <w:tc>
                      <w:tcPr>
                        <w:tcW w:w="1383" w:type="dxa"/>
                      </w:tcPr>
                      <w:p>
                        <w:pPr>
                          <w:pStyle w:val="TableParagraph"/>
                          <w:spacing w:before="36"/>
                          <w:ind w:right="256"/>
                          <w:jc w:val="right"/>
                          <w:rPr>
                            <w:rFonts w:ascii="Cambria"/>
                            <w:sz w:val="16"/>
                          </w:rPr>
                        </w:pPr>
                        <w:r>
                          <w:rPr>
                            <w:rFonts w:ascii="Cambria"/>
                            <w:sz w:val="16"/>
                          </w:rPr>
                          <w:t>228.4</w:t>
                        </w:r>
                      </w:p>
                    </w:tc>
                    <w:tc>
                      <w:tcPr>
                        <w:tcW w:w="899" w:type="dxa"/>
                      </w:tcPr>
                      <w:p>
                        <w:pPr>
                          <w:pStyle w:val="TableParagraph"/>
                          <w:spacing w:before="36"/>
                          <w:ind w:right="257"/>
                          <w:jc w:val="right"/>
                          <w:rPr>
                            <w:rFonts w:ascii="Cambria"/>
                            <w:sz w:val="16"/>
                          </w:rPr>
                        </w:pPr>
                        <w:r>
                          <w:rPr>
                            <w:rFonts w:ascii="Cambria"/>
                            <w:sz w:val="16"/>
                          </w:rPr>
                          <w:t>179.1</w:t>
                        </w:r>
                      </w:p>
                    </w:tc>
                    <w:tc>
                      <w:tcPr>
                        <w:tcW w:w="899" w:type="dxa"/>
                      </w:tcPr>
                      <w:p>
                        <w:pPr>
                          <w:pStyle w:val="TableParagraph"/>
                          <w:spacing w:before="36"/>
                          <w:ind w:right="258"/>
                          <w:jc w:val="right"/>
                          <w:rPr>
                            <w:rFonts w:ascii="Cambria"/>
                            <w:sz w:val="16"/>
                          </w:rPr>
                        </w:pPr>
                        <w:r>
                          <w:rPr>
                            <w:rFonts w:ascii="Cambria"/>
                            <w:sz w:val="16"/>
                          </w:rPr>
                          <w:t>169.0</w:t>
                        </w:r>
                      </w:p>
                    </w:tc>
                    <w:tc>
                      <w:tcPr>
                        <w:tcW w:w="876" w:type="dxa"/>
                      </w:tcPr>
                      <w:p>
                        <w:pPr>
                          <w:pStyle w:val="TableParagraph"/>
                          <w:spacing w:before="36"/>
                          <w:ind w:right="232"/>
                          <w:jc w:val="right"/>
                          <w:rPr>
                            <w:rFonts w:ascii="Cambria"/>
                            <w:sz w:val="16"/>
                          </w:rPr>
                        </w:pPr>
                        <w:r>
                          <w:rPr>
                            <w:rFonts w:ascii="Cambria"/>
                            <w:sz w:val="16"/>
                          </w:rPr>
                          <w:t>181.2</w:t>
                        </w:r>
                      </w:p>
                    </w:tc>
                    <w:tc>
                      <w:tcPr>
                        <w:tcW w:w="713" w:type="dxa"/>
                      </w:tcPr>
                      <w:p>
                        <w:pPr>
                          <w:pStyle w:val="TableParagraph"/>
                          <w:spacing w:before="36"/>
                          <w:ind w:right="187"/>
                          <w:jc w:val="right"/>
                          <w:rPr>
                            <w:rFonts w:ascii="Cambria"/>
                            <w:sz w:val="16"/>
                          </w:rPr>
                        </w:pPr>
                        <w:r>
                          <w:rPr>
                            <w:rFonts w:ascii="Cambria"/>
                            <w:sz w:val="16"/>
                          </w:rPr>
                          <w:t>67.9</w:t>
                        </w:r>
                      </w:p>
                    </w:tc>
                    <w:tc>
                      <w:tcPr>
                        <w:tcW w:w="468" w:type="dxa"/>
                      </w:tcPr>
                      <w:p>
                        <w:pPr>
                          <w:pStyle w:val="TableParagraph"/>
                          <w:spacing w:before="36"/>
                          <w:ind w:right="73"/>
                          <w:jc w:val="right"/>
                          <w:rPr>
                            <w:rFonts w:ascii="Cambria"/>
                            <w:sz w:val="16"/>
                          </w:rPr>
                        </w:pPr>
                        <w:r>
                          <w:rPr>
                            <w:rFonts w:ascii="Cambria"/>
                            <w:w w:val="95"/>
                            <w:sz w:val="16"/>
                          </w:rPr>
                          <w:t>5.5</w:t>
                        </w:r>
                      </w:p>
                    </w:tc>
                  </w:tr>
                  <w:tr>
                    <w:trPr>
                      <w:trHeight w:val="283" w:hRule="exact"/>
                    </w:trPr>
                    <w:tc>
                      <w:tcPr>
                        <w:tcW w:w="2480" w:type="dxa"/>
                      </w:tcPr>
                      <w:p>
                        <w:pPr>
                          <w:pStyle w:val="TableParagraph"/>
                          <w:spacing w:before="38"/>
                          <w:ind w:left="71"/>
                          <w:rPr>
                            <w:rFonts w:ascii="Cambria"/>
                            <w:sz w:val="16"/>
                          </w:rPr>
                        </w:pPr>
                        <w:r>
                          <w:rPr>
                            <w:rFonts w:ascii="Cambria"/>
                            <w:sz w:val="16"/>
                          </w:rPr>
                          <w:t>Myristoleic Acid</w:t>
                        </w:r>
                      </w:p>
                    </w:tc>
                    <w:tc>
                      <w:tcPr>
                        <w:tcW w:w="1266" w:type="dxa"/>
                      </w:tcPr>
                      <w:p>
                        <w:pPr>
                          <w:pStyle w:val="TableParagraph"/>
                          <w:spacing w:before="38"/>
                          <w:ind w:right="635"/>
                          <w:jc w:val="right"/>
                          <w:rPr>
                            <w:rFonts w:ascii="Cambria"/>
                            <w:i/>
                            <w:sz w:val="16"/>
                          </w:rPr>
                        </w:pPr>
                        <w:r>
                          <w:rPr>
                            <w:rFonts w:ascii="Cambria"/>
                            <w:i/>
                            <w:w w:val="99"/>
                            <w:sz w:val="16"/>
                          </w:rPr>
                          <w:t>c</w:t>
                        </w:r>
                      </w:p>
                    </w:tc>
                    <w:tc>
                      <w:tcPr>
                        <w:tcW w:w="1383" w:type="dxa"/>
                      </w:tcPr>
                      <w:p>
                        <w:pPr>
                          <w:pStyle w:val="TableParagraph"/>
                          <w:spacing w:before="38"/>
                          <w:ind w:right="256"/>
                          <w:jc w:val="right"/>
                          <w:rPr>
                            <w:rFonts w:ascii="Cambria"/>
                            <w:sz w:val="16"/>
                          </w:rPr>
                        </w:pPr>
                        <w:r>
                          <w:rPr>
                            <w:rFonts w:ascii="Cambria"/>
                            <w:sz w:val="16"/>
                          </w:rPr>
                          <w:t>226.4</w:t>
                        </w:r>
                      </w:p>
                    </w:tc>
                    <w:tc>
                      <w:tcPr>
                        <w:tcW w:w="899" w:type="dxa"/>
                      </w:tcPr>
                      <w:p>
                        <w:pPr>
                          <w:pStyle w:val="TableParagraph"/>
                          <w:spacing w:before="38"/>
                          <w:ind w:right="251"/>
                          <w:jc w:val="right"/>
                          <w:rPr>
                            <w:rFonts w:ascii="Cambria"/>
                            <w:sz w:val="16"/>
                          </w:rPr>
                        </w:pPr>
                        <w:r>
                          <w:rPr>
                            <w:rFonts w:ascii="Cambria"/>
                            <w:sz w:val="16"/>
                          </w:rPr>
                          <w:t>172.1</w:t>
                        </w:r>
                      </w:p>
                    </w:tc>
                    <w:tc>
                      <w:tcPr>
                        <w:tcW w:w="899" w:type="dxa"/>
                      </w:tcPr>
                      <w:p>
                        <w:pPr>
                          <w:pStyle w:val="TableParagraph"/>
                          <w:spacing w:before="38"/>
                          <w:ind w:right="258"/>
                          <w:jc w:val="right"/>
                          <w:rPr>
                            <w:rFonts w:ascii="Cambria"/>
                            <w:sz w:val="16"/>
                          </w:rPr>
                        </w:pPr>
                        <w:r>
                          <w:rPr>
                            <w:rFonts w:ascii="Cambria"/>
                            <w:sz w:val="16"/>
                          </w:rPr>
                          <w:t>162.0</w:t>
                        </w:r>
                      </w:p>
                    </w:tc>
                    <w:tc>
                      <w:tcPr>
                        <w:tcW w:w="876" w:type="dxa"/>
                      </w:tcPr>
                      <w:p>
                        <w:pPr>
                          <w:pStyle w:val="TableParagraph"/>
                          <w:spacing w:before="38"/>
                          <w:ind w:right="232"/>
                          <w:jc w:val="right"/>
                          <w:rPr>
                            <w:rFonts w:ascii="Cambria"/>
                            <w:sz w:val="16"/>
                          </w:rPr>
                        </w:pPr>
                        <w:r>
                          <w:rPr>
                            <w:rFonts w:ascii="Cambria"/>
                            <w:sz w:val="16"/>
                          </w:rPr>
                          <w:t>174.2</w:t>
                        </w:r>
                      </w:p>
                    </w:tc>
                    <w:tc>
                      <w:tcPr>
                        <w:tcW w:w="713" w:type="dxa"/>
                      </w:tcPr>
                      <w:p>
                        <w:pPr>
                          <w:pStyle w:val="TableParagraph"/>
                          <w:spacing w:before="38"/>
                          <w:ind w:right="187"/>
                          <w:jc w:val="right"/>
                          <w:rPr>
                            <w:rFonts w:ascii="Cambria"/>
                            <w:sz w:val="16"/>
                          </w:rPr>
                        </w:pPr>
                        <w:r>
                          <w:rPr>
                            <w:rFonts w:ascii="Cambria"/>
                            <w:sz w:val="16"/>
                          </w:rPr>
                          <w:t>69.0</w:t>
                        </w:r>
                      </w:p>
                    </w:tc>
                    <w:tc>
                      <w:tcPr>
                        <w:tcW w:w="468" w:type="dxa"/>
                      </w:tcPr>
                      <w:p>
                        <w:pPr>
                          <w:pStyle w:val="TableParagraph"/>
                          <w:spacing w:before="38"/>
                          <w:ind w:right="73"/>
                          <w:jc w:val="right"/>
                          <w:rPr>
                            <w:rFonts w:ascii="Cambria"/>
                            <w:sz w:val="16"/>
                          </w:rPr>
                        </w:pPr>
                        <w:r>
                          <w:rPr>
                            <w:rFonts w:ascii="Cambria"/>
                            <w:w w:val="95"/>
                            <w:sz w:val="16"/>
                          </w:rPr>
                          <w:t>5.0</w:t>
                        </w:r>
                      </w:p>
                    </w:tc>
                  </w:tr>
                  <w:tr>
                    <w:trPr>
                      <w:trHeight w:val="281" w:hRule="exact"/>
                    </w:trPr>
                    <w:tc>
                      <w:tcPr>
                        <w:tcW w:w="2480" w:type="dxa"/>
                      </w:tcPr>
                      <w:p>
                        <w:pPr>
                          <w:pStyle w:val="TableParagraph"/>
                          <w:spacing w:before="38"/>
                          <w:ind w:left="71"/>
                          <w:rPr>
                            <w:rFonts w:ascii="Cambria"/>
                            <w:sz w:val="16"/>
                          </w:rPr>
                        </w:pPr>
                        <w:r>
                          <w:rPr>
                            <w:rFonts w:ascii="Cambria"/>
                            <w:sz w:val="16"/>
                          </w:rPr>
                          <w:t>Pentadecanoic Acid</w:t>
                        </w:r>
                      </w:p>
                    </w:tc>
                    <w:tc>
                      <w:tcPr>
                        <w:tcW w:w="1266" w:type="dxa"/>
                      </w:tcPr>
                      <w:p>
                        <w:pPr>
                          <w:pStyle w:val="TableParagraph"/>
                          <w:spacing w:before="38"/>
                          <w:ind w:right="652"/>
                          <w:jc w:val="right"/>
                          <w:rPr>
                            <w:rFonts w:ascii="Cambria"/>
                            <w:i/>
                            <w:sz w:val="16"/>
                          </w:rPr>
                        </w:pPr>
                        <w:r>
                          <w:rPr>
                            <w:rFonts w:ascii="Cambria"/>
                            <w:i/>
                            <w:w w:val="99"/>
                            <w:sz w:val="16"/>
                          </w:rPr>
                          <w:t>l</w:t>
                        </w:r>
                      </w:p>
                    </w:tc>
                    <w:tc>
                      <w:tcPr>
                        <w:tcW w:w="1383" w:type="dxa"/>
                      </w:tcPr>
                      <w:p>
                        <w:pPr>
                          <w:pStyle w:val="TableParagraph"/>
                          <w:spacing w:before="38"/>
                          <w:ind w:right="256"/>
                          <w:jc w:val="right"/>
                          <w:rPr>
                            <w:rFonts w:ascii="Cambria"/>
                            <w:sz w:val="16"/>
                          </w:rPr>
                        </w:pPr>
                        <w:r>
                          <w:rPr>
                            <w:rFonts w:ascii="Cambria"/>
                            <w:sz w:val="16"/>
                          </w:rPr>
                          <w:t>242.5</w:t>
                        </w:r>
                      </w:p>
                    </w:tc>
                    <w:tc>
                      <w:tcPr>
                        <w:tcW w:w="899" w:type="dxa"/>
                      </w:tcPr>
                      <w:p>
                        <w:pPr>
                          <w:pStyle w:val="TableParagraph"/>
                          <w:spacing w:before="38"/>
                          <w:ind w:right="257"/>
                          <w:jc w:val="right"/>
                          <w:rPr>
                            <w:rFonts w:ascii="Cambria"/>
                            <w:sz w:val="16"/>
                          </w:rPr>
                        </w:pPr>
                        <w:r>
                          <w:rPr>
                            <w:rFonts w:ascii="Cambria"/>
                            <w:sz w:val="16"/>
                          </w:rPr>
                          <w:t>202.0</w:t>
                        </w:r>
                      </w:p>
                    </w:tc>
                    <w:tc>
                      <w:tcPr>
                        <w:tcW w:w="899" w:type="dxa"/>
                      </w:tcPr>
                      <w:p>
                        <w:pPr>
                          <w:pStyle w:val="TableParagraph"/>
                          <w:spacing w:before="38"/>
                          <w:ind w:right="258"/>
                          <w:jc w:val="right"/>
                          <w:rPr>
                            <w:rFonts w:ascii="Cambria"/>
                            <w:sz w:val="16"/>
                          </w:rPr>
                        </w:pPr>
                        <w:r>
                          <w:rPr>
                            <w:rFonts w:ascii="Cambria"/>
                            <w:sz w:val="16"/>
                          </w:rPr>
                          <w:t>191.8</w:t>
                        </w:r>
                      </w:p>
                    </w:tc>
                    <w:tc>
                      <w:tcPr>
                        <w:tcW w:w="876" w:type="dxa"/>
                      </w:tcPr>
                      <w:p>
                        <w:pPr>
                          <w:pStyle w:val="TableParagraph"/>
                          <w:spacing w:before="38"/>
                          <w:ind w:right="232"/>
                          <w:jc w:val="right"/>
                          <w:rPr>
                            <w:rFonts w:ascii="Cambria"/>
                            <w:sz w:val="16"/>
                          </w:rPr>
                        </w:pPr>
                        <w:r>
                          <w:rPr>
                            <w:rFonts w:ascii="Cambria"/>
                            <w:sz w:val="16"/>
                          </w:rPr>
                          <w:t>204.1</w:t>
                        </w:r>
                      </w:p>
                    </w:tc>
                    <w:tc>
                      <w:tcPr>
                        <w:tcW w:w="713" w:type="dxa"/>
                      </w:tcPr>
                      <w:p>
                        <w:pPr>
                          <w:pStyle w:val="TableParagraph"/>
                          <w:spacing w:before="38"/>
                          <w:ind w:right="187"/>
                          <w:jc w:val="right"/>
                          <w:rPr>
                            <w:rFonts w:ascii="Cambria"/>
                            <w:sz w:val="16"/>
                          </w:rPr>
                        </w:pPr>
                        <w:r>
                          <w:rPr>
                            <w:rFonts w:ascii="Cambria"/>
                            <w:sz w:val="16"/>
                          </w:rPr>
                          <w:t>72.5</w:t>
                        </w:r>
                      </w:p>
                    </w:tc>
                    <w:tc>
                      <w:tcPr>
                        <w:tcW w:w="468" w:type="dxa"/>
                      </w:tcPr>
                      <w:p>
                        <w:pPr>
                          <w:pStyle w:val="TableParagraph"/>
                          <w:spacing w:before="38"/>
                          <w:ind w:right="73"/>
                          <w:jc w:val="right"/>
                          <w:rPr>
                            <w:rFonts w:ascii="Cambria"/>
                            <w:sz w:val="16"/>
                          </w:rPr>
                        </w:pPr>
                        <w:r>
                          <w:rPr>
                            <w:rFonts w:ascii="Cambria"/>
                            <w:w w:val="95"/>
                            <w:sz w:val="16"/>
                          </w:rPr>
                          <w:t>5.9</w:t>
                        </w:r>
                      </w:p>
                    </w:tc>
                  </w:tr>
                  <w:tr>
                    <w:trPr>
                      <w:trHeight w:val="281" w:hRule="exact"/>
                    </w:trPr>
                    <w:tc>
                      <w:tcPr>
                        <w:tcW w:w="2480" w:type="dxa"/>
                      </w:tcPr>
                      <w:p>
                        <w:pPr>
                          <w:pStyle w:val="TableParagraph"/>
                          <w:spacing w:before="36"/>
                          <w:ind w:left="71"/>
                          <w:rPr>
                            <w:rFonts w:ascii="Cambria"/>
                            <w:sz w:val="16"/>
                          </w:rPr>
                        </w:pPr>
                        <w:r>
                          <w:rPr>
                            <w:rFonts w:ascii="Cambria"/>
                            <w:i/>
                            <w:sz w:val="16"/>
                          </w:rPr>
                          <w:t>cis</w:t>
                        </w:r>
                        <w:r>
                          <w:rPr>
                            <w:rFonts w:ascii="Cambria"/>
                            <w:sz w:val="16"/>
                          </w:rPr>
                          <w:t>-10-Pentadecenoic acid</w:t>
                        </w:r>
                      </w:p>
                    </w:tc>
                    <w:tc>
                      <w:tcPr>
                        <w:tcW w:w="1266" w:type="dxa"/>
                      </w:tcPr>
                      <w:p>
                        <w:pPr>
                          <w:pStyle w:val="TableParagraph"/>
                          <w:spacing w:before="36"/>
                          <w:ind w:right="635"/>
                          <w:jc w:val="right"/>
                          <w:rPr>
                            <w:rFonts w:ascii="Cambria"/>
                            <w:i/>
                            <w:sz w:val="16"/>
                          </w:rPr>
                        </w:pPr>
                        <w:r>
                          <w:rPr>
                            <w:rFonts w:ascii="Cambria"/>
                            <w:i/>
                            <w:w w:val="98"/>
                            <w:sz w:val="16"/>
                          </w:rPr>
                          <w:t>c</w:t>
                        </w:r>
                      </w:p>
                    </w:tc>
                    <w:tc>
                      <w:tcPr>
                        <w:tcW w:w="1383" w:type="dxa"/>
                      </w:tcPr>
                      <w:p>
                        <w:pPr>
                          <w:pStyle w:val="TableParagraph"/>
                          <w:spacing w:before="36"/>
                          <w:ind w:right="256"/>
                          <w:jc w:val="right"/>
                          <w:rPr>
                            <w:rFonts w:ascii="Cambria"/>
                            <w:sz w:val="16"/>
                          </w:rPr>
                        </w:pPr>
                        <w:r>
                          <w:rPr>
                            <w:rFonts w:ascii="Cambria"/>
                            <w:sz w:val="16"/>
                          </w:rPr>
                          <w:t>240.4</w:t>
                        </w:r>
                      </w:p>
                    </w:tc>
                    <w:tc>
                      <w:tcPr>
                        <w:tcW w:w="899" w:type="dxa"/>
                      </w:tcPr>
                      <w:p>
                        <w:pPr>
                          <w:pStyle w:val="TableParagraph"/>
                          <w:spacing w:before="36"/>
                          <w:ind w:right="257"/>
                          <w:jc w:val="right"/>
                          <w:rPr>
                            <w:rFonts w:ascii="Cambria"/>
                            <w:sz w:val="16"/>
                          </w:rPr>
                        </w:pPr>
                        <w:r>
                          <w:rPr>
                            <w:rFonts w:ascii="Cambria"/>
                            <w:sz w:val="16"/>
                          </w:rPr>
                          <w:t>194.8</w:t>
                        </w:r>
                      </w:p>
                    </w:tc>
                    <w:tc>
                      <w:tcPr>
                        <w:tcW w:w="899" w:type="dxa"/>
                      </w:tcPr>
                      <w:p>
                        <w:pPr>
                          <w:pStyle w:val="TableParagraph"/>
                          <w:spacing w:before="36"/>
                          <w:ind w:right="258"/>
                          <w:jc w:val="right"/>
                          <w:rPr>
                            <w:rFonts w:ascii="Cambria"/>
                            <w:sz w:val="16"/>
                          </w:rPr>
                        </w:pPr>
                        <w:r>
                          <w:rPr>
                            <w:rFonts w:ascii="Cambria"/>
                            <w:sz w:val="16"/>
                          </w:rPr>
                          <w:t>184.5</w:t>
                        </w:r>
                      </w:p>
                    </w:tc>
                    <w:tc>
                      <w:tcPr>
                        <w:tcW w:w="876" w:type="dxa"/>
                      </w:tcPr>
                      <w:p>
                        <w:pPr>
                          <w:pStyle w:val="TableParagraph"/>
                          <w:spacing w:before="36"/>
                          <w:ind w:right="232"/>
                          <w:jc w:val="right"/>
                          <w:rPr>
                            <w:rFonts w:ascii="Cambria"/>
                            <w:sz w:val="16"/>
                          </w:rPr>
                        </w:pPr>
                        <w:r>
                          <w:rPr>
                            <w:rFonts w:ascii="Cambria"/>
                            <w:sz w:val="16"/>
                          </w:rPr>
                          <w:t>196.9</w:t>
                        </w:r>
                      </w:p>
                    </w:tc>
                    <w:tc>
                      <w:tcPr>
                        <w:tcW w:w="713" w:type="dxa"/>
                      </w:tcPr>
                      <w:p>
                        <w:pPr>
                          <w:pStyle w:val="TableParagraph"/>
                          <w:spacing w:before="36"/>
                          <w:ind w:right="187"/>
                          <w:jc w:val="right"/>
                          <w:rPr>
                            <w:rFonts w:ascii="Cambria"/>
                            <w:sz w:val="16"/>
                          </w:rPr>
                        </w:pPr>
                        <w:r>
                          <w:rPr>
                            <w:rFonts w:ascii="Cambria"/>
                            <w:sz w:val="16"/>
                          </w:rPr>
                          <w:t>73.6</w:t>
                        </w:r>
                      </w:p>
                    </w:tc>
                    <w:tc>
                      <w:tcPr>
                        <w:tcW w:w="468" w:type="dxa"/>
                      </w:tcPr>
                      <w:p>
                        <w:pPr>
                          <w:pStyle w:val="TableParagraph"/>
                          <w:spacing w:before="36"/>
                          <w:ind w:right="73"/>
                          <w:jc w:val="right"/>
                          <w:rPr>
                            <w:rFonts w:ascii="Cambria"/>
                            <w:sz w:val="16"/>
                          </w:rPr>
                        </w:pPr>
                        <w:r>
                          <w:rPr>
                            <w:rFonts w:ascii="Cambria"/>
                            <w:w w:val="95"/>
                            <w:sz w:val="16"/>
                          </w:rPr>
                          <w:t>5.5</w:t>
                        </w:r>
                      </w:p>
                    </w:tc>
                  </w:tr>
                  <w:tr>
                    <w:trPr>
                      <w:trHeight w:val="283" w:hRule="exact"/>
                    </w:trPr>
                    <w:tc>
                      <w:tcPr>
                        <w:tcW w:w="2480" w:type="dxa"/>
                      </w:tcPr>
                      <w:p>
                        <w:pPr>
                          <w:pStyle w:val="TableParagraph"/>
                          <w:spacing w:before="38"/>
                          <w:ind w:left="71"/>
                          <w:rPr>
                            <w:rFonts w:ascii="Cambria"/>
                            <w:sz w:val="16"/>
                          </w:rPr>
                        </w:pPr>
                        <w:r>
                          <w:rPr>
                            <w:rFonts w:ascii="Cambria"/>
                            <w:sz w:val="16"/>
                          </w:rPr>
                          <w:t>Palmitic Acid</w:t>
                        </w:r>
                      </w:p>
                    </w:tc>
                    <w:tc>
                      <w:tcPr>
                        <w:tcW w:w="1266" w:type="dxa"/>
                      </w:tcPr>
                      <w:p>
                        <w:pPr>
                          <w:pStyle w:val="TableParagraph"/>
                          <w:spacing w:before="38"/>
                          <w:ind w:right="652"/>
                          <w:jc w:val="right"/>
                          <w:rPr>
                            <w:rFonts w:ascii="Cambria"/>
                            <w:i/>
                            <w:sz w:val="16"/>
                          </w:rPr>
                        </w:pPr>
                        <w:r>
                          <w:rPr>
                            <w:rFonts w:ascii="Cambria"/>
                            <w:i/>
                            <w:w w:val="98"/>
                            <w:sz w:val="16"/>
                          </w:rPr>
                          <w:t>l</w:t>
                        </w:r>
                      </w:p>
                    </w:tc>
                    <w:tc>
                      <w:tcPr>
                        <w:tcW w:w="1383" w:type="dxa"/>
                      </w:tcPr>
                      <w:p>
                        <w:pPr>
                          <w:pStyle w:val="TableParagraph"/>
                          <w:spacing w:before="38"/>
                          <w:ind w:right="256"/>
                          <w:jc w:val="right"/>
                          <w:rPr>
                            <w:rFonts w:ascii="Cambria"/>
                            <w:sz w:val="16"/>
                          </w:rPr>
                        </w:pPr>
                        <w:r>
                          <w:rPr>
                            <w:rFonts w:ascii="Cambria"/>
                            <w:sz w:val="16"/>
                          </w:rPr>
                          <w:t>256.5</w:t>
                        </w:r>
                      </w:p>
                    </w:tc>
                    <w:tc>
                      <w:tcPr>
                        <w:tcW w:w="899" w:type="dxa"/>
                      </w:tcPr>
                      <w:p>
                        <w:pPr>
                          <w:pStyle w:val="TableParagraph"/>
                          <w:spacing w:before="38"/>
                          <w:ind w:right="257"/>
                          <w:jc w:val="right"/>
                          <w:rPr>
                            <w:rFonts w:ascii="Cambria"/>
                            <w:sz w:val="16"/>
                          </w:rPr>
                        </w:pPr>
                        <w:r>
                          <w:rPr>
                            <w:rFonts w:ascii="Cambria"/>
                            <w:sz w:val="16"/>
                          </w:rPr>
                          <w:t>226.3</w:t>
                        </w:r>
                      </w:p>
                    </w:tc>
                    <w:tc>
                      <w:tcPr>
                        <w:tcW w:w="899" w:type="dxa"/>
                      </w:tcPr>
                      <w:p>
                        <w:pPr>
                          <w:pStyle w:val="TableParagraph"/>
                          <w:spacing w:before="38"/>
                          <w:ind w:right="258"/>
                          <w:jc w:val="right"/>
                          <w:rPr>
                            <w:rFonts w:ascii="Cambria"/>
                            <w:sz w:val="16"/>
                          </w:rPr>
                        </w:pPr>
                        <w:r>
                          <w:rPr>
                            <w:rFonts w:ascii="Cambria"/>
                            <w:sz w:val="16"/>
                          </w:rPr>
                          <w:t>216.0</w:t>
                        </w:r>
                      </w:p>
                    </w:tc>
                    <w:tc>
                      <w:tcPr>
                        <w:tcW w:w="876" w:type="dxa"/>
                      </w:tcPr>
                      <w:p>
                        <w:pPr>
                          <w:pStyle w:val="TableParagraph"/>
                          <w:spacing w:before="38"/>
                          <w:ind w:right="232"/>
                          <w:jc w:val="right"/>
                          <w:rPr>
                            <w:rFonts w:ascii="Cambria"/>
                            <w:sz w:val="16"/>
                          </w:rPr>
                        </w:pPr>
                        <w:r>
                          <w:rPr>
                            <w:rFonts w:ascii="Cambria"/>
                            <w:sz w:val="16"/>
                          </w:rPr>
                          <w:t>228.4</w:t>
                        </w:r>
                      </w:p>
                    </w:tc>
                    <w:tc>
                      <w:tcPr>
                        <w:tcW w:w="713" w:type="dxa"/>
                      </w:tcPr>
                      <w:p>
                        <w:pPr>
                          <w:pStyle w:val="TableParagraph"/>
                          <w:spacing w:before="38"/>
                          <w:ind w:right="187"/>
                          <w:jc w:val="right"/>
                          <w:rPr>
                            <w:rFonts w:ascii="Cambria"/>
                            <w:sz w:val="16"/>
                          </w:rPr>
                        </w:pPr>
                        <w:r>
                          <w:rPr>
                            <w:rFonts w:ascii="Cambria"/>
                            <w:sz w:val="16"/>
                          </w:rPr>
                          <w:t>77.1</w:t>
                        </w:r>
                      </w:p>
                    </w:tc>
                    <w:tc>
                      <w:tcPr>
                        <w:tcW w:w="468" w:type="dxa"/>
                      </w:tcPr>
                      <w:p>
                        <w:pPr>
                          <w:pStyle w:val="TableParagraph"/>
                          <w:spacing w:before="38"/>
                          <w:ind w:right="73"/>
                          <w:jc w:val="right"/>
                          <w:rPr>
                            <w:rFonts w:ascii="Cambria"/>
                            <w:sz w:val="16"/>
                          </w:rPr>
                        </w:pPr>
                        <w:r>
                          <w:rPr>
                            <w:rFonts w:ascii="Cambria"/>
                            <w:w w:val="95"/>
                            <w:sz w:val="16"/>
                          </w:rPr>
                          <w:t>6.4</w:t>
                        </w:r>
                      </w:p>
                    </w:tc>
                  </w:tr>
                  <w:tr>
                    <w:trPr>
                      <w:trHeight w:val="281" w:hRule="exact"/>
                    </w:trPr>
                    <w:tc>
                      <w:tcPr>
                        <w:tcW w:w="2480" w:type="dxa"/>
                      </w:tcPr>
                      <w:p>
                        <w:pPr>
                          <w:pStyle w:val="TableParagraph"/>
                          <w:spacing w:before="38"/>
                          <w:ind w:left="71"/>
                          <w:rPr>
                            <w:rFonts w:ascii="Cambria"/>
                            <w:sz w:val="16"/>
                          </w:rPr>
                        </w:pPr>
                        <w:r>
                          <w:rPr>
                            <w:rFonts w:ascii="Cambria"/>
                            <w:sz w:val="16"/>
                          </w:rPr>
                          <w:t>Palmitoleic Acid</w:t>
                        </w:r>
                      </w:p>
                    </w:tc>
                    <w:tc>
                      <w:tcPr>
                        <w:tcW w:w="1266" w:type="dxa"/>
                      </w:tcPr>
                      <w:p>
                        <w:pPr>
                          <w:pStyle w:val="TableParagraph"/>
                          <w:spacing w:before="38"/>
                          <w:ind w:right="635"/>
                          <w:jc w:val="right"/>
                          <w:rPr>
                            <w:rFonts w:ascii="Cambria"/>
                            <w:i/>
                            <w:sz w:val="16"/>
                          </w:rPr>
                        </w:pPr>
                        <w:r>
                          <w:rPr>
                            <w:rFonts w:ascii="Cambria"/>
                            <w:i/>
                            <w:w w:val="98"/>
                            <w:sz w:val="16"/>
                          </w:rPr>
                          <w:t>c</w:t>
                        </w:r>
                      </w:p>
                    </w:tc>
                    <w:tc>
                      <w:tcPr>
                        <w:tcW w:w="1383" w:type="dxa"/>
                      </w:tcPr>
                      <w:p>
                        <w:pPr>
                          <w:pStyle w:val="TableParagraph"/>
                          <w:spacing w:before="38"/>
                          <w:ind w:right="256"/>
                          <w:jc w:val="right"/>
                          <w:rPr>
                            <w:rFonts w:ascii="Cambria"/>
                            <w:sz w:val="16"/>
                          </w:rPr>
                        </w:pPr>
                        <w:r>
                          <w:rPr>
                            <w:rFonts w:ascii="Cambria"/>
                            <w:sz w:val="16"/>
                          </w:rPr>
                          <w:t>254.5</w:t>
                        </w:r>
                      </w:p>
                    </w:tc>
                    <w:tc>
                      <w:tcPr>
                        <w:tcW w:w="899" w:type="dxa"/>
                      </w:tcPr>
                      <w:p>
                        <w:pPr>
                          <w:pStyle w:val="TableParagraph"/>
                          <w:spacing w:before="38"/>
                          <w:ind w:right="257"/>
                          <w:jc w:val="right"/>
                          <w:rPr>
                            <w:rFonts w:ascii="Cambria"/>
                            <w:sz w:val="16"/>
                          </w:rPr>
                        </w:pPr>
                        <w:r>
                          <w:rPr>
                            <w:rFonts w:ascii="Cambria"/>
                            <w:sz w:val="16"/>
                          </w:rPr>
                          <w:t>217.9</w:t>
                        </w:r>
                      </w:p>
                    </w:tc>
                    <w:tc>
                      <w:tcPr>
                        <w:tcW w:w="899" w:type="dxa"/>
                      </w:tcPr>
                      <w:p>
                        <w:pPr>
                          <w:pStyle w:val="TableParagraph"/>
                          <w:spacing w:before="38"/>
                          <w:ind w:right="258"/>
                          <w:jc w:val="right"/>
                          <w:rPr>
                            <w:rFonts w:ascii="Cambria"/>
                            <w:sz w:val="16"/>
                          </w:rPr>
                        </w:pPr>
                        <w:r>
                          <w:rPr>
                            <w:rFonts w:ascii="Cambria"/>
                            <w:sz w:val="16"/>
                          </w:rPr>
                          <w:t>207.6</w:t>
                        </w:r>
                      </w:p>
                    </w:tc>
                    <w:tc>
                      <w:tcPr>
                        <w:tcW w:w="876" w:type="dxa"/>
                      </w:tcPr>
                      <w:p>
                        <w:pPr>
                          <w:pStyle w:val="TableParagraph"/>
                          <w:spacing w:before="38"/>
                          <w:ind w:right="232"/>
                          <w:jc w:val="right"/>
                          <w:rPr>
                            <w:rFonts w:ascii="Cambria"/>
                            <w:sz w:val="16"/>
                          </w:rPr>
                        </w:pPr>
                        <w:r>
                          <w:rPr>
                            <w:rFonts w:ascii="Cambria"/>
                            <w:sz w:val="16"/>
                          </w:rPr>
                          <w:t>220.1</w:t>
                        </w:r>
                      </w:p>
                    </w:tc>
                    <w:tc>
                      <w:tcPr>
                        <w:tcW w:w="713" w:type="dxa"/>
                      </w:tcPr>
                      <w:p>
                        <w:pPr>
                          <w:pStyle w:val="TableParagraph"/>
                          <w:spacing w:before="38"/>
                          <w:ind w:right="187"/>
                          <w:jc w:val="right"/>
                          <w:rPr>
                            <w:rFonts w:ascii="Cambria"/>
                            <w:sz w:val="16"/>
                          </w:rPr>
                        </w:pPr>
                        <w:r>
                          <w:rPr>
                            <w:rFonts w:ascii="Cambria"/>
                            <w:sz w:val="16"/>
                          </w:rPr>
                          <w:t>78.2</w:t>
                        </w:r>
                      </w:p>
                    </w:tc>
                    <w:tc>
                      <w:tcPr>
                        <w:tcW w:w="468" w:type="dxa"/>
                      </w:tcPr>
                      <w:p>
                        <w:pPr>
                          <w:pStyle w:val="TableParagraph"/>
                          <w:spacing w:before="38"/>
                          <w:ind w:right="73"/>
                          <w:jc w:val="right"/>
                          <w:rPr>
                            <w:rFonts w:ascii="Cambria"/>
                            <w:sz w:val="16"/>
                          </w:rPr>
                        </w:pPr>
                        <w:r>
                          <w:rPr>
                            <w:rFonts w:ascii="Cambria"/>
                            <w:w w:val="95"/>
                            <w:sz w:val="16"/>
                          </w:rPr>
                          <w:t>5.9</w:t>
                        </w:r>
                      </w:p>
                    </w:tc>
                  </w:tr>
                  <w:tr>
                    <w:trPr>
                      <w:trHeight w:val="281" w:hRule="exact"/>
                    </w:trPr>
                    <w:tc>
                      <w:tcPr>
                        <w:tcW w:w="2480" w:type="dxa"/>
                      </w:tcPr>
                      <w:p>
                        <w:pPr>
                          <w:pStyle w:val="TableParagraph"/>
                          <w:spacing w:before="36"/>
                          <w:ind w:left="71"/>
                          <w:rPr>
                            <w:rFonts w:ascii="Cambria"/>
                            <w:sz w:val="16"/>
                          </w:rPr>
                        </w:pPr>
                        <w:r>
                          <w:rPr>
                            <w:rFonts w:ascii="Cambria"/>
                            <w:sz w:val="16"/>
                          </w:rPr>
                          <w:t>Heptadecanoic acid</w:t>
                        </w:r>
                      </w:p>
                    </w:tc>
                    <w:tc>
                      <w:tcPr>
                        <w:tcW w:w="1266" w:type="dxa"/>
                      </w:tcPr>
                      <w:p>
                        <w:pPr>
                          <w:pStyle w:val="TableParagraph"/>
                          <w:spacing w:before="36"/>
                          <w:ind w:right="652"/>
                          <w:jc w:val="right"/>
                          <w:rPr>
                            <w:rFonts w:ascii="Cambria"/>
                            <w:i/>
                            <w:sz w:val="16"/>
                          </w:rPr>
                        </w:pPr>
                        <w:r>
                          <w:rPr>
                            <w:rFonts w:ascii="Cambria"/>
                            <w:i/>
                            <w:w w:val="98"/>
                            <w:sz w:val="16"/>
                          </w:rPr>
                          <w:t>l</w:t>
                        </w:r>
                      </w:p>
                    </w:tc>
                    <w:tc>
                      <w:tcPr>
                        <w:tcW w:w="1383" w:type="dxa"/>
                      </w:tcPr>
                      <w:p>
                        <w:pPr>
                          <w:pStyle w:val="TableParagraph"/>
                          <w:spacing w:before="36"/>
                          <w:ind w:right="256"/>
                          <w:jc w:val="right"/>
                          <w:rPr>
                            <w:rFonts w:ascii="Cambria"/>
                            <w:sz w:val="16"/>
                          </w:rPr>
                        </w:pPr>
                        <w:r>
                          <w:rPr>
                            <w:rFonts w:ascii="Cambria"/>
                            <w:sz w:val="16"/>
                          </w:rPr>
                          <w:t>270.5</w:t>
                        </w:r>
                      </w:p>
                    </w:tc>
                    <w:tc>
                      <w:tcPr>
                        <w:tcW w:w="899" w:type="dxa"/>
                      </w:tcPr>
                      <w:p>
                        <w:pPr>
                          <w:pStyle w:val="TableParagraph"/>
                          <w:spacing w:before="36"/>
                          <w:ind w:right="257"/>
                          <w:jc w:val="right"/>
                          <w:rPr>
                            <w:rFonts w:ascii="Cambria"/>
                            <w:sz w:val="16"/>
                          </w:rPr>
                        </w:pPr>
                        <w:r>
                          <w:rPr>
                            <w:rFonts w:ascii="Cambria"/>
                            <w:sz w:val="16"/>
                          </w:rPr>
                          <w:t>252.0</w:t>
                        </w:r>
                      </w:p>
                    </w:tc>
                    <w:tc>
                      <w:tcPr>
                        <w:tcW w:w="899" w:type="dxa"/>
                      </w:tcPr>
                      <w:p>
                        <w:pPr>
                          <w:pStyle w:val="TableParagraph"/>
                          <w:spacing w:before="36"/>
                          <w:ind w:right="258"/>
                          <w:jc w:val="right"/>
                          <w:rPr>
                            <w:rFonts w:ascii="Cambria"/>
                            <w:sz w:val="16"/>
                          </w:rPr>
                        </w:pPr>
                        <w:r>
                          <w:rPr>
                            <w:rFonts w:ascii="Cambria"/>
                            <w:sz w:val="16"/>
                          </w:rPr>
                          <w:t>241.6</w:t>
                        </w:r>
                      </w:p>
                    </w:tc>
                    <w:tc>
                      <w:tcPr>
                        <w:tcW w:w="876" w:type="dxa"/>
                      </w:tcPr>
                      <w:p>
                        <w:pPr>
                          <w:pStyle w:val="TableParagraph"/>
                          <w:spacing w:before="36"/>
                          <w:ind w:right="232"/>
                          <w:jc w:val="right"/>
                          <w:rPr>
                            <w:rFonts w:ascii="Cambria"/>
                            <w:sz w:val="16"/>
                          </w:rPr>
                        </w:pPr>
                        <w:r>
                          <w:rPr>
                            <w:rFonts w:ascii="Cambria"/>
                            <w:sz w:val="16"/>
                          </w:rPr>
                          <w:t>254.1</w:t>
                        </w:r>
                      </w:p>
                    </w:tc>
                    <w:tc>
                      <w:tcPr>
                        <w:tcW w:w="713" w:type="dxa"/>
                      </w:tcPr>
                      <w:p>
                        <w:pPr>
                          <w:pStyle w:val="TableParagraph"/>
                          <w:spacing w:before="36"/>
                          <w:ind w:right="187"/>
                          <w:jc w:val="right"/>
                          <w:rPr>
                            <w:rFonts w:ascii="Cambria"/>
                            <w:sz w:val="16"/>
                          </w:rPr>
                        </w:pPr>
                        <w:r>
                          <w:rPr>
                            <w:rFonts w:ascii="Cambria"/>
                            <w:sz w:val="16"/>
                          </w:rPr>
                          <w:t>81.7</w:t>
                        </w:r>
                      </w:p>
                    </w:tc>
                    <w:tc>
                      <w:tcPr>
                        <w:tcW w:w="468" w:type="dxa"/>
                      </w:tcPr>
                      <w:p>
                        <w:pPr>
                          <w:pStyle w:val="TableParagraph"/>
                          <w:spacing w:before="36"/>
                          <w:ind w:right="73"/>
                          <w:jc w:val="right"/>
                          <w:rPr>
                            <w:rFonts w:ascii="Cambria"/>
                            <w:sz w:val="16"/>
                          </w:rPr>
                        </w:pPr>
                        <w:r>
                          <w:rPr>
                            <w:rFonts w:ascii="Cambria"/>
                            <w:w w:val="95"/>
                            <w:sz w:val="16"/>
                          </w:rPr>
                          <w:t>6.8</w:t>
                        </w:r>
                      </w:p>
                    </w:tc>
                  </w:tr>
                  <w:tr>
                    <w:trPr>
                      <w:trHeight w:val="211" w:hRule="exact"/>
                    </w:trPr>
                    <w:tc>
                      <w:tcPr>
                        <w:tcW w:w="2480" w:type="dxa"/>
                      </w:tcPr>
                      <w:p>
                        <w:pPr>
                          <w:pStyle w:val="TableParagraph"/>
                          <w:spacing w:before="38"/>
                          <w:ind w:left="71"/>
                          <w:rPr>
                            <w:rFonts w:ascii="Cambria"/>
                            <w:sz w:val="16"/>
                          </w:rPr>
                        </w:pPr>
                        <w:r>
                          <w:rPr>
                            <w:rFonts w:ascii="Cambria"/>
                            <w:sz w:val="16"/>
                          </w:rPr>
                          <w:t>Stearic acid </w:t>
                        </w:r>
                        <w:r>
                          <w:rPr>
                            <w:rFonts w:ascii="Cambria"/>
                            <w:i/>
                            <w:sz w:val="16"/>
                          </w:rPr>
                          <w:t>cis</w:t>
                        </w:r>
                        <w:r>
                          <w:rPr>
                            <w:rFonts w:ascii="Cambria"/>
                            <w:sz w:val="16"/>
                          </w:rPr>
                          <w:t>-10-</w:t>
                        </w:r>
                      </w:p>
                    </w:tc>
                    <w:tc>
                      <w:tcPr>
                        <w:tcW w:w="1266" w:type="dxa"/>
                      </w:tcPr>
                      <w:p>
                        <w:pPr/>
                      </w:p>
                    </w:tc>
                    <w:tc>
                      <w:tcPr>
                        <w:tcW w:w="1383" w:type="dxa"/>
                      </w:tcPr>
                      <w:p>
                        <w:pPr/>
                      </w:p>
                    </w:tc>
                    <w:tc>
                      <w:tcPr>
                        <w:tcW w:w="899" w:type="dxa"/>
                      </w:tcPr>
                      <w:p>
                        <w:pPr/>
                      </w:p>
                    </w:tc>
                    <w:tc>
                      <w:tcPr>
                        <w:tcW w:w="899" w:type="dxa"/>
                      </w:tcPr>
                      <w:p>
                        <w:pPr/>
                      </w:p>
                    </w:tc>
                    <w:tc>
                      <w:tcPr>
                        <w:tcW w:w="876" w:type="dxa"/>
                      </w:tcPr>
                      <w:p>
                        <w:pPr/>
                      </w:p>
                    </w:tc>
                    <w:tc>
                      <w:tcPr>
                        <w:tcW w:w="713" w:type="dxa"/>
                      </w:tcPr>
                      <w:p>
                        <w:pPr/>
                      </w:p>
                    </w:tc>
                    <w:tc>
                      <w:tcPr>
                        <w:tcW w:w="468" w:type="dxa"/>
                      </w:tcPr>
                      <w:p>
                        <w:pPr/>
                      </w:p>
                    </w:tc>
                  </w:tr>
                  <w:tr>
                    <w:trPr>
                      <w:trHeight w:val="139" w:hRule="exact"/>
                    </w:trPr>
                    <w:tc>
                      <w:tcPr>
                        <w:tcW w:w="2480" w:type="dxa"/>
                      </w:tcPr>
                      <w:p>
                        <w:pPr/>
                      </w:p>
                    </w:tc>
                    <w:tc>
                      <w:tcPr>
                        <w:tcW w:w="1266" w:type="dxa"/>
                      </w:tcPr>
                      <w:p>
                        <w:pPr>
                          <w:pStyle w:val="TableParagraph"/>
                          <w:spacing w:line="154" w:lineRule="exact"/>
                          <w:ind w:right="635"/>
                          <w:jc w:val="right"/>
                          <w:rPr>
                            <w:rFonts w:ascii="Cambria"/>
                            <w:i/>
                            <w:sz w:val="16"/>
                          </w:rPr>
                        </w:pPr>
                        <w:r>
                          <w:rPr>
                            <w:rFonts w:ascii="Cambria"/>
                            <w:i/>
                            <w:w w:val="99"/>
                            <w:sz w:val="16"/>
                          </w:rPr>
                          <w:t>c</w:t>
                        </w:r>
                      </w:p>
                    </w:tc>
                    <w:tc>
                      <w:tcPr>
                        <w:tcW w:w="1383" w:type="dxa"/>
                      </w:tcPr>
                      <w:p>
                        <w:pPr>
                          <w:pStyle w:val="TableParagraph"/>
                          <w:spacing w:line="154" w:lineRule="exact"/>
                          <w:ind w:right="256"/>
                          <w:jc w:val="right"/>
                          <w:rPr>
                            <w:rFonts w:ascii="Cambria"/>
                            <w:sz w:val="16"/>
                          </w:rPr>
                        </w:pPr>
                        <w:r>
                          <w:rPr>
                            <w:rFonts w:ascii="Cambria"/>
                            <w:sz w:val="16"/>
                          </w:rPr>
                          <w:t>268.5</w:t>
                        </w:r>
                      </w:p>
                    </w:tc>
                    <w:tc>
                      <w:tcPr>
                        <w:tcW w:w="899" w:type="dxa"/>
                      </w:tcPr>
                      <w:p>
                        <w:pPr>
                          <w:pStyle w:val="TableParagraph"/>
                          <w:spacing w:line="154" w:lineRule="exact"/>
                          <w:ind w:right="257"/>
                          <w:jc w:val="right"/>
                          <w:rPr>
                            <w:rFonts w:ascii="Cambria"/>
                            <w:sz w:val="16"/>
                          </w:rPr>
                        </w:pPr>
                        <w:r>
                          <w:rPr>
                            <w:rFonts w:ascii="Cambria"/>
                            <w:sz w:val="16"/>
                          </w:rPr>
                          <w:t>243.2</w:t>
                        </w:r>
                      </w:p>
                    </w:tc>
                    <w:tc>
                      <w:tcPr>
                        <w:tcW w:w="899" w:type="dxa"/>
                      </w:tcPr>
                      <w:p>
                        <w:pPr>
                          <w:pStyle w:val="TableParagraph"/>
                          <w:spacing w:line="154" w:lineRule="exact"/>
                          <w:ind w:right="258"/>
                          <w:jc w:val="right"/>
                          <w:rPr>
                            <w:rFonts w:ascii="Cambria"/>
                            <w:sz w:val="16"/>
                          </w:rPr>
                        </w:pPr>
                        <w:r>
                          <w:rPr>
                            <w:rFonts w:ascii="Cambria"/>
                            <w:sz w:val="16"/>
                          </w:rPr>
                          <w:t>232.8</w:t>
                        </w:r>
                      </w:p>
                    </w:tc>
                    <w:tc>
                      <w:tcPr>
                        <w:tcW w:w="876" w:type="dxa"/>
                      </w:tcPr>
                      <w:p>
                        <w:pPr>
                          <w:pStyle w:val="TableParagraph"/>
                          <w:spacing w:line="154" w:lineRule="exact"/>
                          <w:ind w:right="232"/>
                          <w:jc w:val="right"/>
                          <w:rPr>
                            <w:rFonts w:ascii="Cambria"/>
                            <w:sz w:val="16"/>
                          </w:rPr>
                        </w:pPr>
                        <w:r>
                          <w:rPr>
                            <w:rFonts w:ascii="Cambria"/>
                            <w:sz w:val="16"/>
                          </w:rPr>
                          <w:t>245.4</w:t>
                        </w:r>
                      </w:p>
                    </w:tc>
                    <w:tc>
                      <w:tcPr>
                        <w:tcW w:w="713" w:type="dxa"/>
                      </w:tcPr>
                      <w:p>
                        <w:pPr>
                          <w:pStyle w:val="TableParagraph"/>
                          <w:spacing w:line="154" w:lineRule="exact"/>
                          <w:ind w:right="187"/>
                          <w:jc w:val="right"/>
                          <w:rPr>
                            <w:rFonts w:ascii="Cambria"/>
                            <w:sz w:val="16"/>
                          </w:rPr>
                        </w:pPr>
                        <w:r>
                          <w:rPr>
                            <w:rFonts w:ascii="Cambria"/>
                            <w:sz w:val="16"/>
                          </w:rPr>
                          <w:t>82.8</w:t>
                        </w:r>
                      </w:p>
                    </w:tc>
                    <w:tc>
                      <w:tcPr>
                        <w:tcW w:w="468" w:type="dxa"/>
                      </w:tcPr>
                      <w:p>
                        <w:pPr>
                          <w:pStyle w:val="TableParagraph"/>
                          <w:spacing w:line="154" w:lineRule="exact"/>
                          <w:ind w:right="73"/>
                          <w:jc w:val="right"/>
                          <w:rPr>
                            <w:rFonts w:ascii="Cambria"/>
                            <w:sz w:val="16"/>
                          </w:rPr>
                        </w:pPr>
                        <w:r>
                          <w:rPr>
                            <w:rFonts w:ascii="Cambria"/>
                            <w:w w:val="95"/>
                            <w:sz w:val="16"/>
                          </w:rPr>
                          <w:t>6.4</w:t>
                        </w:r>
                      </w:p>
                    </w:tc>
                  </w:tr>
                  <w:tr>
                    <w:trPr>
                      <w:trHeight w:val="211" w:hRule="exact"/>
                    </w:trPr>
                    <w:tc>
                      <w:tcPr>
                        <w:tcW w:w="2480" w:type="dxa"/>
                      </w:tcPr>
                      <w:p>
                        <w:pPr>
                          <w:pStyle w:val="TableParagraph"/>
                          <w:spacing w:line="154" w:lineRule="exact"/>
                          <w:ind w:left="71"/>
                          <w:rPr>
                            <w:rFonts w:ascii="Cambria"/>
                            <w:sz w:val="16"/>
                          </w:rPr>
                        </w:pPr>
                        <w:r>
                          <w:rPr>
                            <w:rFonts w:ascii="Cambria"/>
                            <w:sz w:val="16"/>
                          </w:rPr>
                          <w:t>Heptadecenoic acid</w:t>
                        </w:r>
                      </w:p>
                    </w:tc>
                    <w:tc>
                      <w:tcPr>
                        <w:tcW w:w="1266" w:type="dxa"/>
                      </w:tcPr>
                      <w:p>
                        <w:pPr/>
                      </w:p>
                    </w:tc>
                    <w:tc>
                      <w:tcPr>
                        <w:tcW w:w="1383" w:type="dxa"/>
                      </w:tcPr>
                      <w:p>
                        <w:pPr/>
                      </w:p>
                    </w:tc>
                    <w:tc>
                      <w:tcPr>
                        <w:tcW w:w="899" w:type="dxa"/>
                      </w:tcPr>
                      <w:p>
                        <w:pPr/>
                      </w:p>
                    </w:tc>
                    <w:tc>
                      <w:tcPr>
                        <w:tcW w:w="899" w:type="dxa"/>
                      </w:tcPr>
                      <w:p>
                        <w:pPr/>
                      </w:p>
                    </w:tc>
                    <w:tc>
                      <w:tcPr>
                        <w:tcW w:w="876" w:type="dxa"/>
                      </w:tcPr>
                      <w:p>
                        <w:pPr/>
                      </w:p>
                    </w:tc>
                    <w:tc>
                      <w:tcPr>
                        <w:tcW w:w="713" w:type="dxa"/>
                      </w:tcPr>
                      <w:p>
                        <w:pPr/>
                      </w:p>
                    </w:tc>
                    <w:tc>
                      <w:tcPr>
                        <w:tcW w:w="468" w:type="dxa"/>
                      </w:tcPr>
                      <w:p>
                        <w:pPr/>
                      </w:p>
                    </w:tc>
                  </w:tr>
                  <w:tr>
                    <w:trPr>
                      <w:trHeight w:val="283" w:hRule="exact"/>
                    </w:trPr>
                    <w:tc>
                      <w:tcPr>
                        <w:tcW w:w="2480" w:type="dxa"/>
                      </w:tcPr>
                      <w:p>
                        <w:pPr>
                          <w:pStyle w:val="TableParagraph"/>
                          <w:spacing w:before="38"/>
                          <w:ind w:left="71"/>
                          <w:rPr>
                            <w:rFonts w:ascii="Cambria"/>
                            <w:sz w:val="16"/>
                          </w:rPr>
                        </w:pPr>
                        <w:r>
                          <w:rPr>
                            <w:rFonts w:ascii="Cambria"/>
                            <w:sz w:val="16"/>
                          </w:rPr>
                          <w:t>Stearic acid</w:t>
                        </w:r>
                      </w:p>
                    </w:tc>
                    <w:tc>
                      <w:tcPr>
                        <w:tcW w:w="1266" w:type="dxa"/>
                      </w:tcPr>
                      <w:p>
                        <w:pPr>
                          <w:pStyle w:val="TableParagraph"/>
                          <w:spacing w:before="38"/>
                          <w:ind w:right="652"/>
                          <w:jc w:val="right"/>
                          <w:rPr>
                            <w:rFonts w:ascii="Cambria"/>
                            <w:i/>
                            <w:sz w:val="16"/>
                          </w:rPr>
                        </w:pPr>
                        <w:r>
                          <w:rPr>
                            <w:rFonts w:ascii="Cambria"/>
                            <w:i/>
                            <w:w w:val="98"/>
                            <w:sz w:val="16"/>
                          </w:rPr>
                          <w:t>l</w:t>
                        </w:r>
                      </w:p>
                    </w:tc>
                    <w:tc>
                      <w:tcPr>
                        <w:tcW w:w="1383" w:type="dxa"/>
                      </w:tcPr>
                      <w:p>
                        <w:pPr>
                          <w:pStyle w:val="TableParagraph"/>
                          <w:spacing w:before="38"/>
                          <w:ind w:right="256"/>
                          <w:jc w:val="right"/>
                          <w:rPr>
                            <w:rFonts w:ascii="Cambria"/>
                            <w:sz w:val="16"/>
                          </w:rPr>
                        </w:pPr>
                        <w:r>
                          <w:rPr>
                            <w:rFonts w:ascii="Cambria"/>
                            <w:sz w:val="16"/>
                          </w:rPr>
                          <w:t>284.5</w:t>
                        </w:r>
                      </w:p>
                    </w:tc>
                    <w:tc>
                      <w:tcPr>
                        <w:tcW w:w="899" w:type="dxa"/>
                      </w:tcPr>
                      <w:p>
                        <w:pPr>
                          <w:pStyle w:val="TableParagraph"/>
                          <w:spacing w:before="38"/>
                          <w:ind w:right="257"/>
                          <w:jc w:val="right"/>
                          <w:rPr>
                            <w:rFonts w:ascii="Cambria"/>
                            <w:sz w:val="16"/>
                          </w:rPr>
                        </w:pPr>
                        <w:r>
                          <w:rPr>
                            <w:rFonts w:ascii="Cambria"/>
                            <w:sz w:val="16"/>
                          </w:rPr>
                          <w:t>279.1</w:t>
                        </w:r>
                      </w:p>
                    </w:tc>
                    <w:tc>
                      <w:tcPr>
                        <w:tcW w:w="899" w:type="dxa"/>
                      </w:tcPr>
                      <w:p>
                        <w:pPr>
                          <w:pStyle w:val="TableParagraph"/>
                          <w:spacing w:before="38"/>
                          <w:ind w:right="258"/>
                          <w:jc w:val="right"/>
                          <w:rPr>
                            <w:rFonts w:ascii="Cambria"/>
                            <w:sz w:val="16"/>
                          </w:rPr>
                        </w:pPr>
                        <w:r>
                          <w:rPr>
                            <w:rFonts w:ascii="Cambria"/>
                            <w:sz w:val="16"/>
                          </w:rPr>
                          <w:t>268.6</w:t>
                        </w:r>
                      </w:p>
                    </w:tc>
                    <w:tc>
                      <w:tcPr>
                        <w:tcW w:w="876" w:type="dxa"/>
                      </w:tcPr>
                      <w:p>
                        <w:pPr>
                          <w:pStyle w:val="TableParagraph"/>
                          <w:spacing w:before="38"/>
                          <w:ind w:right="232"/>
                          <w:jc w:val="right"/>
                          <w:rPr>
                            <w:rFonts w:ascii="Cambria"/>
                            <w:sz w:val="16"/>
                          </w:rPr>
                        </w:pPr>
                        <w:r>
                          <w:rPr>
                            <w:rFonts w:ascii="Cambria"/>
                            <w:sz w:val="16"/>
                          </w:rPr>
                          <w:t>281.2</w:t>
                        </w:r>
                      </w:p>
                    </w:tc>
                    <w:tc>
                      <w:tcPr>
                        <w:tcW w:w="713" w:type="dxa"/>
                      </w:tcPr>
                      <w:p>
                        <w:pPr>
                          <w:pStyle w:val="TableParagraph"/>
                          <w:spacing w:before="38"/>
                          <w:ind w:right="187"/>
                          <w:jc w:val="right"/>
                          <w:rPr>
                            <w:rFonts w:ascii="Cambria"/>
                            <w:sz w:val="16"/>
                          </w:rPr>
                        </w:pPr>
                        <w:r>
                          <w:rPr>
                            <w:rFonts w:ascii="Cambria"/>
                            <w:sz w:val="16"/>
                          </w:rPr>
                          <w:t>86.3</w:t>
                        </w:r>
                      </w:p>
                    </w:tc>
                    <w:tc>
                      <w:tcPr>
                        <w:tcW w:w="468" w:type="dxa"/>
                      </w:tcPr>
                      <w:p>
                        <w:pPr>
                          <w:pStyle w:val="TableParagraph"/>
                          <w:spacing w:before="38"/>
                          <w:ind w:right="73"/>
                          <w:jc w:val="right"/>
                          <w:rPr>
                            <w:rFonts w:ascii="Cambria"/>
                            <w:sz w:val="16"/>
                          </w:rPr>
                        </w:pPr>
                        <w:r>
                          <w:rPr>
                            <w:rFonts w:ascii="Cambria"/>
                            <w:w w:val="95"/>
                            <w:sz w:val="16"/>
                          </w:rPr>
                          <w:t>7.3</w:t>
                        </w:r>
                      </w:p>
                    </w:tc>
                  </w:tr>
                  <w:tr>
                    <w:trPr>
                      <w:trHeight w:val="281" w:hRule="exact"/>
                    </w:trPr>
                    <w:tc>
                      <w:tcPr>
                        <w:tcW w:w="2480" w:type="dxa"/>
                      </w:tcPr>
                      <w:p>
                        <w:pPr>
                          <w:pStyle w:val="TableParagraph"/>
                          <w:spacing w:before="38"/>
                          <w:ind w:left="71"/>
                          <w:rPr>
                            <w:rFonts w:ascii="Cambria"/>
                            <w:sz w:val="16"/>
                          </w:rPr>
                        </w:pPr>
                        <w:r>
                          <w:rPr>
                            <w:rFonts w:ascii="Cambria"/>
                            <w:sz w:val="16"/>
                          </w:rPr>
                          <w:t>Elaidic acid</w:t>
                        </w:r>
                      </w:p>
                    </w:tc>
                    <w:tc>
                      <w:tcPr>
                        <w:tcW w:w="1266" w:type="dxa"/>
                      </w:tcPr>
                      <w:p>
                        <w:pPr>
                          <w:pStyle w:val="TableParagraph"/>
                          <w:spacing w:before="38"/>
                          <w:ind w:right="644"/>
                          <w:jc w:val="right"/>
                          <w:rPr>
                            <w:rFonts w:ascii="Cambria"/>
                            <w:i/>
                            <w:sz w:val="16"/>
                          </w:rPr>
                        </w:pPr>
                        <w:r>
                          <w:rPr>
                            <w:rFonts w:ascii="Cambria"/>
                            <w:i/>
                            <w:w w:val="99"/>
                            <w:sz w:val="16"/>
                          </w:rPr>
                          <w:t>t</w:t>
                        </w:r>
                      </w:p>
                    </w:tc>
                    <w:tc>
                      <w:tcPr>
                        <w:tcW w:w="1383" w:type="dxa"/>
                      </w:tcPr>
                      <w:p>
                        <w:pPr>
                          <w:pStyle w:val="TableParagraph"/>
                          <w:spacing w:before="38"/>
                          <w:ind w:right="256"/>
                          <w:jc w:val="right"/>
                          <w:rPr>
                            <w:rFonts w:ascii="Cambria"/>
                            <w:sz w:val="16"/>
                          </w:rPr>
                        </w:pPr>
                        <w:r>
                          <w:rPr>
                            <w:rFonts w:ascii="Cambria"/>
                            <w:sz w:val="16"/>
                          </w:rPr>
                          <w:t>282.5</w:t>
                        </w:r>
                      </w:p>
                    </w:tc>
                    <w:tc>
                      <w:tcPr>
                        <w:tcW w:w="899" w:type="dxa"/>
                      </w:tcPr>
                      <w:p>
                        <w:pPr>
                          <w:pStyle w:val="TableParagraph"/>
                          <w:spacing w:before="38"/>
                          <w:ind w:right="257"/>
                          <w:jc w:val="right"/>
                          <w:rPr>
                            <w:rFonts w:ascii="Cambria"/>
                            <w:sz w:val="16"/>
                          </w:rPr>
                        </w:pPr>
                        <w:r>
                          <w:rPr>
                            <w:rFonts w:ascii="Cambria"/>
                            <w:sz w:val="16"/>
                          </w:rPr>
                          <w:t>269.5</w:t>
                        </w:r>
                      </w:p>
                    </w:tc>
                    <w:tc>
                      <w:tcPr>
                        <w:tcW w:w="899" w:type="dxa"/>
                      </w:tcPr>
                      <w:p>
                        <w:pPr>
                          <w:pStyle w:val="TableParagraph"/>
                          <w:spacing w:before="38"/>
                          <w:ind w:right="258"/>
                          <w:jc w:val="right"/>
                          <w:rPr>
                            <w:rFonts w:ascii="Cambria"/>
                            <w:sz w:val="16"/>
                          </w:rPr>
                        </w:pPr>
                        <w:r>
                          <w:rPr>
                            <w:rFonts w:ascii="Cambria"/>
                            <w:sz w:val="16"/>
                          </w:rPr>
                          <w:t>259.0</w:t>
                        </w:r>
                      </w:p>
                    </w:tc>
                    <w:tc>
                      <w:tcPr>
                        <w:tcW w:w="876" w:type="dxa"/>
                      </w:tcPr>
                      <w:p>
                        <w:pPr>
                          <w:pStyle w:val="TableParagraph"/>
                          <w:spacing w:before="38"/>
                          <w:ind w:right="232"/>
                          <w:jc w:val="right"/>
                          <w:rPr>
                            <w:rFonts w:ascii="Cambria"/>
                            <w:sz w:val="16"/>
                          </w:rPr>
                        </w:pPr>
                        <w:r>
                          <w:rPr>
                            <w:rFonts w:ascii="Cambria"/>
                            <w:sz w:val="16"/>
                          </w:rPr>
                          <w:t>271.7</w:t>
                        </w:r>
                      </w:p>
                    </w:tc>
                    <w:tc>
                      <w:tcPr>
                        <w:tcW w:w="713" w:type="dxa"/>
                      </w:tcPr>
                      <w:p>
                        <w:pPr>
                          <w:pStyle w:val="TableParagraph"/>
                          <w:spacing w:before="38"/>
                          <w:ind w:right="187"/>
                          <w:jc w:val="right"/>
                          <w:rPr>
                            <w:rFonts w:ascii="Cambria"/>
                            <w:sz w:val="16"/>
                          </w:rPr>
                        </w:pPr>
                        <w:r>
                          <w:rPr>
                            <w:rFonts w:ascii="Cambria"/>
                            <w:sz w:val="16"/>
                          </w:rPr>
                          <w:t>87.4</w:t>
                        </w:r>
                      </w:p>
                    </w:tc>
                    <w:tc>
                      <w:tcPr>
                        <w:tcW w:w="468" w:type="dxa"/>
                      </w:tcPr>
                      <w:p>
                        <w:pPr>
                          <w:pStyle w:val="TableParagraph"/>
                          <w:spacing w:before="38"/>
                          <w:ind w:right="73"/>
                          <w:jc w:val="right"/>
                          <w:rPr>
                            <w:rFonts w:ascii="Cambria"/>
                            <w:sz w:val="16"/>
                          </w:rPr>
                        </w:pPr>
                        <w:r>
                          <w:rPr>
                            <w:rFonts w:ascii="Cambria"/>
                            <w:w w:val="95"/>
                            <w:sz w:val="16"/>
                          </w:rPr>
                          <w:t>6.8</w:t>
                        </w:r>
                      </w:p>
                    </w:tc>
                  </w:tr>
                  <w:tr>
                    <w:trPr>
                      <w:trHeight w:val="281" w:hRule="exact"/>
                    </w:trPr>
                    <w:tc>
                      <w:tcPr>
                        <w:tcW w:w="2480" w:type="dxa"/>
                      </w:tcPr>
                      <w:p>
                        <w:pPr>
                          <w:pStyle w:val="TableParagraph"/>
                          <w:spacing w:before="36"/>
                          <w:ind w:left="71"/>
                          <w:rPr>
                            <w:rFonts w:ascii="Cambria"/>
                            <w:sz w:val="16"/>
                          </w:rPr>
                        </w:pPr>
                        <w:r>
                          <w:rPr>
                            <w:rFonts w:ascii="Cambria"/>
                            <w:sz w:val="16"/>
                          </w:rPr>
                          <w:t>Oleic acid</w:t>
                        </w:r>
                      </w:p>
                    </w:tc>
                    <w:tc>
                      <w:tcPr>
                        <w:tcW w:w="1266" w:type="dxa"/>
                      </w:tcPr>
                      <w:p>
                        <w:pPr>
                          <w:pStyle w:val="TableParagraph"/>
                          <w:spacing w:before="36"/>
                          <w:ind w:right="635"/>
                          <w:jc w:val="right"/>
                          <w:rPr>
                            <w:rFonts w:ascii="Cambria"/>
                            <w:i/>
                            <w:sz w:val="16"/>
                          </w:rPr>
                        </w:pPr>
                        <w:r>
                          <w:rPr>
                            <w:rFonts w:ascii="Cambria"/>
                            <w:i/>
                            <w:w w:val="99"/>
                            <w:sz w:val="16"/>
                          </w:rPr>
                          <w:t>c</w:t>
                        </w:r>
                      </w:p>
                    </w:tc>
                    <w:tc>
                      <w:tcPr>
                        <w:tcW w:w="1383" w:type="dxa"/>
                      </w:tcPr>
                      <w:p>
                        <w:pPr>
                          <w:pStyle w:val="TableParagraph"/>
                          <w:spacing w:before="36"/>
                          <w:ind w:right="256"/>
                          <w:jc w:val="right"/>
                          <w:rPr>
                            <w:rFonts w:ascii="Cambria"/>
                            <w:sz w:val="16"/>
                          </w:rPr>
                        </w:pPr>
                        <w:r>
                          <w:rPr>
                            <w:rFonts w:ascii="Cambria"/>
                            <w:sz w:val="16"/>
                          </w:rPr>
                          <w:t>282.5</w:t>
                        </w:r>
                      </w:p>
                    </w:tc>
                    <w:tc>
                      <w:tcPr>
                        <w:tcW w:w="899" w:type="dxa"/>
                      </w:tcPr>
                      <w:p>
                        <w:pPr>
                          <w:pStyle w:val="TableParagraph"/>
                          <w:spacing w:before="36"/>
                          <w:ind w:right="257"/>
                          <w:jc w:val="right"/>
                          <w:rPr>
                            <w:rFonts w:ascii="Cambria"/>
                            <w:sz w:val="16"/>
                          </w:rPr>
                        </w:pPr>
                        <w:r>
                          <w:rPr>
                            <w:rFonts w:ascii="Cambria"/>
                            <w:sz w:val="16"/>
                          </w:rPr>
                          <w:t>269.5</w:t>
                        </w:r>
                      </w:p>
                    </w:tc>
                    <w:tc>
                      <w:tcPr>
                        <w:tcW w:w="899" w:type="dxa"/>
                      </w:tcPr>
                      <w:p>
                        <w:pPr>
                          <w:pStyle w:val="TableParagraph"/>
                          <w:spacing w:before="36"/>
                          <w:ind w:right="258"/>
                          <w:jc w:val="right"/>
                          <w:rPr>
                            <w:rFonts w:ascii="Cambria"/>
                            <w:sz w:val="16"/>
                          </w:rPr>
                        </w:pPr>
                        <w:r>
                          <w:rPr>
                            <w:rFonts w:ascii="Cambria"/>
                            <w:sz w:val="16"/>
                          </w:rPr>
                          <w:t>259.0</w:t>
                        </w:r>
                      </w:p>
                    </w:tc>
                    <w:tc>
                      <w:tcPr>
                        <w:tcW w:w="876" w:type="dxa"/>
                      </w:tcPr>
                      <w:p>
                        <w:pPr>
                          <w:pStyle w:val="TableParagraph"/>
                          <w:spacing w:before="36"/>
                          <w:ind w:right="232"/>
                          <w:jc w:val="right"/>
                          <w:rPr>
                            <w:rFonts w:ascii="Cambria"/>
                            <w:sz w:val="16"/>
                          </w:rPr>
                        </w:pPr>
                        <w:r>
                          <w:rPr>
                            <w:rFonts w:ascii="Cambria"/>
                            <w:sz w:val="16"/>
                          </w:rPr>
                          <w:t>271.7</w:t>
                        </w:r>
                      </w:p>
                    </w:tc>
                    <w:tc>
                      <w:tcPr>
                        <w:tcW w:w="713" w:type="dxa"/>
                      </w:tcPr>
                      <w:p>
                        <w:pPr>
                          <w:pStyle w:val="TableParagraph"/>
                          <w:spacing w:before="36"/>
                          <w:ind w:right="185"/>
                          <w:jc w:val="right"/>
                          <w:rPr>
                            <w:rFonts w:ascii="Cambria"/>
                            <w:sz w:val="16"/>
                          </w:rPr>
                        </w:pPr>
                        <w:r>
                          <w:rPr>
                            <w:rFonts w:ascii="Cambria"/>
                            <w:w w:val="95"/>
                            <w:sz w:val="16"/>
                          </w:rPr>
                          <w:t>87.4</w:t>
                        </w:r>
                      </w:p>
                    </w:tc>
                    <w:tc>
                      <w:tcPr>
                        <w:tcW w:w="468" w:type="dxa"/>
                      </w:tcPr>
                      <w:p>
                        <w:pPr>
                          <w:pStyle w:val="TableParagraph"/>
                          <w:spacing w:before="36"/>
                          <w:ind w:right="73"/>
                          <w:jc w:val="right"/>
                          <w:rPr>
                            <w:rFonts w:ascii="Cambria"/>
                            <w:sz w:val="16"/>
                          </w:rPr>
                        </w:pPr>
                        <w:r>
                          <w:rPr>
                            <w:rFonts w:ascii="Cambria"/>
                            <w:w w:val="95"/>
                            <w:sz w:val="16"/>
                          </w:rPr>
                          <w:t>6.8</w:t>
                        </w:r>
                      </w:p>
                    </w:tc>
                  </w:tr>
                  <w:tr>
                    <w:trPr>
                      <w:trHeight w:val="283" w:hRule="exact"/>
                    </w:trPr>
                    <w:tc>
                      <w:tcPr>
                        <w:tcW w:w="2480" w:type="dxa"/>
                      </w:tcPr>
                      <w:p>
                        <w:pPr>
                          <w:pStyle w:val="TableParagraph"/>
                          <w:spacing w:before="39"/>
                          <w:ind w:left="71"/>
                          <w:rPr>
                            <w:rFonts w:ascii="Cambria"/>
                            <w:sz w:val="16"/>
                          </w:rPr>
                        </w:pPr>
                        <w:r>
                          <w:rPr>
                            <w:rFonts w:ascii="Cambria"/>
                            <w:sz w:val="16"/>
                          </w:rPr>
                          <w:t>Linolelaidic acid</w:t>
                        </w:r>
                      </w:p>
                    </w:tc>
                    <w:tc>
                      <w:tcPr>
                        <w:tcW w:w="1266" w:type="dxa"/>
                      </w:tcPr>
                      <w:p>
                        <w:pPr>
                          <w:pStyle w:val="TableParagraph"/>
                          <w:spacing w:before="39"/>
                          <w:ind w:right="622"/>
                          <w:jc w:val="right"/>
                          <w:rPr>
                            <w:rFonts w:ascii="Cambria"/>
                            <w:i/>
                            <w:sz w:val="16"/>
                          </w:rPr>
                        </w:pPr>
                        <w:r>
                          <w:rPr>
                            <w:rFonts w:ascii="Cambria"/>
                            <w:i/>
                            <w:sz w:val="16"/>
                          </w:rPr>
                          <w:t>tt</w:t>
                        </w:r>
                      </w:p>
                    </w:tc>
                    <w:tc>
                      <w:tcPr>
                        <w:tcW w:w="1383" w:type="dxa"/>
                      </w:tcPr>
                      <w:p>
                        <w:pPr>
                          <w:pStyle w:val="TableParagraph"/>
                          <w:spacing w:before="39"/>
                          <w:ind w:right="256"/>
                          <w:jc w:val="right"/>
                          <w:rPr>
                            <w:rFonts w:ascii="Cambria"/>
                            <w:sz w:val="16"/>
                          </w:rPr>
                        </w:pPr>
                        <w:r>
                          <w:rPr>
                            <w:rFonts w:ascii="Cambria"/>
                            <w:sz w:val="16"/>
                          </w:rPr>
                          <w:t>280.5</w:t>
                        </w:r>
                      </w:p>
                    </w:tc>
                    <w:tc>
                      <w:tcPr>
                        <w:tcW w:w="899" w:type="dxa"/>
                      </w:tcPr>
                      <w:p>
                        <w:pPr>
                          <w:pStyle w:val="TableParagraph"/>
                          <w:spacing w:before="39"/>
                          <w:ind w:right="257"/>
                          <w:jc w:val="right"/>
                          <w:rPr>
                            <w:rFonts w:ascii="Cambria"/>
                            <w:sz w:val="16"/>
                          </w:rPr>
                        </w:pPr>
                        <w:r>
                          <w:rPr>
                            <w:rFonts w:ascii="Cambria"/>
                            <w:sz w:val="16"/>
                          </w:rPr>
                          <w:t>260.9</w:t>
                        </w:r>
                      </w:p>
                    </w:tc>
                    <w:tc>
                      <w:tcPr>
                        <w:tcW w:w="899" w:type="dxa"/>
                      </w:tcPr>
                      <w:p>
                        <w:pPr>
                          <w:pStyle w:val="TableParagraph"/>
                          <w:spacing w:before="39"/>
                          <w:ind w:right="258"/>
                          <w:jc w:val="right"/>
                          <w:rPr>
                            <w:rFonts w:ascii="Cambria"/>
                            <w:sz w:val="16"/>
                          </w:rPr>
                        </w:pPr>
                        <w:r>
                          <w:rPr>
                            <w:rFonts w:ascii="Cambria"/>
                            <w:sz w:val="16"/>
                          </w:rPr>
                          <w:t>250.4</w:t>
                        </w:r>
                      </w:p>
                    </w:tc>
                    <w:tc>
                      <w:tcPr>
                        <w:tcW w:w="876" w:type="dxa"/>
                      </w:tcPr>
                      <w:p>
                        <w:pPr>
                          <w:pStyle w:val="TableParagraph"/>
                          <w:spacing w:before="39"/>
                          <w:ind w:right="232"/>
                          <w:jc w:val="right"/>
                          <w:rPr>
                            <w:rFonts w:ascii="Cambria"/>
                            <w:sz w:val="16"/>
                          </w:rPr>
                        </w:pPr>
                        <w:r>
                          <w:rPr>
                            <w:rFonts w:ascii="Cambria"/>
                            <w:sz w:val="16"/>
                          </w:rPr>
                          <w:t>263.1</w:t>
                        </w:r>
                      </w:p>
                    </w:tc>
                    <w:tc>
                      <w:tcPr>
                        <w:tcW w:w="713" w:type="dxa"/>
                      </w:tcPr>
                      <w:p>
                        <w:pPr>
                          <w:pStyle w:val="TableParagraph"/>
                          <w:spacing w:before="39"/>
                          <w:ind w:right="187"/>
                          <w:jc w:val="right"/>
                          <w:rPr>
                            <w:rFonts w:ascii="Cambria"/>
                            <w:sz w:val="16"/>
                          </w:rPr>
                        </w:pPr>
                        <w:r>
                          <w:rPr>
                            <w:rFonts w:ascii="Cambria"/>
                            <w:sz w:val="16"/>
                          </w:rPr>
                          <w:t>88.5</w:t>
                        </w:r>
                      </w:p>
                    </w:tc>
                    <w:tc>
                      <w:tcPr>
                        <w:tcW w:w="468" w:type="dxa"/>
                      </w:tcPr>
                      <w:p>
                        <w:pPr>
                          <w:pStyle w:val="TableParagraph"/>
                          <w:spacing w:before="39"/>
                          <w:ind w:right="73"/>
                          <w:jc w:val="right"/>
                          <w:rPr>
                            <w:rFonts w:ascii="Cambria"/>
                            <w:sz w:val="16"/>
                          </w:rPr>
                        </w:pPr>
                        <w:r>
                          <w:rPr>
                            <w:rFonts w:ascii="Cambria"/>
                            <w:w w:val="95"/>
                            <w:sz w:val="16"/>
                          </w:rPr>
                          <w:t>6.4</w:t>
                        </w:r>
                      </w:p>
                    </w:tc>
                  </w:tr>
                  <w:tr>
                    <w:trPr>
                      <w:trHeight w:val="281" w:hRule="exact"/>
                    </w:trPr>
                    <w:tc>
                      <w:tcPr>
                        <w:tcW w:w="2480" w:type="dxa"/>
                      </w:tcPr>
                      <w:p>
                        <w:pPr>
                          <w:pStyle w:val="TableParagraph"/>
                          <w:spacing w:before="38"/>
                          <w:ind w:left="71"/>
                          <w:rPr>
                            <w:rFonts w:ascii="Cambria"/>
                            <w:sz w:val="16"/>
                          </w:rPr>
                        </w:pPr>
                        <w:r>
                          <w:rPr>
                            <w:rFonts w:ascii="Cambria"/>
                            <w:sz w:val="16"/>
                          </w:rPr>
                          <w:t>Linoleic acid</w:t>
                        </w:r>
                      </w:p>
                    </w:tc>
                    <w:tc>
                      <w:tcPr>
                        <w:tcW w:w="1266" w:type="dxa"/>
                      </w:tcPr>
                      <w:p>
                        <w:pPr>
                          <w:pStyle w:val="TableParagraph"/>
                          <w:spacing w:before="38"/>
                          <w:ind w:right="608"/>
                          <w:jc w:val="right"/>
                          <w:rPr>
                            <w:rFonts w:ascii="Cambria"/>
                            <w:i/>
                            <w:sz w:val="16"/>
                          </w:rPr>
                        </w:pPr>
                        <w:r>
                          <w:rPr>
                            <w:rFonts w:ascii="Cambria"/>
                            <w:i/>
                            <w:sz w:val="16"/>
                          </w:rPr>
                          <w:t>cc</w:t>
                        </w:r>
                      </w:p>
                    </w:tc>
                    <w:tc>
                      <w:tcPr>
                        <w:tcW w:w="1383" w:type="dxa"/>
                      </w:tcPr>
                      <w:p>
                        <w:pPr>
                          <w:pStyle w:val="TableParagraph"/>
                          <w:spacing w:before="38"/>
                          <w:ind w:right="256"/>
                          <w:jc w:val="right"/>
                          <w:rPr>
                            <w:rFonts w:ascii="Cambria"/>
                            <w:sz w:val="16"/>
                          </w:rPr>
                        </w:pPr>
                        <w:r>
                          <w:rPr>
                            <w:rFonts w:ascii="Cambria"/>
                            <w:sz w:val="16"/>
                          </w:rPr>
                          <w:t>280.5</w:t>
                        </w:r>
                      </w:p>
                    </w:tc>
                    <w:tc>
                      <w:tcPr>
                        <w:tcW w:w="899" w:type="dxa"/>
                      </w:tcPr>
                      <w:p>
                        <w:pPr>
                          <w:pStyle w:val="TableParagraph"/>
                          <w:spacing w:before="38"/>
                          <w:ind w:right="257"/>
                          <w:jc w:val="right"/>
                          <w:rPr>
                            <w:rFonts w:ascii="Cambria"/>
                            <w:sz w:val="16"/>
                          </w:rPr>
                        </w:pPr>
                        <w:r>
                          <w:rPr>
                            <w:rFonts w:ascii="Cambria"/>
                            <w:sz w:val="16"/>
                          </w:rPr>
                          <w:t>260.9</w:t>
                        </w:r>
                      </w:p>
                    </w:tc>
                    <w:tc>
                      <w:tcPr>
                        <w:tcW w:w="899" w:type="dxa"/>
                      </w:tcPr>
                      <w:p>
                        <w:pPr>
                          <w:pStyle w:val="TableParagraph"/>
                          <w:spacing w:before="38"/>
                          <w:ind w:right="258"/>
                          <w:jc w:val="right"/>
                          <w:rPr>
                            <w:rFonts w:ascii="Cambria"/>
                            <w:sz w:val="16"/>
                          </w:rPr>
                        </w:pPr>
                        <w:r>
                          <w:rPr>
                            <w:rFonts w:ascii="Cambria"/>
                            <w:sz w:val="16"/>
                          </w:rPr>
                          <w:t>250.4</w:t>
                        </w:r>
                      </w:p>
                    </w:tc>
                    <w:tc>
                      <w:tcPr>
                        <w:tcW w:w="876" w:type="dxa"/>
                      </w:tcPr>
                      <w:p>
                        <w:pPr>
                          <w:pStyle w:val="TableParagraph"/>
                          <w:spacing w:before="38"/>
                          <w:ind w:right="232"/>
                          <w:jc w:val="right"/>
                          <w:rPr>
                            <w:rFonts w:ascii="Cambria"/>
                            <w:sz w:val="16"/>
                          </w:rPr>
                        </w:pPr>
                        <w:r>
                          <w:rPr>
                            <w:rFonts w:ascii="Cambria"/>
                            <w:sz w:val="16"/>
                          </w:rPr>
                          <w:t>263.1</w:t>
                        </w:r>
                      </w:p>
                    </w:tc>
                    <w:tc>
                      <w:tcPr>
                        <w:tcW w:w="713" w:type="dxa"/>
                      </w:tcPr>
                      <w:p>
                        <w:pPr>
                          <w:pStyle w:val="TableParagraph"/>
                          <w:spacing w:before="38"/>
                          <w:ind w:right="187"/>
                          <w:jc w:val="right"/>
                          <w:rPr>
                            <w:rFonts w:ascii="Cambria"/>
                            <w:sz w:val="16"/>
                          </w:rPr>
                        </w:pPr>
                        <w:r>
                          <w:rPr>
                            <w:rFonts w:ascii="Cambria"/>
                            <w:sz w:val="16"/>
                          </w:rPr>
                          <w:t>88.5</w:t>
                        </w:r>
                      </w:p>
                    </w:tc>
                    <w:tc>
                      <w:tcPr>
                        <w:tcW w:w="468" w:type="dxa"/>
                      </w:tcPr>
                      <w:p>
                        <w:pPr>
                          <w:pStyle w:val="TableParagraph"/>
                          <w:spacing w:before="38"/>
                          <w:ind w:right="73"/>
                          <w:jc w:val="right"/>
                          <w:rPr>
                            <w:rFonts w:ascii="Cambria"/>
                            <w:sz w:val="16"/>
                          </w:rPr>
                        </w:pPr>
                        <w:r>
                          <w:rPr>
                            <w:rFonts w:ascii="Cambria"/>
                            <w:w w:val="95"/>
                            <w:sz w:val="16"/>
                          </w:rPr>
                          <w:t>6.4</w:t>
                        </w:r>
                      </w:p>
                    </w:tc>
                  </w:tr>
                  <w:tr>
                    <w:trPr>
                      <w:trHeight w:val="281" w:hRule="exact"/>
                    </w:trPr>
                    <w:tc>
                      <w:tcPr>
                        <w:tcW w:w="2480" w:type="dxa"/>
                      </w:tcPr>
                      <w:p>
                        <w:pPr>
                          <w:pStyle w:val="TableParagraph"/>
                          <w:spacing w:before="36"/>
                          <w:ind w:left="71"/>
                          <w:rPr>
                            <w:rFonts w:ascii="Cambria"/>
                            <w:sz w:val="16"/>
                          </w:rPr>
                        </w:pPr>
                        <w:r>
                          <w:rPr>
                            <w:rFonts w:ascii="Cambria"/>
                            <w:sz w:val="16"/>
                          </w:rPr>
                          <w:t>Arachidic acid</w:t>
                        </w:r>
                      </w:p>
                    </w:tc>
                    <w:tc>
                      <w:tcPr>
                        <w:tcW w:w="1266" w:type="dxa"/>
                      </w:tcPr>
                      <w:p>
                        <w:pPr>
                          <w:pStyle w:val="TableParagraph"/>
                          <w:spacing w:before="36"/>
                          <w:ind w:right="652"/>
                          <w:jc w:val="right"/>
                          <w:rPr>
                            <w:rFonts w:ascii="Cambria"/>
                            <w:i/>
                            <w:sz w:val="16"/>
                          </w:rPr>
                        </w:pPr>
                        <w:r>
                          <w:rPr>
                            <w:rFonts w:ascii="Cambria"/>
                            <w:i/>
                            <w:w w:val="98"/>
                            <w:sz w:val="16"/>
                          </w:rPr>
                          <w:t>l</w:t>
                        </w:r>
                      </w:p>
                    </w:tc>
                    <w:tc>
                      <w:tcPr>
                        <w:tcW w:w="1383" w:type="dxa"/>
                      </w:tcPr>
                      <w:p>
                        <w:pPr>
                          <w:pStyle w:val="TableParagraph"/>
                          <w:spacing w:before="36"/>
                          <w:ind w:right="256"/>
                          <w:jc w:val="right"/>
                          <w:rPr>
                            <w:rFonts w:ascii="Cambria"/>
                            <w:sz w:val="16"/>
                          </w:rPr>
                        </w:pPr>
                        <w:r>
                          <w:rPr>
                            <w:rFonts w:ascii="Cambria"/>
                            <w:sz w:val="16"/>
                          </w:rPr>
                          <w:t>312.6</w:t>
                        </w:r>
                      </w:p>
                    </w:tc>
                    <w:tc>
                      <w:tcPr>
                        <w:tcW w:w="899" w:type="dxa"/>
                      </w:tcPr>
                      <w:p>
                        <w:pPr>
                          <w:pStyle w:val="TableParagraph"/>
                          <w:spacing w:before="36"/>
                          <w:ind w:right="257"/>
                          <w:jc w:val="right"/>
                          <w:rPr>
                            <w:rFonts w:ascii="Cambria"/>
                            <w:sz w:val="16"/>
                          </w:rPr>
                        </w:pPr>
                        <w:r>
                          <w:rPr>
                            <w:rFonts w:ascii="Cambria"/>
                            <w:sz w:val="16"/>
                          </w:rPr>
                          <w:t>337.4</w:t>
                        </w:r>
                      </w:p>
                    </w:tc>
                    <w:tc>
                      <w:tcPr>
                        <w:tcW w:w="899" w:type="dxa"/>
                      </w:tcPr>
                      <w:p>
                        <w:pPr>
                          <w:pStyle w:val="TableParagraph"/>
                          <w:spacing w:before="36"/>
                          <w:ind w:right="258"/>
                          <w:jc w:val="right"/>
                          <w:rPr>
                            <w:rFonts w:ascii="Cambria"/>
                            <w:sz w:val="16"/>
                          </w:rPr>
                        </w:pPr>
                        <w:r>
                          <w:rPr>
                            <w:rFonts w:ascii="Cambria"/>
                            <w:sz w:val="16"/>
                          </w:rPr>
                          <w:t>326.8</w:t>
                        </w:r>
                      </w:p>
                    </w:tc>
                    <w:tc>
                      <w:tcPr>
                        <w:tcW w:w="876" w:type="dxa"/>
                      </w:tcPr>
                      <w:p>
                        <w:pPr>
                          <w:pStyle w:val="TableParagraph"/>
                          <w:spacing w:before="36"/>
                          <w:ind w:right="232"/>
                          <w:jc w:val="right"/>
                          <w:rPr>
                            <w:rFonts w:ascii="Cambria"/>
                            <w:sz w:val="16"/>
                          </w:rPr>
                        </w:pPr>
                        <w:r>
                          <w:rPr>
                            <w:rFonts w:ascii="Cambria"/>
                            <w:sz w:val="16"/>
                          </w:rPr>
                          <w:t>339.6</w:t>
                        </w:r>
                      </w:p>
                    </w:tc>
                    <w:tc>
                      <w:tcPr>
                        <w:tcW w:w="713" w:type="dxa"/>
                      </w:tcPr>
                      <w:p>
                        <w:pPr>
                          <w:pStyle w:val="TableParagraph"/>
                          <w:spacing w:before="36"/>
                          <w:ind w:right="187"/>
                          <w:jc w:val="right"/>
                          <w:rPr>
                            <w:rFonts w:ascii="Cambria"/>
                            <w:sz w:val="16"/>
                          </w:rPr>
                        </w:pPr>
                        <w:r>
                          <w:rPr>
                            <w:rFonts w:ascii="Cambria"/>
                            <w:sz w:val="16"/>
                          </w:rPr>
                          <w:t>95.5</w:t>
                        </w:r>
                      </w:p>
                    </w:tc>
                    <w:tc>
                      <w:tcPr>
                        <w:tcW w:w="468" w:type="dxa"/>
                      </w:tcPr>
                      <w:p>
                        <w:pPr>
                          <w:pStyle w:val="TableParagraph"/>
                          <w:spacing w:before="36"/>
                          <w:ind w:right="73"/>
                          <w:jc w:val="right"/>
                          <w:rPr>
                            <w:rFonts w:ascii="Cambria"/>
                            <w:sz w:val="16"/>
                          </w:rPr>
                        </w:pPr>
                        <w:r>
                          <w:rPr>
                            <w:rFonts w:ascii="Cambria"/>
                            <w:w w:val="95"/>
                            <w:sz w:val="16"/>
                          </w:rPr>
                          <w:t>8.2</w:t>
                        </w:r>
                      </w:p>
                    </w:tc>
                  </w:tr>
                  <w:tr>
                    <w:trPr>
                      <w:trHeight w:val="281" w:hRule="exact"/>
                    </w:trPr>
                    <w:tc>
                      <w:tcPr>
                        <w:tcW w:w="2480" w:type="dxa"/>
                      </w:tcPr>
                      <w:p>
                        <w:pPr>
                          <w:pStyle w:val="TableParagraph"/>
                          <w:spacing w:before="38"/>
                          <w:ind w:left="71"/>
                          <w:rPr>
                            <w:rFonts w:ascii="Cambria" w:hAnsi="Cambria"/>
                            <w:sz w:val="16"/>
                          </w:rPr>
                        </w:pPr>
                        <w:r>
                          <w:rPr>
                            <w:rFonts w:ascii="Cambria" w:hAnsi="Cambria"/>
                            <w:i/>
                            <w:sz w:val="16"/>
                          </w:rPr>
                          <w:t>γ</w:t>
                        </w:r>
                        <w:r>
                          <w:rPr>
                            <w:rFonts w:ascii="Cambria" w:hAnsi="Cambria"/>
                            <w:sz w:val="16"/>
                          </w:rPr>
                          <w:t>-Linolenic acid</w:t>
                        </w:r>
                      </w:p>
                    </w:tc>
                    <w:tc>
                      <w:tcPr>
                        <w:tcW w:w="1266" w:type="dxa"/>
                      </w:tcPr>
                      <w:p>
                        <w:pPr>
                          <w:pStyle w:val="TableParagraph"/>
                          <w:spacing w:before="38"/>
                          <w:ind w:right="574"/>
                          <w:jc w:val="right"/>
                          <w:rPr>
                            <w:rFonts w:ascii="Cambria"/>
                            <w:i/>
                            <w:sz w:val="16"/>
                          </w:rPr>
                        </w:pPr>
                        <w:r>
                          <w:rPr>
                            <w:rFonts w:ascii="Cambria"/>
                            <w:i/>
                            <w:w w:val="95"/>
                            <w:sz w:val="16"/>
                          </w:rPr>
                          <w:t>ccc</w:t>
                        </w:r>
                      </w:p>
                    </w:tc>
                    <w:tc>
                      <w:tcPr>
                        <w:tcW w:w="1383" w:type="dxa"/>
                      </w:tcPr>
                      <w:p>
                        <w:pPr>
                          <w:pStyle w:val="TableParagraph"/>
                          <w:spacing w:before="38"/>
                          <w:ind w:right="256"/>
                          <w:jc w:val="right"/>
                          <w:rPr>
                            <w:rFonts w:ascii="Cambria"/>
                            <w:sz w:val="16"/>
                          </w:rPr>
                        </w:pPr>
                        <w:r>
                          <w:rPr>
                            <w:rFonts w:ascii="Cambria"/>
                            <w:sz w:val="16"/>
                          </w:rPr>
                          <w:t>278.5</w:t>
                        </w:r>
                      </w:p>
                    </w:tc>
                    <w:tc>
                      <w:tcPr>
                        <w:tcW w:w="899" w:type="dxa"/>
                      </w:tcPr>
                      <w:p>
                        <w:pPr>
                          <w:pStyle w:val="TableParagraph"/>
                          <w:spacing w:before="38"/>
                          <w:ind w:right="257"/>
                          <w:jc w:val="right"/>
                          <w:rPr>
                            <w:rFonts w:ascii="Cambria"/>
                            <w:sz w:val="16"/>
                          </w:rPr>
                        </w:pPr>
                        <w:r>
                          <w:rPr>
                            <w:rFonts w:ascii="Cambria"/>
                            <w:sz w:val="16"/>
                          </w:rPr>
                          <w:t>251.5</w:t>
                        </w:r>
                      </w:p>
                    </w:tc>
                    <w:tc>
                      <w:tcPr>
                        <w:tcW w:w="899" w:type="dxa"/>
                      </w:tcPr>
                      <w:p>
                        <w:pPr>
                          <w:pStyle w:val="TableParagraph"/>
                          <w:spacing w:before="38"/>
                          <w:ind w:right="258"/>
                          <w:jc w:val="right"/>
                          <w:rPr>
                            <w:rFonts w:ascii="Cambria"/>
                            <w:sz w:val="16"/>
                          </w:rPr>
                        </w:pPr>
                        <w:r>
                          <w:rPr>
                            <w:rFonts w:ascii="Cambria"/>
                            <w:sz w:val="16"/>
                          </w:rPr>
                          <w:t>240.9</w:t>
                        </w:r>
                      </w:p>
                    </w:tc>
                    <w:tc>
                      <w:tcPr>
                        <w:tcW w:w="876" w:type="dxa"/>
                      </w:tcPr>
                      <w:p>
                        <w:pPr>
                          <w:pStyle w:val="TableParagraph"/>
                          <w:spacing w:before="38"/>
                          <w:ind w:right="232"/>
                          <w:jc w:val="right"/>
                          <w:rPr>
                            <w:rFonts w:ascii="Cambria"/>
                            <w:sz w:val="16"/>
                          </w:rPr>
                        </w:pPr>
                        <w:r>
                          <w:rPr>
                            <w:rFonts w:ascii="Cambria"/>
                            <w:sz w:val="16"/>
                          </w:rPr>
                          <w:t>253.7</w:t>
                        </w:r>
                      </w:p>
                    </w:tc>
                    <w:tc>
                      <w:tcPr>
                        <w:tcW w:w="713" w:type="dxa"/>
                      </w:tcPr>
                      <w:p>
                        <w:pPr>
                          <w:pStyle w:val="TableParagraph"/>
                          <w:spacing w:before="38"/>
                          <w:ind w:right="187"/>
                          <w:jc w:val="right"/>
                          <w:rPr>
                            <w:rFonts w:ascii="Cambria"/>
                            <w:sz w:val="16"/>
                          </w:rPr>
                        </w:pPr>
                        <w:r>
                          <w:rPr>
                            <w:rFonts w:ascii="Cambria"/>
                            <w:sz w:val="16"/>
                          </w:rPr>
                          <w:t>89.6</w:t>
                        </w:r>
                      </w:p>
                    </w:tc>
                    <w:tc>
                      <w:tcPr>
                        <w:tcW w:w="468" w:type="dxa"/>
                      </w:tcPr>
                      <w:p>
                        <w:pPr>
                          <w:pStyle w:val="TableParagraph"/>
                          <w:spacing w:before="38"/>
                          <w:ind w:right="73"/>
                          <w:jc w:val="right"/>
                          <w:rPr>
                            <w:rFonts w:ascii="Cambria"/>
                            <w:sz w:val="16"/>
                          </w:rPr>
                        </w:pPr>
                        <w:r>
                          <w:rPr>
                            <w:rFonts w:ascii="Cambria"/>
                            <w:w w:val="95"/>
                            <w:sz w:val="16"/>
                          </w:rPr>
                          <w:t>5.9</w:t>
                        </w:r>
                      </w:p>
                    </w:tc>
                  </w:tr>
                  <w:tr>
                    <w:trPr>
                      <w:trHeight w:val="281" w:hRule="exact"/>
                    </w:trPr>
                    <w:tc>
                      <w:tcPr>
                        <w:tcW w:w="2480" w:type="dxa"/>
                      </w:tcPr>
                      <w:p>
                        <w:pPr>
                          <w:pStyle w:val="TableParagraph"/>
                          <w:spacing w:before="36"/>
                          <w:ind w:left="71"/>
                          <w:rPr>
                            <w:rFonts w:ascii="Cambria"/>
                            <w:sz w:val="16"/>
                          </w:rPr>
                        </w:pPr>
                        <w:r>
                          <w:rPr>
                            <w:rFonts w:ascii="Cambria"/>
                            <w:sz w:val="16"/>
                          </w:rPr>
                          <w:t>Linolenic acid</w:t>
                        </w:r>
                      </w:p>
                    </w:tc>
                    <w:tc>
                      <w:tcPr>
                        <w:tcW w:w="1266" w:type="dxa"/>
                      </w:tcPr>
                      <w:p>
                        <w:pPr>
                          <w:pStyle w:val="TableParagraph"/>
                          <w:spacing w:before="36"/>
                          <w:ind w:right="574"/>
                          <w:jc w:val="right"/>
                          <w:rPr>
                            <w:rFonts w:ascii="Cambria"/>
                            <w:i/>
                            <w:sz w:val="16"/>
                          </w:rPr>
                        </w:pPr>
                        <w:r>
                          <w:rPr>
                            <w:rFonts w:ascii="Cambria"/>
                            <w:i/>
                            <w:w w:val="95"/>
                            <w:sz w:val="16"/>
                          </w:rPr>
                          <w:t>ccc</w:t>
                        </w:r>
                      </w:p>
                    </w:tc>
                    <w:tc>
                      <w:tcPr>
                        <w:tcW w:w="1383" w:type="dxa"/>
                      </w:tcPr>
                      <w:p>
                        <w:pPr>
                          <w:pStyle w:val="TableParagraph"/>
                          <w:spacing w:before="36"/>
                          <w:ind w:right="256"/>
                          <w:jc w:val="right"/>
                          <w:rPr>
                            <w:rFonts w:ascii="Cambria"/>
                            <w:sz w:val="16"/>
                          </w:rPr>
                        </w:pPr>
                        <w:r>
                          <w:rPr>
                            <w:rFonts w:ascii="Cambria"/>
                            <w:sz w:val="16"/>
                          </w:rPr>
                          <w:t>278.5</w:t>
                        </w:r>
                      </w:p>
                    </w:tc>
                    <w:tc>
                      <w:tcPr>
                        <w:tcW w:w="899" w:type="dxa"/>
                      </w:tcPr>
                      <w:p>
                        <w:pPr>
                          <w:pStyle w:val="TableParagraph"/>
                          <w:spacing w:before="36"/>
                          <w:ind w:right="257"/>
                          <w:jc w:val="right"/>
                          <w:rPr>
                            <w:rFonts w:ascii="Cambria"/>
                            <w:sz w:val="16"/>
                          </w:rPr>
                        </w:pPr>
                        <w:r>
                          <w:rPr>
                            <w:rFonts w:ascii="Cambria"/>
                            <w:sz w:val="16"/>
                          </w:rPr>
                          <w:t>255.1</w:t>
                        </w:r>
                      </w:p>
                    </w:tc>
                    <w:tc>
                      <w:tcPr>
                        <w:tcW w:w="899" w:type="dxa"/>
                      </w:tcPr>
                      <w:p>
                        <w:pPr>
                          <w:pStyle w:val="TableParagraph"/>
                          <w:spacing w:before="36"/>
                          <w:ind w:right="258"/>
                          <w:jc w:val="right"/>
                          <w:rPr>
                            <w:rFonts w:ascii="Cambria"/>
                            <w:sz w:val="16"/>
                          </w:rPr>
                        </w:pPr>
                        <w:r>
                          <w:rPr>
                            <w:rFonts w:ascii="Cambria"/>
                            <w:sz w:val="16"/>
                          </w:rPr>
                          <w:t>244.5</w:t>
                        </w:r>
                      </w:p>
                    </w:tc>
                    <w:tc>
                      <w:tcPr>
                        <w:tcW w:w="876" w:type="dxa"/>
                      </w:tcPr>
                      <w:p>
                        <w:pPr>
                          <w:pStyle w:val="TableParagraph"/>
                          <w:spacing w:before="36"/>
                          <w:ind w:right="232"/>
                          <w:jc w:val="right"/>
                          <w:rPr>
                            <w:rFonts w:ascii="Cambria"/>
                            <w:sz w:val="16"/>
                          </w:rPr>
                        </w:pPr>
                        <w:r>
                          <w:rPr>
                            <w:rFonts w:ascii="Cambria"/>
                            <w:sz w:val="16"/>
                          </w:rPr>
                          <w:t>257.3</w:t>
                        </w:r>
                      </w:p>
                    </w:tc>
                    <w:tc>
                      <w:tcPr>
                        <w:tcW w:w="713" w:type="dxa"/>
                      </w:tcPr>
                      <w:p>
                        <w:pPr>
                          <w:pStyle w:val="TableParagraph"/>
                          <w:spacing w:before="36"/>
                          <w:ind w:right="187"/>
                          <w:jc w:val="right"/>
                          <w:rPr>
                            <w:rFonts w:ascii="Cambria"/>
                            <w:sz w:val="16"/>
                          </w:rPr>
                        </w:pPr>
                        <w:r>
                          <w:rPr>
                            <w:rFonts w:ascii="Cambria"/>
                            <w:sz w:val="16"/>
                          </w:rPr>
                          <w:t>89.6</w:t>
                        </w:r>
                      </w:p>
                    </w:tc>
                    <w:tc>
                      <w:tcPr>
                        <w:tcW w:w="468" w:type="dxa"/>
                      </w:tcPr>
                      <w:p>
                        <w:pPr>
                          <w:pStyle w:val="TableParagraph"/>
                          <w:spacing w:before="36"/>
                          <w:ind w:right="73"/>
                          <w:jc w:val="right"/>
                          <w:rPr>
                            <w:rFonts w:ascii="Cambria"/>
                            <w:sz w:val="16"/>
                          </w:rPr>
                        </w:pPr>
                        <w:r>
                          <w:rPr>
                            <w:rFonts w:ascii="Cambria"/>
                            <w:w w:val="95"/>
                            <w:sz w:val="16"/>
                          </w:rPr>
                          <w:t>5.9</w:t>
                        </w:r>
                      </w:p>
                    </w:tc>
                  </w:tr>
                  <w:tr>
                    <w:trPr>
                      <w:trHeight w:val="321" w:hRule="exact"/>
                    </w:trPr>
                    <w:tc>
                      <w:tcPr>
                        <w:tcW w:w="2480" w:type="dxa"/>
                      </w:tcPr>
                      <w:p>
                        <w:pPr>
                          <w:pStyle w:val="TableParagraph"/>
                          <w:spacing w:before="38"/>
                          <w:ind w:left="71"/>
                          <w:rPr>
                            <w:rFonts w:ascii="Cambria"/>
                            <w:sz w:val="16"/>
                          </w:rPr>
                        </w:pPr>
                        <w:r>
                          <w:rPr>
                            <w:rFonts w:ascii="Cambria"/>
                            <w:i/>
                            <w:sz w:val="16"/>
                          </w:rPr>
                          <w:t>cis</w:t>
                        </w:r>
                        <w:r>
                          <w:rPr>
                            <w:rFonts w:ascii="Cambria"/>
                            <w:sz w:val="16"/>
                          </w:rPr>
                          <w:t>-11.14-Eicosadienoic acid</w:t>
                        </w:r>
                      </w:p>
                    </w:tc>
                    <w:tc>
                      <w:tcPr>
                        <w:tcW w:w="1266" w:type="dxa"/>
                      </w:tcPr>
                      <w:p>
                        <w:pPr>
                          <w:pStyle w:val="TableParagraph"/>
                          <w:spacing w:before="38"/>
                          <w:ind w:right="612"/>
                          <w:jc w:val="right"/>
                          <w:rPr>
                            <w:rFonts w:ascii="Cambria"/>
                            <w:i/>
                            <w:sz w:val="16"/>
                          </w:rPr>
                        </w:pPr>
                        <w:r>
                          <w:rPr>
                            <w:rFonts w:ascii="Cambria"/>
                            <w:i/>
                            <w:sz w:val="16"/>
                          </w:rPr>
                          <w:t>ct</w:t>
                        </w:r>
                      </w:p>
                    </w:tc>
                    <w:tc>
                      <w:tcPr>
                        <w:tcW w:w="1383" w:type="dxa"/>
                      </w:tcPr>
                      <w:p>
                        <w:pPr>
                          <w:pStyle w:val="TableParagraph"/>
                          <w:spacing w:before="38"/>
                          <w:ind w:right="256"/>
                          <w:jc w:val="right"/>
                          <w:rPr>
                            <w:rFonts w:ascii="Cambria"/>
                            <w:sz w:val="16"/>
                          </w:rPr>
                        </w:pPr>
                        <w:r>
                          <w:rPr>
                            <w:rFonts w:ascii="Cambria"/>
                            <w:sz w:val="16"/>
                          </w:rPr>
                          <w:t>308.6</w:t>
                        </w:r>
                      </w:p>
                    </w:tc>
                    <w:tc>
                      <w:tcPr>
                        <w:tcW w:w="899" w:type="dxa"/>
                      </w:tcPr>
                      <w:p>
                        <w:pPr>
                          <w:pStyle w:val="TableParagraph"/>
                          <w:spacing w:before="38"/>
                          <w:ind w:right="257"/>
                          <w:jc w:val="right"/>
                          <w:rPr>
                            <w:rFonts w:ascii="Cambria"/>
                            <w:sz w:val="16"/>
                          </w:rPr>
                        </w:pPr>
                        <w:r>
                          <w:rPr>
                            <w:rFonts w:ascii="Cambria"/>
                            <w:sz w:val="16"/>
                          </w:rPr>
                          <w:t>318.0</w:t>
                        </w:r>
                      </w:p>
                    </w:tc>
                    <w:tc>
                      <w:tcPr>
                        <w:tcW w:w="899" w:type="dxa"/>
                      </w:tcPr>
                      <w:p>
                        <w:pPr>
                          <w:pStyle w:val="TableParagraph"/>
                          <w:spacing w:before="38"/>
                          <w:ind w:right="258"/>
                          <w:jc w:val="right"/>
                          <w:rPr>
                            <w:rFonts w:ascii="Cambria"/>
                            <w:sz w:val="16"/>
                          </w:rPr>
                        </w:pPr>
                        <w:r>
                          <w:rPr>
                            <w:rFonts w:ascii="Cambria"/>
                            <w:sz w:val="16"/>
                          </w:rPr>
                          <w:t>307.3</w:t>
                        </w:r>
                      </w:p>
                    </w:tc>
                    <w:tc>
                      <w:tcPr>
                        <w:tcW w:w="876" w:type="dxa"/>
                      </w:tcPr>
                      <w:p>
                        <w:pPr>
                          <w:pStyle w:val="TableParagraph"/>
                          <w:spacing w:before="38"/>
                          <w:ind w:right="232"/>
                          <w:jc w:val="right"/>
                          <w:rPr>
                            <w:rFonts w:ascii="Cambria"/>
                            <w:sz w:val="16"/>
                          </w:rPr>
                        </w:pPr>
                        <w:r>
                          <w:rPr>
                            <w:rFonts w:ascii="Cambria"/>
                            <w:sz w:val="16"/>
                          </w:rPr>
                          <w:t>320.2</w:t>
                        </w:r>
                      </w:p>
                    </w:tc>
                    <w:tc>
                      <w:tcPr>
                        <w:tcW w:w="713" w:type="dxa"/>
                      </w:tcPr>
                      <w:p>
                        <w:pPr>
                          <w:pStyle w:val="TableParagraph"/>
                          <w:spacing w:before="38"/>
                          <w:ind w:right="187"/>
                          <w:jc w:val="right"/>
                          <w:rPr>
                            <w:rFonts w:ascii="Cambria"/>
                            <w:sz w:val="16"/>
                          </w:rPr>
                        </w:pPr>
                        <w:r>
                          <w:rPr>
                            <w:rFonts w:ascii="Cambria"/>
                            <w:sz w:val="16"/>
                          </w:rPr>
                          <w:t>97.7</w:t>
                        </w:r>
                      </w:p>
                    </w:tc>
                    <w:tc>
                      <w:tcPr>
                        <w:tcW w:w="468" w:type="dxa"/>
                      </w:tcPr>
                      <w:p>
                        <w:pPr>
                          <w:pStyle w:val="TableParagraph"/>
                          <w:spacing w:before="38"/>
                          <w:ind w:right="73"/>
                          <w:jc w:val="right"/>
                          <w:rPr>
                            <w:rFonts w:ascii="Cambria"/>
                            <w:sz w:val="16"/>
                          </w:rPr>
                        </w:pPr>
                        <w:r>
                          <w:rPr>
                            <w:rFonts w:ascii="Cambria"/>
                            <w:w w:val="95"/>
                            <w:sz w:val="16"/>
                          </w:rPr>
                          <w:t>7.3</w:t>
                        </w:r>
                      </w:p>
                    </w:tc>
                  </w:tr>
                </w:tbl>
                <w:p>
                  <w:pPr>
                    <w:pStyle w:val="BodyText"/>
                  </w:pPr>
                </w:p>
              </w:txbxContent>
            </v:textbox>
            <w10:wrap type="none"/>
          </v:shape>
        </w:pict>
      </w:r>
      <w:r>
        <w:rPr>
          <w:i/>
          <w:w w:val="100"/>
          <w:sz w:val="10"/>
        </w:rPr>
        <w:t>b</w:t>
      </w:r>
    </w:p>
    <w:p>
      <w:pPr>
        <w:spacing w:before="73"/>
        <w:ind w:left="259" w:right="0" w:firstLine="0"/>
        <w:jc w:val="left"/>
        <w:rPr>
          <w:i/>
          <w:sz w:val="10"/>
        </w:rPr>
      </w:pPr>
      <w:r>
        <w:rPr/>
        <w:br w:type="column"/>
      </w:r>
      <w:r>
        <w:rPr>
          <w:sz w:val="16"/>
        </w:rPr>
        <w:t>Molecular descriptors of FA- Inputs </w:t>
      </w:r>
      <w:r>
        <w:rPr>
          <w:i/>
          <w:position w:val="4"/>
          <w:sz w:val="10"/>
        </w:rPr>
        <w:t>c</w:t>
      </w:r>
    </w:p>
    <w:p>
      <w:pPr>
        <w:spacing w:after="0"/>
        <w:jc w:val="left"/>
        <w:rPr>
          <w:sz w:val="10"/>
        </w:rPr>
        <w:sectPr>
          <w:type w:val="continuous"/>
          <w:pgSz w:w="12240" w:h="15840"/>
          <w:pgMar w:top="3080" w:bottom="2780" w:left="1440" w:right="1460"/>
          <w:cols w:num="3" w:equalWidth="0">
            <w:col w:w="2263" w:space="172"/>
            <w:col w:w="1390" w:space="1227"/>
            <w:col w:w="4288"/>
          </w:cols>
        </w:sectPr>
      </w:pPr>
    </w:p>
    <w:p>
      <w:pPr>
        <w:pStyle w:val="BodyText"/>
        <w:spacing w:before="8"/>
        <w:rPr>
          <w:i/>
          <w:sz w:val="14"/>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79"/>
        <w:gridCol w:w="1257"/>
        <w:gridCol w:w="1306"/>
        <w:gridCol w:w="898"/>
        <w:gridCol w:w="900"/>
        <w:gridCol w:w="831"/>
        <w:gridCol w:w="732"/>
        <w:gridCol w:w="497"/>
      </w:tblGrid>
      <w:tr>
        <w:trPr>
          <w:trHeight w:val="321" w:hRule="exact"/>
        </w:trPr>
        <w:tc>
          <w:tcPr>
            <w:tcW w:w="2579" w:type="dxa"/>
          </w:tcPr>
          <w:p>
            <w:pPr>
              <w:pStyle w:val="TableParagraph"/>
              <w:spacing w:before="76"/>
              <w:ind w:left="86"/>
              <w:rPr>
                <w:rFonts w:ascii="Cambria"/>
                <w:sz w:val="16"/>
              </w:rPr>
            </w:pPr>
            <w:r>
              <w:rPr>
                <w:rFonts w:ascii="Cambria"/>
                <w:sz w:val="16"/>
              </w:rPr>
              <w:t>Behenic acid</w:t>
            </w:r>
          </w:p>
        </w:tc>
        <w:tc>
          <w:tcPr>
            <w:tcW w:w="1257" w:type="dxa"/>
          </w:tcPr>
          <w:p>
            <w:pPr>
              <w:pStyle w:val="TableParagraph"/>
              <w:spacing w:before="76"/>
              <w:ind w:left="485"/>
              <w:rPr>
                <w:rFonts w:ascii="Cambria"/>
                <w:i/>
                <w:sz w:val="16"/>
              </w:rPr>
            </w:pPr>
            <w:r>
              <w:rPr>
                <w:rFonts w:ascii="Cambria"/>
                <w:i/>
                <w:w w:val="98"/>
                <w:sz w:val="16"/>
              </w:rPr>
              <w:t>l</w:t>
            </w:r>
          </w:p>
        </w:tc>
        <w:tc>
          <w:tcPr>
            <w:tcW w:w="1306" w:type="dxa"/>
          </w:tcPr>
          <w:p>
            <w:pPr>
              <w:pStyle w:val="TableParagraph"/>
              <w:spacing w:before="76"/>
              <w:ind w:right="254"/>
              <w:jc w:val="right"/>
              <w:rPr>
                <w:rFonts w:ascii="Cambria"/>
                <w:sz w:val="16"/>
              </w:rPr>
            </w:pPr>
            <w:r>
              <w:rPr>
                <w:rFonts w:ascii="Cambria"/>
                <w:sz w:val="16"/>
              </w:rPr>
              <w:t>340.7</w:t>
            </w:r>
          </w:p>
        </w:tc>
        <w:tc>
          <w:tcPr>
            <w:tcW w:w="898" w:type="dxa"/>
          </w:tcPr>
          <w:p>
            <w:pPr>
              <w:pStyle w:val="TableParagraph"/>
              <w:spacing w:before="76"/>
              <w:ind w:left="234" w:right="234"/>
              <w:jc w:val="center"/>
              <w:rPr>
                <w:rFonts w:ascii="Cambria"/>
                <w:sz w:val="16"/>
              </w:rPr>
            </w:pPr>
            <w:r>
              <w:rPr>
                <w:rFonts w:ascii="Cambria"/>
                <w:sz w:val="16"/>
              </w:rPr>
              <w:t>401.3</w:t>
            </w:r>
          </w:p>
        </w:tc>
        <w:tc>
          <w:tcPr>
            <w:tcW w:w="900" w:type="dxa"/>
          </w:tcPr>
          <w:p>
            <w:pPr>
              <w:pStyle w:val="TableParagraph"/>
              <w:spacing w:before="76"/>
              <w:ind w:right="256"/>
              <w:jc w:val="right"/>
              <w:rPr>
                <w:rFonts w:ascii="Cambria"/>
                <w:sz w:val="16"/>
              </w:rPr>
            </w:pPr>
            <w:r>
              <w:rPr>
                <w:rFonts w:ascii="Cambria"/>
                <w:sz w:val="16"/>
              </w:rPr>
              <w:t>390.6</w:t>
            </w:r>
          </w:p>
        </w:tc>
        <w:tc>
          <w:tcPr>
            <w:tcW w:w="831" w:type="dxa"/>
          </w:tcPr>
          <w:p>
            <w:pPr>
              <w:pStyle w:val="TableParagraph"/>
              <w:spacing w:before="76"/>
              <w:ind w:right="185"/>
              <w:jc w:val="right"/>
              <w:rPr>
                <w:rFonts w:ascii="Cambria"/>
                <w:sz w:val="16"/>
              </w:rPr>
            </w:pPr>
            <w:r>
              <w:rPr>
                <w:rFonts w:ascii="Cambria"/>
                <w:sz w:val="16"/>
              </w:rPr>
              <w:t>403.5</w:t>
            </w:r>
          </w:p>
        </w:tc>
        <w:tc>
          <w:tcPr>
            <w:tcW w:w="732" w:type="dxa"/>
          </w:tcPr>
          <w:p>
            <w:pPr>
              <w:pStyle w:val="TableParagraph"/>
              <w:spacing w:before="76"/>
              <w:ind w:right="158"/>
              <w:jc w:val="right"/>
              <w:rPr>
                <w:rFonts w:ascii="Cambria"/>
                <w:sz w:val="16"/>
              </w:rPr>
            </w:pPr>
            <w:r>
              <w:rPr>
                <w:rFonts w:ascii="Cambria"/>
                <w:sz w:val="16"/>
              </w:rPr>
              <w:t>104.7</w:t>
            </w:r>
          </w:p>
        </w:tc>
        <w:tc>
          <w:tcPr>
            <w:tcW w:w="497" w:type="dxa"/>
          </w:tcPr>
          <w:p>
            <w:pPr>
              <w:pStyle w:val="TableParagraph"/>
              <w:spacing w:before="76"/>
              <w:ind w:right="73"/>
              <w:jc w:val="right"/>
              <w:rPr>
                <w:rFonts w:ascii="Cambria"/>
                <w:sz w:val="16"/>
              </w:rPr>
            </w:pPr>
            <w:r>
              <w:rPr>
                <w:rFonts w:ascii="Cambria"/>
                <w:w w:val="95"/>
                <w:sz w:val="16"/>
              </w:rPr>
              <w:t>9.1</w:t>
            </w:r>
          </w:p>
        </w:tc>
      </w:tr>
      <w:tr>
        <w:trPr>
          <w:trHeight w:val="281" w:hRule="exact"/>
        </w:trPr>
        <w:tc>
          <w:tcPr>
            <w:tcW w:w="2579" w:type="dxa"/>
          </w:tcPr>
          <w:p>
            <w:pPr>
              <w:pStyle w:val="TableParagraph"/>
              <w:spacing w:before="38"/>
              <w:ind w:left="86"/>
              <w:rPr>
                <w:rFonts w:ascii="Cambria"/>
                <w:sz w:val="16"/>
              </w:rPr>
            </w:pPr>
            <w:r>
              <w:rPr>
                <w:rFonts w:ascii="Cambria"/>
                <w:i/>
                <w:sz w:val="16"/>
              </w:rPr>
              <w:t>cis</w:t>
            </w:r>
            <w:r>
              <w:rPr>
                <w:rFonts w:ascii="Cambria"/>
                <w:sz w:val="16"/>
              </w:rPr>
              <w:t>-8.11.14-Eicosatrienoic acid</w:t>
            </w:r>
          </w:p>
        </w:tc>
        <w:tc>
          <w:tcPr>
            <w:tcW w:w="1257" w:type="dxa"/>
          </w:tcPr>
          <w:p>
            <w:pPr>
              <w:pStyle w:val="TableParagraph"/>
              <w:spacing w:before="38"/>
              <w:ind w:left="418"/>
              <w:rPr>
                <w:rFonts w:ascii="Cambria"/>
                <w:i/>
                <w:sz w:val="16"/>
              </w:rPr>
            </w:pPr>
            <w:r>
              <w:rPr>
                <w:rFonts w:ascii="Cambria"/>
                <w:i/>
                <w:sz w:val="16"/>
              </w:rPr>
              <w:t>ctt</w:t>
            </w:r>
          </w:p>
        </w:tc>
        <w:tc>
          <w:tcPr>
            <w:tcW w:w="1306" w:type="dxa"/>
          </w:tcPr>
          <w:p>
            <w:pPr>
              <w:pStyle w:val="TableParagraph"/>
              <w:spacing w:before="38"/>
              <w:ind w:right="254"/>
              <w:jc w:val="right"/>
              <w:rPr>
                <w:rFonts w:ascii="Cambria"/>
                <w:sz w:val="16"/>
              </w:rPr>
            </w:pPr>
            <w:r>
              <w:rPr>
                <w:rFonts w:ascii="Cambria"/>
                <w:sz w:val="16"/>
              </w:rPr>
              <w:t>306.5</w:t>
            </w:r>
          </w:p>
        </w:tc>
        <w:tc>
          <w:tcPr>
            <w:tcW w:w="898" w:type="dxa"/>
          </w:tcPr>
          <w:p>
            <w:pPr>
              <w:pStyle w:val="TableParagraph"/>
              <w:spacing w:before="38"/>
              <w:ind w:left="234" w:right="234"/>
              <w:jc w:val="center"/>
              <w:rPr>
                <w:rFonts w:ascii="Cambria"/>
                <w:sz w:val="16"/>
              </w:rPr>
            </w:pPr>
            <w:r>
              <w:rPr>
                <w:rFonts w:ascii="Cambria"/>
                <w:sz w:val="16"/>
              </w:rPr>
              <w:t>307.4</w:t>
            </w:r>
          </w:p>
        </w:tc>
        <w:tc>
          <w:tcPr>
            <w:tcW w:w="900" w:type="dxa"/>
          </w:tcPr>
          <w:p>
            <w:pPr>
              <w:pStyle w:val="TableParagraph"/>
              <w:spacing w:before="38"/>
              <w:ind w:right="256"/>
              <w:jc w:val="right"/>
              <w:rPr>
                <w:rFonts w:ascii="Cambria"/>
                <w:sz w:val="16"/>
              </w:rPr>
            </w:pPr>
            <w:r>
              <w:rPr>
                <w:rFonts w:ascii="Cambria"/>
                <w:sz w:val="16"/>
              </w:rPr>
              <w:t>296.7</w:t>
            </w:r>
          </w:p>
        </w:tc>
        <w:tc>
          <w:tcPr>
            <w:tcW w:w="831" w:type="dxa"/>
          </w:tcPr>
          <w:p>
            <w:pPr>
              <w:pStyle w:val="TableParagraph"/>
              <w:spacing w:before="38"/>
              <w:ind w:right="185"/>
              <w:jc w:val="right"/>
              <w:rPr>
                <w:rFonts w:ascii="Cambria"/>
                <w:sz w:val="16"/>
              </w:rPr>
            </w:pPr>
            <w:r>
              <w:rPr>
                <w:rFonts w:ascii="Cambria"/>
                <w:sz w:val="16"/>
              </w:rPr>
              <w:t>309.7</w:t>
            </w:r>
          </w:p>
        </w:tc>
        <w:tc>
          <w:tcPr>
            <w:tcW w:w="732" w:type="dxa"/>
          </w:tcPr>
          <w:p>
            <w:pPr>
              <w:pStyle w:val="TableParagraph"/>
              <w:spacing w:before="38"/>
              <w:ind w:right="158"/>
              <w:jc w:val="right"/>
              <w:rPr>
                <w:rFonts w:ascii="Cambria"/>
                <w:sz w:val="16"/>
              </w:rPr>
            </w:pPr>
            <w:r>
              <w:rPr>
                <w:rFonts w:ascii="Cambria"/>
                <w:sz w:val="16"/>
              </w:rPr>
              <w:t>98.8</w:t>
            </w:r>
          </w:p>
        </w:tc>
        <w:tc>
          <w:tcPr>
            <w:tcW w:w="497" w:type="dxa"/>
          </w:tcPr>
          <w:p>
            <w:pPr>
              <w:pStyle w:val="TableParagraph"/>
              <w:spacing w:before="38"/>
              <w:ind w:right="73"/>
              <w:jc w:val="right"/>
              <w:rPr>
                <w:rFonts w:ascii="Cambria"/>
                <w:sz w:val="16"/>
              </w:rPr>
            </w:pPr>
            <w:r>
              <w:rPr>
                <w:rFonts w:ascii="Cambria"/>
                <w:w w:val="95"/>
                <w:sz w:val="16"/>
              </w:rPr>
              <w:t>6.9</w:t>
            </w:r>
          </w:p>
        </w:tc>
      </w:tr>
      <w:tr>
        <w:trPr>
          <w:trHeight w:val="281" w:hRule="exact"/>
        </w:trPr>
        <w:tc>
          <w:tcPr>
            <w:tcW w:w="2579" w:type="dxa"/>
          </w:tcPr>
          <w:p>
            <w:pPr>
              <w:pStyle w:val="TableParagraph"/>
              <w:spacing w:before="36"/>
              <w:ind w:left="86"/>
              <w:rPr>
                <w:rFonts w:ascii="Cambria"/>
                <w:sz w:val="16"/>
              </w:rPr>
            </w:pPr>
            <w:r>
              <w:rPr>
                <w:rFonts w:ascii="Cambria"/>
                <w:sz w:val="16"/>
              </w:rPr>
              <w:t>Erucic acid</w:t>
            </w:r>
          </w:p>
        </w:tc>
        <w:tc>
          <w:tcPr>
            <w:tcW w:w="1257" w:type="dxa"/>
          </w:tcPr>
          <w:p>
            <w:pPr>
              <w:pStyle w:val="TableParagraph"/>
              <w:spacing w:before="36"/>
              <w:ind w:left="480"/>
              <w:rPr>
                <w:rFonts w:ascii="Cambria"/>
                <w:i/>
                <w:sz w:val="16"/>
              </w:rPr>
            </w:pPr>
            <w:r>
              <w:rPr>
                <w:rFonts w:ascii="Cambria"/>
                <w:i/>
                <w:w w:val="99"/>
                <w:sz w:val="16"/>
              </w:rPr>
              <w:t>t</w:t>
            </w:r>
          </w:p>
        </w:tc>
        <w:tc>
          <w:tcPr>
            <w:tcW w:w="1306" w:type="dxa"/>
          </w:tcPr>
          <w:p>
            <w:pPr>
              <w:pStyle w:val="TableParagraph"/>
              <w:spacing w:before="36"/>
              <w:ind w:right="254"/>
              <w:jc w:val="right"/>
              <w:rPr>
                <w:rFonts w:ascii="Cambria"/>
                <w:sz w:val="16"/>
              </w:rPr>
            </w:pPr>
            <w:r>
              <w:rPr>
                <w:rFonts w:ascii="Cambria"/>
                <w:sz w:val="16"/>
              </w:rPr>
              <w:t>338.6</w:t>
            </w:r>
          </w:p>
        </w:tc>
        <w:tc>
          <w:tcPr>
            <w:tcW w:w="898" w:type="dxa"/>
          </w:tcPr>
          <w:p>
            <w:pPr>
              <w:pStyle w:val="TableParagraph"/>
              <w:spacing w:before="36"/>
              <w:ind w:left="234" w:right="234"/>
              <w:jc w:val="center"/>
              <w:rPr>
                <w:rFonts w:ascii="Cambria"/>
                <w:sz w:val="16"/>
              </w:rPr>
            </w:pPr>
            <w:r>
              <w:rPr>
                <w:rFonts w:ascii="Cambria"/>
                <w:sz w:val="16"/>
              </w:rPr>
              <w:t>390.2</w:t>
            </w:r>
          </w:p>
        </w:tc>
        <w:tc>
          <w:tcPr>
            <w:tcW w:w="900" w:type="dxa"/>
          </w:tcPr>
          <w:p>
            <w:pPr>
              <w:pStyle w:val="TableParagraph"/>
              <w:spacing w:before="36"/>
              <w:ind w:right="256"/>
              <w:jc w:val="right"/>
              <w:rPr>
                <w:rFonts w:ascii="Cambria"/>
                <w:sz w:val="16"/>
              </w:rPr>
            </w:pPr>
            <w:r>
              <w:rPr>
                <w:rFonts w:ascii="Cambria"/>
                <w:sz w:val="16"/>
              </w:rPr>
              <w:t>379.4</w:t>
            </w:r>
          </w:p>
        </w:tc>
        <w:tc>
          <w:tcPr>
            <w:tcW w:w="831" w:type="dxa"/>
          </w:tcPr>
          <w:p>
            <w:pPr>
              <w:pStyle w:val="TableParagraph"/>
              <w:spacing w:before="36"/>
              <w:ind w:right="185"/>
              <w:jc w:val="right"/>
              <w:rPr>
                <w:rFonts w:ascii="Cambria"/>
                <w:sz w:val="16"/>
              </w:rPr>
            </w:pPr>
            <w:r>
              <w:rPr>
                <w:rFonts w:ascii="Cambria"/>
                <w:sz w:val="16"/>
              </w:rPr>
              <w:t>392.4</w:t>
            </w:r>
          </w:p>
        </w:tc>
        <w:tc>
          <w:tcPr>
            <w:tcW w:w="732" w:type="dxa"/>
          </w:tcPr>
          <w:p>
            <w:pPr>
              <w:pStyle w:val="TableParagraph"/>
              <w:spacing w:before="36"/>
              <w:ind w:right="158"/>
              <w:jc w:val="right"/>
              <w:rPr>
                <w:rFonts w:ascii="Cambria"/>
                <w:sz w:val="16"/>
              </w:rPr>
            </w:pPr>
            <w:r>
              <w:rPr>
                <w:rFonts w:ascii="Cambria"/>
                <w:sz w:val="16"/>
              </w:rPr>
              <w:t>105.8</w:t>
            </w:r>
          </w:p>
        </w:tc>
        <w:tc>
          <w:tcPr>
            <w:tcW w:w="497" w:type="dxa"/>
          </w:tcPr>
          <w:p>
            <w:pPr>
              <w:pStyle w:val="TableParagraph"/>
              <w:spacing w:before="36"/>
              <w:ind w:right="73"/>
              <w:jc w:val="right"/>
              <w:rPr>
                <w:rFonts w:ascii="Cambria"/>
                <w:sz w:val="16"/>
              </w:rPr>
            </w:pPr>
            <w:r>
              <w:rPr>
                <w:rFonts w:ascii="Cambria"/>
                <w:w w:val="95"/>
                <w:sz w:val="16"/>
              </w:rPr>
              <w:t>8.7</w:t>
            </w:r>
          </w:p>
        </w:tc>
      </w:tr>
      <w:tr>
        <w:trPr>
          <w:trHeight w:val="284" w:hRule="exact"/>
        </w:trPr>
        <w:tc>
          <w:tcPr>
            <w:tcW w:w="2579" w:type="dxa"/>
          </w:tcPr>
          <w:p>
            <w:pPr>
              <w:pStyle w:val="TableParagraph"/>
              <w:spacing w:before="39"/>
              <w:ind w:left="86"/>
              <w:rPr>
                <w:rFonts w:ascii="Cambria"/>
                <w:sz w:val="16"/>
              </w:rPr>
            </w:pPr>
            <w:r>
              <w:rPr>
                <w:rFonts w:ascii="Cambria"/>
                <w:sz w:val="16"/>
              </w:rPr>
              <w:t>Acetic acid</w:t>
            </w:r>
          </w:p>
        </w:tc>
        <w:tc>
          <w:tcPr>
            <w:tcW w:w="1257" w:type="dxa"/>
          </w:tcPr>
          <w:p>
            <w:pPr>
              <w:pStyle w:val="TableParagraph"/>
              <w:spacing w:before="39"/>
              <w:ind w:left="485"/>
              <w:rPr>
                <w:rFonts w:ascii="Cambria"/>
                <w:i/>
                <w:sz w:val="16"/>
              </w:rPr>
            </w:pPr>
            <w:r>
              <w:rPr>
                <w:rFonts w:ascii="Cambria"/>
                <w:i/>
                <w:w w:val="99"/>
                <w:sz w:val="16"/>
              </w:rPr>
              <w:t>l</w:t>
            </w:r>
          </w:p>
        </w:tc>
        <w:tc>
          <w:tcPr>
            <w:tcW w:w="1306" w:type="dxa"/>
          </w:tcPr>
          <w:p>
            <w:pPr>
              <w:pStyle w:val="TableParagraph"/>
              <w:spacing w:before="39"/>
              <w:ind w:right="254"/>
              <w:jc w:val="right"/>
              <w:rPr>
                <w:rFonts w:ascii="Cambria"/>
                <w:sz w:val="16"/>
              </w:rPr>
            </w:pPr>
            <w:r>
              <w:rPr>
                <w:rFonts w:ascii="Cambria"/>
                <w:sz w:val="16"/>
              </w:rPr>
              <w:t>60.1</w:t>
            </w:r>
          </w:p>
        </w:tc>
        <w:tc>
          <w:tcPr>
            <w:tcW w:w="898" w:type="dxa"/>
          </w:tcPr>
          <w:p>
            <w:pPr>
              <w:pStyle w:val="TableParagraph"/>
              <w:spacing w:before="39"/>
              <w:ind w:left="235" w:right="144"/>
              <w:jc w:val="center"/>
              <w:rPr>
                <w:rFonts w:ascii="Cambria"/>
                <w:sz w:val="16"/>
              </w:rPr>
            </w:pPr>
            <w:r>
              <w:rPr>
                <w:rFonts w:ascii="Cambria"/>
                <w:sz w:val="16"/>
              </w:rPr>
              <w:t>13.1</w:t>
            </w:r>
          </w:p>
        </w:tc>
        <w:tc>
          <w:tcPr>
            <w:tcW w:w="900" w:type="dxa"/>
          </w:tcPr>
          <w:p>
            <w:pPr>
              <w:pStyle w:val="TableParagraph"/>
              <w:spacing w:before="39"/>
              <w:ind w:right="256"/>
              <w:jc w:val="right"/>
              <w:rPr>
                <w:rFonts w:ascii="Cambria"/>
                <w:sz w:val="16"/>
              </w:rPr>
            </w:pPr>
            <w:r>
              <w:rPr>
                <w:rFonts w:ascii="Cambria"/>
                <w:w w:val="95"/>
                <w:sz w:val="16"/>
              </w:rPr>
              <w:t>6.4</w:t>
            </w:r>
          </w:p>
        </w:tc>
        <w:tc>
          <w:tcPr>
            <w:tcW w:w="831" w:type="dxa"/>
          </w:tcPr>
          <w:p>
            <w:pPr>
              <w:pStyle w:val="TableParagraph"/>
              <w:spacing w:before="39"/>
              <w:ind w:right="184"/>
              <w:jc w:val="right"/>
              <w:rPr>
                <w:rFonts w:ascii="Cambria"/>
                <w:sz w:val="16"/>
              </w:rPr>
            </w:pPr>
            <w:r>
              <w:rPr>
                <w:rFonts w:ascii="Cambria"/>
                <w:sz w:val="16"/>
              </w:rPr>
              <w:t>14.4</w:t>
            </w:r>
          </w:p>
        </w:tc>
        <w:tc>
          <w:tcPr>
            <w:tcW w:w="732" w:type="dxa"/>
          </w:tcPr>
          <w:p>
            <w:pPr>
              <w:pStyle w:val="TableParagraph"/>
              <w:spacing w:before="39"/>
              <w:ind w:right="158"/>
              <w:jc w:val="right"/>
              <w:rPr>
                <w:rFonts w:ascii="Cambria"/>
                <w:sz w:val="16"/>
              </w:rPr>
            </w:pPr>
            <w:r>
              <w:rPr>
                <w:rFonts w:ascii="Cambria"/>
                <w:sz w:val="16"/>
              </w:rPr>
              <w:t>12.6</w:t>
            </w:r>
          </w:p>
        </w:tc>
        <w:tc>
          <w:tcPr>
            <w:tcW w:w="497" w:type="dxa"/>
          </w:tcPr>
          <w:p>
            <w:pPr>
              <w:pStyle w:val="TableParagraph"/>
              <w:spacing w:before="39"/>
              <w:ind w:right="73"/>
              <w:jc w:val="right"/>
              <w:rPr>
                <w:rFonts w:ascii="Cambria"/>
                <w:sz w:val="16"/>
              </w:rPr>
            </w:pPr>
            <w:r>
              <w:rPr>
                <w:rFonts w:ascii="Cambria"/>
                <w:w w:val="95"/>
                <w:sz w:val="16"/>
              </w:rPr>
              <w:t>-0.2</w:t>
            </w:r>
          </w:p>
        </w:tc>
      </w:tr>
      <w:tr>
        <w:trPr>
          <w:trHeight w:val="281" w:hRule="exact"/>
        </w:trPr>
        <w:tc>
          <w:tcPr>
            <w:tcW w:w="2579" w:type="dxa"/>
          </w:tcPr>
          <w:p>
            <w:pPr>
              <w:pStyle w:val="TableParagraph"/>
              <w:spacing w:before="38"/>
              <w:ind w:left="86"/>
              <w:rPr>
                <w:rFonts w:ascii="Cambria"/>
                <w:sz w:val="16"/>
              </w:rPr>
            </w:pPr>
            <w:r>
              <w:rPr>
                <w:rFonts w:ascii="Cambria"/>
                <w:sz w:val="16"/>
              </w:rPr>
              <w:t>Propionic acid</w:t>
            </w:r>
          </w:p>
        </w:tc>
        <w:tc>
          <w:tcPr>
            <w:tcW w:w="1257" w:type="dxa"/>
          </w:tcPr>
          <w:p>
            <w:pPr>
              <w:pStyle w:val="TableParagraph"/>
              <w:spacing w:before="38"/>
              <w:ind w:left="485"/>
              <w:rPr>
                <w:rFonts w:ascii="Cambria"/>
                <w:i/>
                <w:sz w:val="16"/>
              </w:rPr>
            </w:pPr>
            <w:r>
              <w:rPr>
                <w:rFonts w:ascii="Cambria"/>
                <w:i/>
                <w:w w:val="98"/>
                <w:sz w:val="16"/>
              </w:rPr>
              <w:t>l</w:t>
            </w:r>
          </w:p>
        </w:tc>
        <w:tc>
          <w:tcPr>
            <w:tcW w:w="1306" w:type="dxa"/>
          </w:tcPr>
          <w:p>
            <w:pPr>
              <w:pStyle w:val="TableParagraph"/>
              <w:spacing w:before="38"/>
              <w:ind w:right="254"/>
              <w:jc w:val="right"/>
              <w:rPr>
                <w:rFonts w:ascii="Cambria"/>
                <w:sz w:val="16"/>
              </w:rPr>
            </w:pPr>
            <w:r>
              <w:rPr>
                <w:rFonts w:ascii="Cambria"/>
                <w:sz w:val="16"/>
              </w:rPr>
              <w:t>74.1</w:t>
            </w:r>
          </w:p>
        </w:tc>
        <w:tc>
          <w:tcPr>
            <w:tcW w:w="898" w:type="dxa"/>
          </w:tcPr>
          <w:p>
            <w:pPr>
              <w:pStyle w:val="TableParagraph"/>
              <w:spacing w:before="38"/>
              <w:ind w:left="235" w:right="144"/>
              <w:jc w:val="center"/>
              <w:rPr>
                <w:rFonts w:ascii="Cambria"/>
                <w:sz w:val="16"/>
              </w:rPr>
            </w:pPr>
            <w:r>
              <w:rPr>
                <w:rFonts w:ascii="Cambria"/>
                <w:sz w:val="16"/>
              </w:rPr>
              <w:t>19.2</w:t>
            </w:r>
          </w:p>
        </w:tc>
        <w:tc>
          <w:tcPr>
            <w:tcW w:w="900" w:type="dxa"/>
          </w:tcPr>
          <w:p>
            <w:pPr>
              <w:pStyle w:val="TableParagraph"/>
              <w:spacing w:before="38"/>
              <w:ind w:right="256"/>
              <w:jc w:val="right"/>
              <w:rPr>
                <w:rFonts w:ascii="Cambria"/>
                <w:sz w:val="16"/>
              </w:rPr>
            </w:pPr>
            <w:r>
              <w:rPr>
                <w:rFonts w:ascii="Cambria"/>
                <w:sz w:val="16"/>
              </w:rPr>
              <w:t>11.8</w:t>
            </w:r>
          </w:p>
        </w:tc>
        <w:tc>
          <w:tcPr>
            <w:tcW w:w="831" w:type="dxa"/>
          </w:tcPr>
          <w:p>
            <w:pPr>
              <w:pStyle w:val="TableParagraph"/>
              <w:spacing w:before="38"/>
              <w:ind w:right="184"/>
              <w:jc w:val="right"/>
              <w:rPr>
                <w:rFonts w:ascii="Cambria"/>
                <w:sz w:val="16"/>
              </w:rPr>
            </w:pPr>
            <w:r>
              <w:rPr>
                <w:rFonts w:ascii="Cambria"/>
                <w:sz w:val="16"/>
              </w:rPr>
              <w:t>20.7</w:t>
            </w:r>
          </w:p>
        </w:tc>
        <w:tc>
          <w:tcPr>
            <w:tcW w:w="732" w:type="dxa"/>
          </w:tcPr>
          <w:p>
            <w:pPr>
              <w:pStyle w:val="TableParagraph"/>
              <w:spacing w:before="38"/>
              <w:ind w:right="158"/>
              <w:jc w:val="right"/>
              <w:rPr>
                <w:rFonts w:ascii="Cambria"/>
                <w:sz w:val="16"/>
              </w:rPr>
            </w:pPr>
            <w:r>
              <w:rPr>
                <w:rFonts w:ascii="Cambria"/>
                <w:sz w:val="16"/>
              </w:rPr>
              <w:t>17.3</w:t>
            </w:r>
          </w:p>
        </w:tc>
        <w:tc>
          <w:tcPr>
            <w:tcW w:w="497" w:type="dxa"/>
          </w:tcPr>
          <w:p>
            <w:pPr>
              <w:pStyle w:val="TableParagraph"/>
              <w:spacing w:before="38"/>
              <w:ind w:right="73"/>
              <w:jc w:val="right"/>
              <w:rPr>
                <w:rFonts w:ascii="Cambria"/>
                <w:sz w:val="16"/>
              </w:rPr>
            </w:pPr>
            <w:r>
              <w:rPr>
                <w:rFonts w:ascii="Cambria"/>
                <w:w w:val="95"/>
                <w:sz w:val="16"/>
              </w:rPr>
              <w:t>0.4</w:t>
            </w:r>
          </w:p>
        </w:tc>
      </w:tr>
      <w:tr>
        <w:trPr>
          <w:trHeight w:val="281" w:hRule="exact"/>
        </w:trPr>
        <w:tc>
          <w:tcPr>
            <w:tcW w:w="2579" w:type="dxa"/>
          </w:tcPr>
          <w:p>
            <w:pPr>
              <w:pStyle w:val="TableParagraph"/>
              <w:spacing w:before="36"/>
              <w:ind w:left="86"/>
              <w:rPr>
                <w:rFonts w:ascii="Cambria"/>
                <w:sz w:val="16"/>
              </w:rPr>
            </w:pPr>
            <w:r>
              <w:rPr>
                <w:rFonts w:ascii="Cambria"/>
                <w:sz w:val="16"/>
              </w:rPr>
              <w:t>Isobutyric acid</w:t>
            </w:r>
          </w:p>
        </w:tc>
        <w:tc>
          <w:tcPr>
            <w:tcW w:w="1257" w:type="dxa"/>
          </w:tcPr>
          <w:p>
            <w:pPr>
              <w:pStyle w:val="TableParagraph"/>
              <w:spacing w:before="36"/>
              <w:ind w:left="485"/>
              <w:rPr>
                <w:rFonts w:ascii="Cambria"/>
                <w:i/>
                <w:sz w:val="16"/>
              </w:rPr>
            </w:pPr>
            <w:r>
              <w:rPr>
                <w:rFonts w:ascii="Cambria"/>
                <w:i/>
                <w:w w:val="98"/>
                <w:sz w:val="16"/>
              </w:rPr>
              <w:t>l</w:t>
            </w:r>
          </w:p>
        </w:tc>
        <w:tc>
          <w:tcPr>
            <w:tcW w:w="1306" w:type="dxa"/>
          </w:tcPr>
          <w:p>
            <w:pPr>
              <w:pStyle w:val="TableParagraph"/>
              <w:spacing w:before="36"/>
              <w:ind w:right="254"/>
              <w:jc w:val="right"/>
              <w:rPr>
                <w:rFonts w:ascii="Cambria"/>
                <w:sz w:val="16"/>
              </w:rPr>
            </w:pPr>
            <w:r>
              <w:rPr>
                <w:rFonts w:ascii="Cambria"/>
                <w:sz w:val="16"/>
              </w:rPr>
              <w:t>88.1</w:t>
            </w:r>
          </w:p>
        </w:tc>
        <w:tc>
          <w:tcPr>
            <w:tcW w:w="898" w:type="dxa"/>
          </w:tcPr>
          <w:p>
            <w:pPr>
              <w:pStyle w:val="TableParagraph"/>
              <w:spacing w:before="36"/>
              <w:ind w:left="235" w:right="144"/>
              <w:jc w:val="center"/>
              <w:rPr>
                <w:rFonts w:ascii="Cambria"/>
                <w:sz w:val="16"/>
              </w:rPr>
            </w:pPr>
            <w:r>
              <w:rPr>
                <w:rFonts w:ascii="Cambria"/>
                <w:sz w:val="16"/>
              </w:rPr>
              <w:t>24.6</w:t>
            </w:r>
          </w:p>
        </w:tc>
        <w:tc>
          <w:tcPr>
            <w:tcW w:w="900" w:type="dxa"/>
          </w:tcPr>
          <w:p>
            <w:pPr>
              <w:pStyle w:val="TableParagraph"/>
              <w:spacing w:before="36"/>
              <w:ind w:right="256"/>
              <w:jc w:val="right"/>
              <w:rPr>
                <w:rFonts w:ascii="Cambria"/>
                <w:sz w:val="16"/>
              </w:rPr>
            </w:pPr>
            <w:r>
              <w:rPr>
                <w:rFonts w:ascii="Cambria"/>
                <w:sz w:val="16"/>
              </w:rPr>
              <w:t>16.7</w:t>
            </w:r>
          </w:p>
        </w:tc>
        <w:tc>
          <w:tcPr>
            <w:tcW w:w="831" w:type="dxa"/>
          </w:tcPr>
          <w:p>
            <w:pPr>
              <w:pStyle w:val="TableParagraph"/>
              <w:spacing w:before="36"/>
              <w:ind w:right="184"/>
              <w:jc w:val="right"/>
              <w:rPr>
                <w:rFonts w:ascii="Cambria"/>
                <w:sz w:val="16"/>
              </w:rPr>
            </w:pPr>
            <w:r>
              <w:rPr>
                <w:rFonts w:ascii="Cambria"/>
                <w:sz w:val="16"/>
              </w:rPr>
              <w:t>26.2</w:t>
            </w:r>
          </w:p>
        </w:tc>
        <w:tc>
          <w:tcPr>
            <w:tcW w:w="732" w:type="dxa"/>
          </w:tcPr>
          <w:p>
            <w:pPr>
              <w:pStyle w:val="TableParagraph"/>
              <w:spacing w:before="36"/>
              <w:ind w:right="158"/>
              <w:jc w:val="right"/>
              <w:rPr>
                <w:rFonts w:ascii="Cambria"/>
                <w:sz w:val="16"/>
              </w:rPr>
            </w:pPr>
            <w:r>
              <w:rPr>
                <w:rFonts w:ascii="Cambria"/>
                <w:sz w:val="16"/>
              </w:rPr>
              <w:t>21.8</w:t>
            </w:r>
          </w:p>
        </w:tc>
        <w:tc>
          <w:tcPr>
            <w:tcW w:w="497" w:type="dxa"/>
          </w:tcPr>
          <w:p>
            <w:pPr>
              <w:pStyle w:val="TableParagraph"/>
              <w:spacing w:before="36"/>
              <w:ind w:right="73"/>
              <w:jc w:val="right"/>
              <w:rPr>
                <w:rFonts w:ascii="Cambria"/>
                <w:sz w:val="16"/>
              </w:rPr>
            </w:pPr>
            <w:r>
              <w:rPr>
                <w:rFonts w:ascii="Cambria"/>
                <w:w w:val="95"/>
                <w:sz w:val="16"/>
              </w:rPr>
              <w:t>0.9</w:t>
            </w:r>
          </w:p>
        </w:tc>
      </w:tr>
      <w:tr>
        <w:trPr>
          <w:trHeight w:val="283" w:hRule="exact"/>
        </w:trPr>
        <w:tc>
          <w:tcPr>
            <w:tcW w:w="2579" w:type="dxa"/>
          </w:tcPr>
          <w:p>
            <w:pPr>
              <w:pStyle w:val="TableParagraph"/>
              <w:spacing w:before="38"/>
              <w:ind w:left="86"/>
              <w:rPr>
                <w:rFonts w:ascii="Cambria"/>
                <w:sz w:val="16"/>
              </w:rPr>
            </w:pPr>
            <w:r>
              <w:rPr>
                <w:rFonts w:ascii="Cambria"/>
                <w:sz w:val="16"/>
              </w:rPr>
              <w:t>Butyric acid</w:t>
            </w:r>
          </w:p>
        </w:tc>
        <w:tc>
          <w:tcPr>
            <w:tcW w:w="1257" w:type="dxa"/>
          </w:tcPr>
          <w:p>
            <w:pPr>
              <w:pStyle w:val="TableParagraph"/>
              <w:spacing w:before="38"/>
              <w:ind w:left="485"/>
              <w:rPr>
                <w:rFonts w:ascii="Cambria"/>
                <w:i/>
                <w:sz w:val="16"/>
              </w:rPr>
            </w:pPr>
            <w:r>
              <w:rPr>
                <w:rFonts w:ascii="Cambria"/>
                <w:i/>
                <w:w w:val="99"/>
                <w:sz w:val="16"/>
              </w:rPr>
              <w:t>l</w:t>
            </w:r>
          </w:p>
        </w:tc>
        <w:tc>
          <w:tcPr>
            <w:tcW w:w="1306" w:type="dxa"/>
          </w:tcPr>
          <w:p>
            <w:pPr>
              <w:pStyle w:val="TableParagraph"/>
              <w:spacing w:before="38"/>
              <w:ind w:right="254"/>
              <w:jc w:val="right"/>
              <w:rPr>
                <w:rFonts w:ascii="Cambria"/>
                <w:sz w:val="16"/>
              </w:rPr>
            </w:pPr>
            <w:r>
              <w:rPr>
                <w:rFonts w:ascii="Cambria"/>
                <w:sz w:val="16"/>
              </w:rPr>
              <w:t>88.1</w:t>
            </w:r>
          </w:p>
        </w:tc>
        <w:tc>
          <w:tcPr>
            <w:tcW w:w="898" w:type="dxa"/>
          </w:tcPr>
          <w:p>
            <w:pPr>
              <w:pStyle w:val="TableParagraph"/>
              <w:spacing w:before="38"/>
              <w:ind w:left="235" w:right="144"/>
              <w:jc w:val="center"/>
              <w:rPr>
                <w:rFonts w:ascii="Cambria"/>
                <w:sz w:val="16"/>
              </w:rPr>
            </w:pPr>
            <w:r>
              <w:rPr>
                <w:rFonts w:ascii="Cambria"/>
                <w:sz w:val="16"/>
              </w:rPr>
              <w:t>26.7</w:t>
            </w:r>
          </w:p>
        </w:tc>
        <w:tc>
          <w:tcPr>
            <w:tcW w:w="900" w:type="dxa"/>
          </w:tcPr>
          <w:p>
            <w:pPr>
              <w:pStyle w:val="TableParagraph"/>
              <w:spacing w:before="38"/>
              <w:ind w:right="256"/>
              <w:jc w:val="right"/>
              <w:rPr>
                <w:rFonts w:ascii="Cambria"/>
                <w:sz w:val="16"/>
              </w:rPr>
            </w:pPr>
            <w:r>
              <w:rPr>
                <w:rFonts w:ascii="Cambria"/>
                <w:sz w:val="16"/>
              </w:rPr>
              <w:t>18.8</w:t>
            </w:r>
          </w:p>
        </w:tc>
        <w:tc>
          <w:tcPr>
            <w:tcW w:w="831" w:type="dxa"/>
          </w:tcPr>
          <w:p>
            <w:pPr>
              <w:pStyle w:val="TableParagraph"/>
              <w:spacing w:before="38"/>
              <w:ind w:right="184"/>
              <w:jc w:val="right"/>
              <w:rPr>
                <w:rFonts w:ascii="Cambria"/>
                <w:sz w:val="16"/>
              </w:rPr>
            </w:pPr>
            <w:r>
              <w:rPr>
                <w:rFonts w:ascii="Cambria"/>
                <w:sz w:val="16"/>
              </w:rPr>
              <w:t>28.3</w:t>
            </w:r>
          </w:p>
        </w:tc>
        <w:tc>
          <w:tcPr>
            <w:tcW w:w="732" w:type="dxa"/>
          </w:tcPr>
          <w:p>
            <w:pPr>
              <w:pStyle w:val="TableParagraph"/>
              <w:spacing w:before="38"/>
              <w:ind w:right="158"/>
              <w:jc w:val="right"/>
              <w:rPr>
                <w:rFonts w:ascii="Cambria"/>
                <w:sz w:val="16"/>
              </w:rPr>
            </w:pPr>
            <w:r>
              <w:rPr>
                <w:rFonts w:ascii="Cambria"/>
                <w:sz w:val="16"/>
              </w:rPr>
              <w:t>21.9</w:t>
            </w:r>
          </w:p>
        </w:tc>
        <w:tc>
          <w:tcPr>
            <w:tcW w:w="497" w:type="dxa"/>
          </w:tcPr>
          <w:p>
            <w:pPr>
              <w:pStyle w:val="TableParagraph"/>
              <w:spacing w:before="38"/>
              <w:ind w:right="73"/>
              <w:jc w:val="right"/>
              <w:rPr>
                <w:rFonts w:ascii="Cambria"/>
                <w:sz w:val="16"/>
              </w:rPr>
            </w:pPr>
            <w:r>
              <w:rPr>
                <w:rFonts w:ascii="Cambria"/>
                <w:w w:val="95"/>
                <w:sz w:val="16"/>
              </w:rPr>
              <w:t>0.9</w:t>
            </w:r>
          </w:p>
        </w:tc>
      </w:tr>
      <w:tr>
        <w:trPr>
          <w:trHeight w:val="281" w:hRule="exact"/>
        </w:trPr>
        <w:tc>
          <w:tcPr>
            <w:tcW w:w="2579" w:type="dxa"/>
          </w:tcPr>
          <w:p>
            <w:pPr>
              <w:pStyle w:val="TableParagraph"/>
              <w:spacing w:before="38"/>
              <w:ind w:left="86"/>
              <w:rPr>
                <w:rFonts w:ascii="Cambria"/>
                <w:sz w:val="16"/>
              </w:rPr>
            </w:pPr>
            <w:r>
              <w:rPr>
                <w:rFonts w:ascii="Cambria"/>
                <w:sz w:val="16"/>
              </w:rPr>
              <w:t>Isovaleric acid</w:t>
            </w:r>
          </w:p>
        </w:tc>
        <w:tc>
          <w:tcPr>
            <w:tcW w:w="1257" w:type="dxa"/>
          </w:tcPr>
          <w:p>
            <w:pPr>
              <w:pStyle w:val="TableParagraph"/>
              <w:spacing w:before="38"/>
              <w:ind w:left="485"/>
              <w:rPr>
                <w:rFonts w:ascii="Cambria"/>
                <w:i/>
                <w:sz w:val="16"/>
              </w:rPr>
            </w:pPr>
            <w:r>
              <w:rPr>
                <w:rFonts w:ascii="Cambria"/>
                <w:i/>
                <w:w w:val="98"/>
                <w:sz w:val="16"/>
              </w:rPr>
              <w:t>l</w:t>
            </w:r>
          </w:p>
        </w:tc>
        <w:tc>
          <w:tcPr>
            <w:tcW w:w="1306" w:type="dxa"/>
          </w:tcPr>
          <w:p>
            <w:pPr>
              <w:pStyle w:val="TableParagraph"/>
              <w:spacing w:before="38"/>
              <w:ind w:right="254"/>
              <w:jc w:val="right"/>
              <w:rPr>
                <w:rFonts w:ascii="Cambria"/>
                <w:sz w:val="16"/>
              </w:rPr>
            </w:pPr>
            <w:r>
              <w:rPr>
                <w:rFonts w:ascii="Cambria"/>
                <w:sz w:val="16"/>
              </w:rPr>
              <w:t>102.2</w:t>
            </w:r>
          </w:p>
        </w:tc>
        <w:tc>
          <w:tcPr>
            <w:tcW w:w="898" w:type="dxa"/>
          </w:tcPr>
          <w:p>
            <w:pPr>
              <w:pStyle w:val="TableParagraph"/>
              <w:spacing w:before="38"/>
              <w:ind w:left="235" w:right="144"/>
              <w:jc w:val="center"/>
              <w:rPr>
                <w:rFonts w:ascii="Cambria"/>
                <w:sz w:val="16"/>
              </w:rPr>
            </w:pPr>
            <w:r>
              <w:rPr>
                <w:rFonts w:ascii="Cambria"/>
                <w:sz w:val="16"/>
              </w:rPr>
              <w:t>33.2</w:t>
            </w:r>
          </w:p>
        </w:tc>
        <w:tc>
          <w:tcPr>
            <w:tcW w:w="900" w:type="dxa"/>
          </w:tcPr>
          <w:p>
            <w:pPr>
              <w:pStyle w:val="TableParagraph"/>
              <w:spacing w:before="38"/>
              <w:ind w:right="256"/>
              <w:jc w:val="right"/>
              <w:rPr>
                <w:rFonts w:ascii="Cambria"/>
                <w:sz w:val="16"/>
              </w:rPr>
            </w:pPr>
            <w:r>
              <w:rPr>
                <w:rFonts w:ascii="Cambria"/>
                <w:sz w:val="16"/>
              </w:rPr>
              <w:t>24.9</w:t>
            </w:r>
          </w:p>
        </w:tc>
        <w:tc>
          <w:tcPr>
            <w:tcW w:w="831" w:type="dxa"/>
          </w:tcPr>
          <w:p>
            <w:pPr>
              <w:pStyle w:val="TableParagraph"/>
              <w:spacing w:before="38"/>
              <w:ind w:right="184"/>
              <w:jc w:val="right"/>
              <w:rPr>
                <w:rFonts w:ascii="Cambria"/>
                <w:sz w:val="16"/>
              </w:rPr>
            </w:pPr>
            <w:r>
              <w:rPr>
                <w:rFonts w:ascii="Cambria"/>
                <w:sz w:val="16"/>
              </w:rPr>
              <w:t>34.9</w:t>
            </w:r>
          </w:p>
        </w:tc>
        <w:tc>
          <w:tcPr>
            <w:tcW w:w="732" w:type="dxa"/>
          </w:tcPr>
          <w:p>
            <w:pPr>
              <w:pStyle w:val="TableParagraph"/>
              <w:spacing w:before="38"/>
              <w:ind w:right="158"/>
              <w:jc w:val="right"/>
              <w:rPr>
                <w:rFonts w:ascii="Cambria"/>
                <w:sz w:val="16"/>
              </w:rPr>
            </w:pPr>
            <w:r>
              <w:rPr>
                <w:rFonts w:ascii="Cambria"/>
                <w:sz w:val="16"/>
              </w:rPr>
              <w:t>26.4</w:t>
            </w:r>
          </w:p>
        </w:tc>
        <w:tc>
          <w:tcPr>
            <w:tcW w:w="497" w:type="dxa"/>
          </w:tcPr>
          <w:p>
            <w:pPr>
              <w:pStyle w:val="TableParagraph"/>
              <w:spacing w:before="38"/>
              <w:ind w:right="73"/>
              <w:jc w:val="right"/>
              <w:rPr>
                <w:rFonts w:ascii="Cambria"/>
                <w:sz w:val="16"/>
              </w:rPr>
            </w:pPr>
            <w:r>
              <w:rPr>
                <w:rFonts w:ascii="Cambria"/>
                <w:w w:val="95"/>
                <w:sz w:val="16"/>
              </w:rPr>
              <w:t>1.1</w:t>
            </w:r>
          </w:p>
        </w:tc>
      </w:tr>
      <w:tr>
        <w:trPr>
          <w:trHeight w:val="338" w:hRule="exact"/>
        </w:trPr>
        <w:tc>
          <w:tcPr>
            <w:tcW w:w="2579" w:type="dxa"/>
            <w:tcBorders>
              <w:bottom w:val="single" w:sz="12" w:space="0" w:color="000000"/>
            </w:tcBorders>
          </w:tcPr>
          <w:p>
            <w:pPr>
              <w:pStyle w:val="TableParagraph"/>
              <w:spacing w:before="36"/>
              <w:ind w:left="86"/>
              <w:rPr>
                <w:rFonts w:ascii="Cambria"/>
                <w:sz w:val="16"/>
              </w:rPr>
            </w:pPr>
            <w:r>
              <w:rPr>
                <w:rFonts w:ascii="Cambria"/>
                <w:sz w:val="16"/>
              </w:rPr>
              <w:t>Valeric acid</w:t>
            </w:r>
          </w:p>
        </w:tc>
        <w:tc>
          <w:tcPr>
            <w:tcW w:w="1257" w:type="dxa"/>
            <w:tcBorders>
              <w:bottom w:val="single" w:sz="12" w:space="0" w:color="000000"/>
            </w:tcBorders>
          </w:tcPr>
          <w:p>
            <w:pPr>
              <w:pStyle w:val="TableParagraph"/>
              <w:spacing w:before="36"/>
              <w:ind w:left="485"/>
              <w:rPr>
                <w:rFonts w:ascii="Cambria"/>
                <w:i/>
                <w:sz w:val="16"/>
              </w:rPr>
            </w:pPr>
            <w:r>
              <w:rPr>
                <w:rFonts w:ascii="Cambria"/>
                <w:i/>
                <w:w w:val="99"/>
                <w:sz w:val="16"/>
              </w:rPr>
              <w:t>l</w:t>
            </w:r>
          </w:p>
        </w:tc>
        <w:tc>
          <w:tcPr>
            <w:tcW w:w="1306" w:type="dxa"/>
            <w:tcBorders>
              <w:bottom w:val="single" w:sz="12" w:space="0" w:color="000000"/>
            </w:tcBorders>
          </w:tcPr>
          <w:p>
            <w:pPr>
              <w:pStyle w:val="TableParagraph"/>
              <w:spacing w:before="36"/>
              <w:ind w:right="254"/>
              <w:jc w:val="right"/>
              <w:rPr>
                <w:rFonts w:ascii="Cambria"/>
                <w:sz w:val="16"/>
              </w:rPr>
            </w:pPr>
            <w:r>
              <w:rPr>
                <w:rFonts w:ascii="Cambria"/>
                <w:sz w:val="16"/>
              </w:rPr>
              <w:t>102.2</w:t>
            </w:r>
          </w:p>
        </w:tc>
        <w:tc>
          <w:tcPr>
            <w:tcW w:w="898" w:type="dxa"/>
            <w:tcBorders>
              <w:bottom w:val="single" w:sz="12" w:space="0" w:color="000000"/>
            </w:tcBorders>
          </w:tcPr>
          <w:p>
            <w:pPr>
              <w:pStyle w:val="TableParagraph"/>
              <w:spacing w:before="36"/>
              <w:ind w:left="235" w:right="144"/>
              <w:jc w:val="center"/>
              <w:rPr>
                <w:rFonts w:ascii="Cambria"/>
                <w:sz w:val="16"/>
              </w:rPr>
            </w:pPr>
            <w:r>
              <w:rPr>
                <w:rFonts w:ascii="Cambria"/>
                <w:sz w:val="16"/>
              </w:rPr>
              <w:t>35.6</w:t>
            </w:r>
          </w:p>
        </w:tc>
        <w:tc>
          <w:tcPr>
            <w:tcW w:w="900" w:type="dxa"/>
            <w:tcBorders>
              <w:bottom w:val="single" w:sz="12" w:space="0" w:color="000000"/>
            </w:tcBorders>
          </w:tcPr>
          <w:p>
            <w:pPr>
              <w:pStyle w:val="TableParagraph"/>
              <w:spacing w:before="36"/>
              <w:ind w:right="256"/>
              <w:jc w:val="right"/>
              <w:rPr>
                <w:rFonts w:ascii="Cambria"/>
                <w:sz w:val="16"/>
              </w:rPr>
            </w:pPr>
            <w:r>
              <w:rPr>
                <w:rFonts w:ascii="Cambria"/>
                <w:sz w:val="16"/>
              </w:rPr>
              <w:t>27.4</w:t>
            </w:r>
          </w:p>
        </w:tc>
        <w:tc>
          <w:tcPr>
            <w:tcW w:w="831" w:type="dxa"/>
            <w:tcBorders>
              <w:bottom w:val="single" w:sz="12" w:space="0" w:color="000000"/>
            </w:tcBorders>
          </w:tcPr>
          <w:p>
            <w:pPr>
              <w:pStyle w:val="TableParagraph"/>
              <w:spacing w:before="36"/>
              <w:ind w:right="184"/>
              <w:jc w:val="right"/>
              <w:rPr>
                <w:rFonts w:ascii="Cambria"/>
                <w:sz w:val="16"/>
              </w:rPr>
            </w:pPr>
            <w:r>
              <w:rPr>
                <w:rFonts w:ascii="Cambria"/>
                <w:sz w:val="16"/>
              </w:rPr>
              <w:t>37.4</w:t>
            </w:r>
          </w:p>
        </w:tc>
        <w:tc>
          <w:tcPr>
            <w:tcW w:w="732" w:type="dxa"/>
            <w:tcBorders>
              <w:bottom w:val="single" w:sz="12" w:space="0" w:color="000000"/>
            </w:tcBorders>
          </w:tcPr>
          <w:p>
            <w:pPr>
              <w:pStyle w:val="TableParagraph"/>
              <w:spacing w:before="36"/>
              <w:ind w:right="158"/>
              <w:jc w:val="right"/>
              <w:rPr>
                <w:rFonts w:ascii="Cambria"/>
                <w:sz w:val="16"/>
              </w:rPr>
            </w:pPr>
            <w:r>
              <w:rPr>
                <w:rFonts w:ascii="Cambria"/>
                <w:sz w:val="16"/>
              </w:rPr>
              <w:t>26.5</w:t>
            </w:r>
          </w:p>
        </w:tc>
        <w:tc>
          <w:tcPr>
            <w:tcW w:w="497" w:type="dxa"/>
            <w:tcBorders>
              <w:bottom w:val="single" w:sz="12" w:space="0" w:color="000000"/>
            </w:tcBorders>
          </w:tcPr>
          <w:p>
            <w:pPr>
              <w:pStyle w:val="TableParagraph"/>
              <w:spacing w:before="36"/>
              <w:ind w:right="73"/>
              <w:jc w:val="right"/>
              <w:rPr>
                <w:rFonts w:ascii="Cambria"/>
                <w:sz w:val="16"/>
              </w:rPr>
            </w:pPr>
            <w:r>
              <w:rPr>
                <w:rFonts w:ascii="Cambria"/>
                <w:w w:val="95"/>
                <w:sz w:val="16"/>
              </w:rPr>
              <w:t>1.3</w:t>
            </w:r>
          </w:p>
        </w:tc>
      </w:tr>
    </w:tbl>
    <w:p>
      <w:pPr>
        <w:spacing w:line="194" w:lineRule="exact" w:before="0"/>
        <w:ind w:left="543" w:right="0" w:firstLine="0"/>
        <w:jc w:val="left"/>
        <w:rPr>
          <w:sz w:val="18"/>
        </w:rPr>
      </w:pPr>
      <w:r>
        <w:rPr>
          <w:i/>
          <w:position w:val="4"/>
          <w:sz w:val="12"/>
        </w:rPr>
        <w:t>a </w:t>
      </w:r>
      <w:r>
        <w:rPr>
          <w:sz w:val="18"/>
        </w:rPr>
        <w:t>Fatty acids measured for our linear discriminant analysis PT-LFER model.</w:t>
      </w:r>
    </w:p>
    <w:p>
      <w:pPr>
        <w:spacing w:line="360" w:lineRule="auto" w:before="105"/>
        <w:ind w:left="259" w:right="238" w:firstLine="283"/>
        <w:jc w:val="both"/>
        <w:rPr>
          <w:sz w:val="18"/>
        </w:rPr>
      </w:pPr>
      <w:r>
        <w:rPr>
          <w:i/>
          <w:position w:val="4"/>
          <w:sz w:val="12"/>
        </w:rPr>
        <w:t>b </w:t>
      </w:r>
      <w:r>
        <w:rPr>
          <w:i/>
          <w:sz w:val="18"/>
        </w:rPr>
        <w:t>cis</w:t>
      </w:r>
      <w:r>
        <w:rPr>
          <w:sz w:val="18"/>
        </w:rPr>
        <w:t>/</w:t>
      </w:r>
      <w:r>
        <w:rPr>
          <w:i/>
          <w:sz w:val="18"/>
        </w:rPr>
        <w:t>trans </w:t>
      </w:r>
      <w:r>
        <w:rPr>
          <w:sz w:val="18"/>
        </w:rPr>
        <w:t>pattern, </w:t>
      </w:r>
      <w:r>
        <w:rPr>
          <w:i/>
          <w:sz w:val="18"/>
        </w:rPr>
        <w:t>l </w:t>
      </w:r>
      <w:r>
        <w:rPr>
          <w:sz w:val="18"/>
        </w:rPr>
        <w:t>represents </w:t>
      </w:r>
      <w:r>
        <w:rPr>
          <w:i/>
          <w:sz w:val="18"/>
        </w:rPr>
        <w:t>linear</w:t>
      </w:r>
      <w:r>
        <w:rPr>
          <w:sz w:val="18"/>
        </w:rPr>
        <w:t>, </w:t>
      </w:r>
      <w:r>
        <w:rPr>
          <w:i/>
          <w:sz w:val="18"/>
        </w:rPr>
        <w:t>c </w:t>
      </w:r>
      <w:r>
        <w:rPr>
          <w:sz w:val="18"/>
        </w:rPr>
        <w:t>as </w:t>
      </w:r>
      <w:r>
        <w:rPr>
          <w:i/>
          <w:sz w:val="18"/>
        </w:rPr>
        <w:t>cis-</w:t>
      </w:r>
      <w:r>
        <w:rPr>
          <w:sz w:val="18"/>
        </w:rPr>
        <w:t>, </w:t>
      </w:r>
      <w:r>
        <w:rPr>
          <w:i/>
          <w:sz w:val="18"/>
        </w:rPr>
        <w:t>t </w:t>
      </w:r>
      <w:r>
        <w:rPr>
          <w:sz w:val="18"/>
        </w:rPr>
        <w:t>as </w:t>
      </w:r>
      <w:r>
        <w:rPr>
          <w:i/>
          <w:sz w:val="18"/>
        </w:rPr>
        <w:t>trans- </w:t>
      </w:r>
      <w:r>
        <w:rPr>
          <w:sz w:val="18"/>
        </w:rPr>
        <w:t>PUFAs. The order of </w:t>
      </w:r>
      <w:r>
        <w:rPr>
          <w:i/>
          <w:sz w:val="18"/>
        </w:rPr>
        <w:t>c </w:t>
      </w:r>
      <w:r>
        <w:rPr>
          <w:sz w:val="18"/>
        </w:rPr>
        <w:t>or </w:t>
      </w:r>
      <w:r>
        <w:rPr>
          <w:i/>
          <w:sz w:val="18"/>
        </w:rPr>
        <w:t>t </w:t>
      </w:r>
      <w:r>
        <w:rPr>
          <w:sz w:val="18"/>
        </w:rPr>
        <w:t>represents the order of initial isomerization characteristics with the tails of PUFAs.</w:t>
      </w:r>
    </w:p>
    <w:p>
      <w:pPr>
        <w:spacing w:line="360" w:lineRule="auto" w:before="0"/>
        <w:ind w:left="259" w:right="232" w:firstLine="283"/>
        <w:jc w:val="both"/>
        <w:rPr>
          <w:sz w:val="18"/>
        </w:rPr>
      </w:pPr>
      <w:r>
        <w:rPr>
          <w:i/>
          <w:position w:val="5"/>
          <w:sz w:val="12"/>
        </w:rPr>
        <w:t>c </w:t>
      </w:r>
      <w:r>
        <w:rPr>
          <w:position w:val="1"/>
          <w:sz w:val="18"/>
        </w:rPr>
        <w:t>Molecular descriptors (</w:t>
      </w:r>
      <w:r>
        <w:rPr>
          <w:position w:val="5"/>
          <w:sz w:val="12"/>
        </w:rPr>
        <w:t>i</w:t>
      </w:r>
      <w:r>
        <w:rPr>
          <w:position w:val="1"/>
          <w:sz w:val="18"/>
        </w:rPr>
        <w:t>V</w:t>
      </w:r>
      <w:r>
        <w:rPr>
          <w:sz w:val="12"/>
        </w:rPr>
        <w:t>k</w:t>
      </w:r>
      <w:r>
        <w:rPr>
          <w:position w:val="1"/>
          <w:sz w:val="18"/>
        </w:rPr>
        <w:t>) calculated with DRAGON software: V</w:t>
      </w:r>
      <w:r>
        <w:rPr>
          <w:sz w:val="12"/>
        </w:rPr>
        <w:t>1 </w:t>
      </w:r>
      <w:r>
        <w:rPr>
          <w:position w:val="1"/>
          <w:sz w:val="18"/>
        </w:rPr>
        <w:t>= Mw, V</w:t>
      </w:r>
      <w:r>
        <w:rPr>
          <w:sz w:val="12"/>
        </w:rPr>
        <w:t>2 </w:t>
      </w:r>
      <w:r>
        <w:rPr>
          <w:position w:val="1"/>
          <w:sz w:val="18"/>
        </w:rPr>
        <w:t>= Aeigv, V</w:t>
      </w:r>
      <w:r>
        <w:rPr>
          <w:sz w:val="12"/>
        </w:rPr>
        <w:t>3 </w:t>
      </w:r>
      <w:r>
        <w:rPr>
          <w:position w:val="1"/>
          <w:sz w:val="18"/>
        </w:rPr>
        <w:t>= Aeige, V</w:t>
      </w:r>
      <w:r>
        <w:rPr>
          <w:sz w:val="12"/>
        </w:rPr>
        <w:t>4 </w:t>
      </w:r>
      <w:r>
        <w:rPr>
          <w:position w:val="1"/>
          <w:sz w:val="18"/>
        </w:rPr>
        <w:t>= Aeigp, V</w:t>
      </w:r>
      <w:r>
        <w:rPr>
          <w:sz w:val="12"/>
        </w:rPr>
        <w:t>5 </w:t>
      </w:r>
      <w:r>
        <w:rPr>
          <w:position w:val="1"/>
          <w:sz w:val="18"/>
        </w:rPr>
        <w:t>= AMR, and V</w:t>
      </w:r>
      <w:r>
        <w:rPr>
          <w:sz w:val="12"/>
        </w:rPr>
        <w:t>6  </w:t>
      </w:r>
      <w:r>
        <w:rPr>
          <w:position w:val="1"/>
          <w:sz w:val="18"/>
        </w:rPr>
        <w:t>= LogP.</w:t>
      </w:r>
    </w:p>
    <w:p>
      <w:pPr>
        <w:pStyle w:val="BodyText"/>
        <w:spacing w:before="3"/>
      </w:pPr>
    </w:p>
    <w:p>
      <w:pPr>
        <w:pStyle w:val="ListParagraph"/>
        <w:numPr>
          <w:ilvl w:val="2"/>
          <w:numId w:val="13"/>
        </w:numPr>
        <w:tabs>
          <w:tab w:pos="909" w:val="left" w:leader="none"/>
        </w:tabs>
        <w:spacing w:line="240" w:lineRule="auto" w:before="0" w:after="0"/>
        <w:ind w:left="908" w:right="0" w:hanging="649"/>
        <w:jc w:val="left"/>
        <w:rPr>
          <w:sz w:val="24"/>
        </w:rPr>
      </w:pPr>
      <w:r>
        <w:rPr>
          <w:b/>
          <w:sz w:val="24"/>
        </w:rPr>
        <w:t>Calculo de</w:t>
      </w:r>
      <w:r>
        <w:rPr>
          <w:b/>
          <w:spacing w:val="-11"/>
          <w:sz w:val="24"/>
        </w:rPr>
        <w:t> </w:t>
      </w:r>
      <w:r>
        <w:rPr>
          <w:b/>
          <w:sz w:val="24"/>
        </w:rPr>
        <w:t>operadores</w:t>
      </w:r>
      <w:r>
        <w:rPr>
          <w:sz w:val="24"/>
        </w:rPr>
        <w:t>.</w:t>
      </w:r>
    </w:p>
    <w:p>
      <w:pPr>
        <w:pStyle w:val="BodyText"/>
        <w:spacing w:before="4"/>
        <w:rPr>
          <w:sz w:val="35"/>
        </w:rPr>
      </w:pPr>
    </w:p>
    <w:p>
      <w:pPr>
        <w:pStyle w:val="BodyText"/>
        <w:spacing w:line="360" w:lineRule="auto"/>
        <w:ind w:left="259" w:right="234" w:firstLine="283"/>
        <w:jc w:val="both"/>
      </w:pPr>
      <w:r>
        <w:rPr/>
        <w:t>Cuando se amplió la ecuación anterior del modelo PT-LFER, se pueden  observar dos tipos de términos de entrada. El primer tipo de término es la función f (εij) ref. Esta función toma los valores, f (εij) ref = &lt;εij&gt; ref = IPA (%) i para cada muestra. IPA (%) i = 100 · (PAI / PAjmax) es la proporción Área Pico interna, que se utiliza para cuantificar la proporción experimental de un ácido graso determinado por GC. Esto significa que f (εij) ref es el valor medido de la proporción de un ácido graso en las mismas condiciones cj. La segunda clase se refiere a los términos de perturbación ΔΔVk (cj). Los parámetros ΔΔVk (cj) son útiles para cuantificar el efecto de las perturbaciones de diferentes condiciones de contorno (cj) sobre el </w:t>
      </w:r>
      <w:r>
        <w:rPr>
          <w:rFonts w:ascii="Times New Roman" w:hAnsi="Times New Roman" w:cs="Times New Roman" w:eastAsia="Times New Roman"/>
        </w:rPr>
        <w:t>ꞌ</w:t>
      </w:r>
      <w:r>
        <w:rPr/>
        <w:t>f salida (Lnr) nuevo, que se define aquí como una función de valor discreto (ocurrencia o no de enlaces en la red) para los efectos de clasificación. La diferencia ΔΔVk (cj) entre el estado final o una nueva (ΔVk (cj) nuevo) y el estado inicial o de referencia (ΔVk (cj) ref) es la perturbación aditiva para un componente en el ΔVk (cj). Cuando la salida de esta ecuación es </w:t>
      </w:r>
      <w:r>
        <w:rPr>
          <w:rFonts w:ascii="Times New Roman" w:hAnsi="Times New Roman" w:cs="Times New Roman" w:eastAsia="Times New Roman"/>
        </w:rPr>
        <w:t>ꞌ</w:t>
      </w:r>
      <w:r>
        <w:rPr/>
        <w:t>f (Lnr) nueva&gt; </w:t>
      </w:r>
      <w:r>
        <w:rPr>
          <w:rFonts w:ascii="Times New Roman" w:hAnsi="Times New Roman" w:cs="Times New Roman" w:eastAsia="Times New Roman"/>
        </w:rPr>
        <w:t>ꞌ</w:t>
      </w:r>
      <w:r>
        <w:rPr/>
        <w:t>f (Lnr) REF =&gt; Lnr = 1 =&gt; IPA (%) nueva&gt; IPA (%) ref; y por lo tanto (=&gt;) la distribución o proporción de la FA en el nuevo estado es mayor que en el estado de referencia, de lo contrario Lnr = 0.</w:t>
      </w:r>
    </w:p>
    <w:p>
      <w:pPr>
        <w:spacing w:after="0" w:line="360" w:lineRule="auto"/>
        <w:jc w:val="both"/>
        <w:sectPr>
          <w:pgSz w:w="12240" w:h="15840"/>
          <w:pgMar w:header="684" w:footer="1164" w:top="1380" w:bottom="1380" w:left="1440" w:right="1460"/>
        </w:sectPr>
      </w:pPr>
    </w:p>
    <w:p>
      <w:pPr>
        <w:pStyle w:val="BodyText"/>
        <w:spacing w:before="2"/>
        <w:rPr>
          <w:sz w:val="14"/>
        </w:rPr>
      </w:pPr>
    </w:p>
    <w:p>
      <w:pPr>
        <w:spacing w:after="0"/>
        <w:rPr>
          <w:sz w:val="14"/>
        </w:rPr>
        <w:sectPr>
          <w:pgSz w:w="12240" w:h="15840"/>
          <w:pgMar w:header="684" w:footer="1164" w:top="1380" w:bottom="1380" w:left="1440" w:right="1460"/>
        </w:sectPr>
      </w:pPr>
    </w:p>
    <w:p>
      <w:pPr>
        <w:spacing w:before="43"/>
        <w:ind w:left="0" w:right="0" w:firstLine="0"/>
        <w:jc w:val="right"/>
        <w:rPr>
          <w:rFonts w:ascii="Times New Roman" w:hAnsi="Times New Roman"/>
          <w:sz w:val="15"/>
        </w:rPr>
      </w:pPr>
      <w:r>
        <w:rPr>
          <w:rFonts w:ascii="Times New Roman" w:hAnsi="Times New Roman"/>
          <w:spacing w:val="19"/>
          <w:w w:val="105"/>
          <w:sz w:val="27"/>
        </w:rPr>
        <w:t>'</w:t>
      </w:r>
      <w:r>
        <w:rPr>
          <w:rFonts w:ascii="Times New Roman" w:hAnsi="Times New Roman"/>
          <w:w w:val="106"/>
          <w:sz w:val="27"/>
        </w:rPr>
        <w:t>f</w:t>
      </w:r>
      <w:r>
        <w:rPr>
          <w:rFonts w:ascii="Times New Roman" w:hAnsi="Times New Roman"/>
          <w:spacing w:val="-32"/>
          <w:sz w:val="27"/>
        </w:rPr>
        <w:t> </w:t>
      </w:r>
      <w:r>
        <w:rPr>
          <w:rFonts w:ascii="Symbol" w:hAnsi="Symbol"/>
          <w:spacing w:val="-9"/>
          <w:w w:val="80"/>
          <w:sz w:val="35"/>
        </w:rPr>
        <w:t></w:t>
      </w:r>
      <w:r>
        <w:rPr>
          <w:rFonts w:ascii="Times New Roman" w:hAnsi="Times New Roman"/>
          <w:spacing w:val="10"/>
          <w:w w:val="106"/>
          <w:sz w:val="27"/>
        </w:rPr>
        <w:t>L</w:t>
      </w:r>
      <w:r>
        <w:rPr>
          <w:rFonts w:ascii="Times New Roman" w:hAnsi="Times New Roman"/>
          <w:spacing w:val="3"/>
          <w:w w:val="111"/>
          <w:position w:val="-6"/>
          <w:sz w:val="15"/>
        </w:rPr>
        <w:t>nr</w:t>
      </w:r>
    </w:p>
    <w:p>
      <w:pPr>
        <w:pStyle w:val="BodyText"/>
        <w:rPr>
          <w:rFonts w:ascii="Times New Roman"/>
          <w:sz w:val="16"/>
        </w:rPr>
      </w:pPr>
      <w:r>
        <w:rPr/>
        <w:br w:type="column"/>
      </w:r>
      <w:r>
        <w:rPr>
          <w:rFonts w:ascii="Times New Roman"/>
          <w:sz w:val="16"/>
        </w:rPr>
      </w:r>
    </w:p>
    <w:p>
      <w:pPr>
        <w:pStyle w:val="BodyText"/>
        <w:spacing w:before="10"/>
        <w:rPr>
          <w:rFonts w:ascii="Times New Roman"/>
          <w:sz w:val="12"/>
        </w:rPr>
      </w:pPr>
    </w:p>
    <w:p>
      <w:pPr>
        <w:spacing w:before="0"/>
        <w:ind w:left="81" w:right="-17" w:firstLine="0"/>
        <w:jc w:val="left"/>
        <w:rPr>
          <w:rFonts w:ascii="Times New Roman"/>
          <w:sz w:val="15"/>
        </w:rPr>
      </w:pPr>
      <w:r>
        <w:rPr/>
        <w:pict>
          <v:shape style="position:absolute;margin-left:192.171097pt;margin-top:-11.590704pt;width:4.75pt;height:17.9pt;mso-position-horizontal-relative:page;mso-position-vertical-relative:paragraph;z-index:-329800" type="#_x0000_t202" filled="false" stroked="false">
            <v:textbox inset="0,0,0,0">
              <w:txbxContent>
                <w:p>
                  <w:pPr>
                    <w:spacing w:line="357" w:lineRule="exact" w:before="0"/>
                    <w:ind w:left="0" w:right="0" w:firstLine="0"/>
                    <w:jc w:val="left"/>
                    <w:rPr>
                      <w:rFonts w:ascii="Symbol" w:hAnsi="Symbol"/>
                      <w:sz w:val="35"/>
                    </w:rPr>
                  </w:pPr>
                  <w:r>
                    <w:rPr>
                      <w:rFonts w:ascii="Symbol" w:hAnsi="Symbol"/>
                      <w:w w:val="80"/>
                      <w:sz w:val="35"/>
                    </w:rPr>
                    <w:t></w:t>
                  </w:r>
                </w:p>
              </w:txbxContent>
            </v:textbox>
            <w10:wrap type="none"/>
          </v:shape>
        </w:pict>
      </w:r>
      <w:r>
        <w:rPr>
          <w:rFonts w:ascii="Times New Roman"/>
          <w:w w:val="110"/>
          <w:sz w:val="15"/>
        </w:rPr>
        <w:t>new</w:t>
      </w:r>
    </w:p>
    <w:p>
      <w:pPr>
        <w:spacing w:before="124"/>
        <w:ind w:left="53" w:right="-8" w:firstLine="0"/>
        <w:jc w:val="left"/>
        <w:rPr>
          <w:rFonts w:ascii="Times New Roman" w:hAnsi="Times New Roman"/>
          <w:sz w:val="15"/>
        </w:rPr>
      </w:pPr>
      <w:r>
        <w:rPr/>
        <w:br w:type="column"/>
      </w:r>
      <w:r>
        <w:rPr>
          <w:rFonts w:ascii="Symbol" w:hAnsi="Symbol"/>
          <w:w w:val="105"/>
          <w:sz w:val="27"/>
        </w:rPr>
        <w:t></w:t>
      </w:r>
      <w:r>
        <w:rPr>
          <w:rFonts w:ascii="Times New Roman" w:hAnsi="Times New Roman"/>
          <w:w w:val="105"/>
          <w:sz w:val="27"/>
        </w:rPr>
        <w:t> a</w:t>
      </w:r>
      <w:r>
        <w:rPr>
          <w:rFonts w:ascii="Times New Roman" w:hAnsi="Times New Roman"/>
          <w:w w:val="105"/>
          <w:position w:val="-6"/>
          <w:sz w:val="15"/>
        </w:rPr>
        <w:t>0</w:t>
      </w:r>
    </w:p>
    <w:p>
      <w:pPr>
        <w:pStyle w:val="ListParagraph"/>
        <w:numPr>
          <w:ilvl w:val="0"/>
          <w:numId w:val="6"/>
        </w:numPr>
        <w:tabs>
          <w:tab w:pos="229" w:val="left" w:leader="none"/>
        </w:tabs>
        <w:spacing w:line="240" w:lineRule="auto" w:before="43" w:after="0"/>
        <w:ind w:left="228" w:right="0" w:hanging="196"/>
        <w:jc w:val="left"/>
        <w:rPr>
          <w:rFonts w:ascii="Symbol" w:hAnsi="Symbol"/>
          <w:sz w:val="27"/>
        </w:rPr>
      </w:pPr>
      <w:r>
        <w:rPr>
          <w:rFonts w:ascii="Times New Roman" w:hAnsi="Times New Roman"/>
          <w:spacing w:val="6"/>
          <w:w w:val="106"/>
          <w:sz w:val="27"/>
        </w:rPr>
        <w:br w:type="column"/>
        <w:t>a</w:t>
      </w:r>
      <w:r>
        <w:rPr>
          <w:rFonts w:ascii="Times New Roman" w:hAnsi="Times New Roman"/>
          <w:spacing w:val="9"/>
          <w:w w:val="111"/>
          <w:position w:val="-6"/>
          <w:sz w:val="15"/>
        </w:rPr>
        <w:t>1</w:t>
      </w:r>
      <w:r>
        <w:rPr>
          <w:rFonts w:ascii="Symbol" w:hAnsi="Symbol"/>
          <w:spacing w:val="-13"/>
          <w:w w:val="106"/>
          <w:sz w:val="27"/>
        </w:rPr>
        <w:t></w:t>
      </w:r>
      <w:r>
        <w:rPr>
          <w:rFonts w:ascii="Times New Roman" w:hAnsi="Times New Roman"/>
          <w:spacing w:val="19"/>
          <w:w w:val="105"/>
          <w:sz w:val="27"/>
        </w:rPr>
        <w:t>'</w:t>
      </w:r>
      <w:r>
        <w:rPr>
          <w:rFonts w:ascii="Times New Roman" w:hAnsi="Times New Roman"/>
          <w:w w:val="106"/>
          <w:sz w:val="27"/>
        </w:rPr>
        <w:t>f</w:t>
      </w:r>
      <w:r>
        <w:rPr>
          <w:rFonts w:ascii="Times New Roman" w:hAnsi="Times New Roman"/>
          <w:spacing w:val="-32"/>
          <w:sz w:val="27"/>
        </w:rPr>
        <w:t> </w:t>
      </w:r>
      <w:r>
        <w:rPr>
          <w:rFonts w:ascii="Symbol" w:hAnsi="Symbol"/>
          <w:spacing w:val="-10"/>
          <w:w w:val="80"/>
          <w:sz w:val="35"/>
        </w:rPr>
        <w:t></w:t>
      </w:r>
      <w:r>
        <w:rPr>
          <w:rFonts w:ascii="Times New Roman" w:hAnsi="Times New Roman"/>
          <w:spacing w:val="10"/>
          <w:w w:val="106"/>
          <w:sz w:val="27"/>
        </w:rPr>
        <w:t>L</w:t>
      </w:r>
      <w:r>
        <w:rPr>
          <w:rFonts w:ascii="Times New Roman" w:hAnsi="Times New Roman"/>
          <w:spacing w:val="3"/>
          <w:w w:val="111"/>
          <w:position w:val="-6"/>
          <w:sz w:val="15"/>
        </w:rPr>
        <w:t>nr</w:t>
      </w:r>
    </w:p>
    <w:p>
      <w:pPr>
        <w:pStyle w:val="BodyText"/>
        <w:rPr>
          <w:rFonts w:ascii="Times New Roman"/>
          <w:sz w:val="16"/>
        </w:rPr>
      </w:pPr>
      <w:r>
        <w:rPr/>
        <w:br w:type="column"/>
      </w:r>
      <w:r>
        <w:rPr>
          <w:rFonts w:ascii="Times New Roman"/>
          <w:sz w:val="16"/>
        </w:rPr>
      </w:r>
    </w:p>
    <w:p>
      <w:pPr>
        <w:pStyle w:val="BodyText"/>
        <w:spacing w:before="10"/>
        <w:rPr>
          <w:rFonts w:ascii="Times New Roman"/>
          <w:sz w:val="12"/>
        </w:rPr>
      </w:pPr>
    </w:p>
    <w:p>
      <w:pPr>
        <w:spacing w:before="0"/>
        <w:ind w:left="81" w:right="-16" w:firstLine="0"/>
        <w:jc w:val="left"/>
        <w:rPr>
          <w:rFonts w:ascii="Times New Roman"/>
          <w:sz w:val="15"/>
        </w:rPr>
      </w:pPr>
      <w:r>
        <w:rPr/>
        <w:pict>
          <v:shape style="position:absolute;margin-left:297.689056pt;margin-top:-11.590684pt;width:4.75pt;height:17.9pt;mso-position-horizontal-relative:page;mso-position-vertical-relative:paragraph;z-index:-329776" type="#_x0000_t202" filled="false" stroked="false">
            <v:textbox inset="0,0,0,0">
              <w:txbxContent>
                <w:p>
                  <w:pPr>
                    <w:spacing w:line="357" w:lineRule="exact" w:before="0"/>
                    <w:ind w:left="0" w:right="0" w:firstLine="0"/>
                    <w:jc w:val="left"/>
                    <w:rPr>
                      <w:rFonts w:ascii="Symbol" w:hAnsi="Symbol"/>
                      <w:sz w:val="35"/>
                    </w:rPr>
                  </w:pPr>
                  <w:r>
                    <w:rPr>
                      <w:rFonts w:ascii="Symbol" w:hAnsi="Symbol"/>
                      <w:w w:val="80"/>
                      <w:sz w:val="35"/>
                    </w:rPr>
                    <w:t></w:t>
                  </w:r>
                </w:p>
              </w:txbxContent>
            </v:textbox>
            <w10:wrap type="none"/>
          </v:shape>
        </w:pict>
      </w:r>
      <w:r>
        <w:rPr>
          <w:rFonts w:ascii="Times New Roman"/>
          <w:spacing w:val="-3"/>
          <w:w w:val="110"/>
          <w:sz w:val="15"/>
        </w:rPr>
        <w:t>ref</w:t>
      </w:r>
    </w:p>
    <w:p>
      <w:pPr>
        <w:spacing w:before="124"/>
        <w:ind w:left="58" w:right="-19" w:firstLine="0"/>
        <w:jc w:val="left"/>
        <w:rPr>
          <w:rFonts w:ascii="Symbol" w:hAnsi="Symbol"/>
          <w:sz w:val="27"/>
        </w:rPr>
      </w:pPr>
      <w:r>
        <w:rPr/>
        <w:br w:type="column"/>
      </w:r>
      <w:r>
        <w:rPr>
          <w:rFonts w:ascii="Symbol" w:hAnsi="Symbol"/>
          <w:w w:val="105"/>
          <w:sz w:val="27"/>
        </w:rPr>
        <w:t></w:t>
      </w:r>
      <w:r>
        <w:rPr>
          <w:rFonts w:ascii="Times New Roman" w:hAnsi="Times New Roman"/>
          <w:w w:val="105"/>
          <w:sz w:val="27"/>
        </w:rPr>
        <w:t> </w:t>
      </w:r>
      <w:r>
        <w:rPr>
          <w:rFonts w:ascii="Times New Roman" w:hAnsi="Times New Roman"/>
          <w:spacing w:val="3"/>
          <w:w w:val="105"/>
          <w:sz w:val="27"/>
        </w:rPr>
        <w:t>a</w:t>
      </w:r>
      <w:r>
        <w:rPr>
          <w:rFonts w:ascii="Times New Roman" w:hAnsi="Times New Roman"/>
          <w:spacing w:val="3"/>
          <w:w w:val="105"/>
          <w:position w:val="-6"/>
          <w:sz w:val="15"/>
        </w:rPr>
        <w:t>1</w:t>
      </w:r>
      <w:r>
        <w:rPr>
          <w:rFonts w:ascii="Times New Roman" w:hAnsi="Times New Roman"/>
          <w:spacing w:val="-16"/>
          <w:w w:val="105"/>
          <w:position w:val="-6"/>
          <w:sz w:val="15"/>
        </w:rPr>
        <w:t> </w:t>
      </w:r>
      <w:r>
        <w:rPr>
          <w:rFonts w:ascii="Symbol" w:hAnsi="Symbol"/>
          <w:w w:val="105"/>
          <w:sz w:val="27"/>
        </w:rPr>
        <w:t></w:t>
      </w:r>
    </w:p>
    <w:p>
      <w:pPr>
        <w:spacing w:before="138"/>
        <w:ind w:left="73" w:right="0" w:firstLine="0"/>
        <w:jc w:val="left"/>
        <w:rPr>
          <w:rFonts w:ascii="Times New Roman" w:hAnsi="Times New Roman"/>
          <w:sz w:val="15"/>
        </w:rPr>
      </w:pPr>
      <w:r>
        <w:rPr/>
        <w:br w:type="column"/>
      </w:r>
      <w:r>
        <w:rPr>
          <w:rFonts w:ascii="Times New Roman" w:hAnsi="Times New Roman"/>
          <w:w w:val="110"/>
          <w:position w:val="7"/>
          <w:sz w:val="27"/>
        </w:rPr>
        <w:t>ε</w:t>
      </w:r>
      <w:r>
        <w:rPr>
          <w:rFonts w:ascii="Times New Roman" w:hAnsi="Times New Roman"/>
          <w:w w:val="110"/>
          <w:sz w:val="15"/>
        </w:rPr>
        <w:t>ij</w:t>
      </w:r>
    </w:p>
    <w:p>
      <w:pPr>
        <w:pStyle w:val="BodyText"/>
        <w:rPr>
          <w:rFonts w:ascii="Times New Roman"/>
          <w:sz w:val="16"/>
        </w:rPr>
      </w:pPr>
      <w:r>
        <w:rPr/>
        <w:br w:type="column"/>
      </w:r>
      <w:r>
        <w:rPr>
          <w:rFonts w:ascii="Times New Roman"/>
          <w:sz w:val="16"/>
        </w:rPr>
      </w:r>
    </w:p>
    <w:p>
      <w:pPr>
        <w:pStyle w:val="BodyText"/>
        <w:spacing w:before="8"/>
        <w:rPr>
          <w:rFonts w:ascii="Times New Roman"/>
          <w:sz w:val="17"/>
        </w:rPr>
      </w:pPr>
    </w:p>
    <w:p>
      <w:pPr>
        <w:spacing w:before="0"/>
        <w:ind w:left="72" w:right="-16" w:firstLine="0"/>
        <w:jc w:val="left"/>
        <w:rPr>
          <w:rFonts w:ascii="Times New Roman"/>
          <w:sz w:val="15"/>
        </w:rPr>
      </w:pPr>
      <w:r>
        <w:rPr/>
        <w:pict>
          <v:shape style="position:absolute;margin-left:179.740005pt;margin-top:637.332886pt;width:2.9pt;height:17.4pt;mso-position-horizontal-relative:page;mso-position-vertical-relative:paragraph;z-index:2296" coordorigin="3595,12747" coordsize="58,348" path="m7228,-236l7293,-51m7293,-50l7228,135e" filled="false" stroked="true" strokeweight=".15409pt" strokecolor="#000000">
            <v:path arrowok="t"/>
            <w10:wrap type="none"/>
          </v:shape>
        </w:pict>
      </w:r>
      <w:r>
        <w:rPr/>
        <w:pict>
          <v:shape style="position:absolute;margin-left:182.020004pt;margin-top:668.287903pt;width:2.9pt;height:17.4pt;mso-position-horizontal-relative:page;mso-position-vertical-relative:paragraph;z-index:2320" coordorigin="3640,13366" coordsize="58,348" path="m7345,425l7280,611m7280,611l7345,795e" filled="false" stroked="true" strokeweight=".15409pt" strokecolor="#000000">
            <v:path arrowok="t"/>
            <w10:wrap type="none"/>
          </v:shape>
        </w:pict>
      </w:r>
      <w:r>
        <w:rPr/>
        <w:pict>
          <v:shape style="position:absolute;margin-left:215.669998pt;margin-top:668.287903pt;width:2.9pt;height:17.4pt;mso-position-horizontal-relative:page;mso-position-vertical-relative:paragraph;z-index:2344" coordorigin="4313,13366" coordsize="58,348" path="m8043,425l8108,611m8108,611l8043,795e" filled="false" stroked="true" strokeweight=".15409pt" strokecolor="#000000">
            <v:path arrowok="t"/>
            <w10:wrap type="none"/>
          </v:shape>
        </w:pict>
      </w:r>
      <w:r>
        <w:rPr>
          <w:rFonts w:ascii="Times New Roman"/>
          <w:spacing w:val="-3"/>
          <w:w w:val="110"/>
          <w:sz w:val="15"/>
        </w:rPr>
        <w:t>ref</w:t>
      </w:r>
    </w:p>
    <w:p>
      <w:pPr>
        <w:spacing w:before="43"/>
        <w:ind w:left="1047" w:right="1654" w:firstLine="0"/>
        <w:jc w:val="center"/>
        <w:rPr>
          <w:rFonts w:ascii="Symbol" w:hAnsi="Symbol"/>
          <w:sz w:val="35"/>
        </w:rPr>
      </w:pPr>
      <w:r>
        <w:rPr/>
        <w:br w:type="column"/>
      </w:r>
      <w:r>
        <w:rPr>
          <w:rFonts w:ascii="Symbol" w:hAnsi="Symbol"/>
          <w:sz w:val="35"/>
        </w:rPr>
        <w:t></w:t>
      </w:r>
      <w:r>
        <w:rPr>
          <w:rFonts w:ascii="Times New Roman" w:hAnsi="Times New Roman"/>
          <w:sz w:val="27"/>
        </w:rPr>
        <w:t>15</w:t>
      </w:r>
      <w:r>
        <w:rPr>
          <w:rFonts w:ascii="Symbol" w:hAnsi="Symbol"/>
          <w:sz w:val="35"/>
        </w:rPr>
        <w:t></w:t>
      </w:r>
    </w:p>
    <w:p>
      <w:pPr>
        <w:spacing w:after="0"/>
        <w:jc w:val="center"/>
        <w:rPr>
          <w:rFonts w:ascii="Symbol" w:hAnsi="Symbol"/>
          <w:sz w:val="35"/>
        </w:rPr>
        <w:sectPr>
          <w:type w:val="continuous"/>
          <w:pgSz w:w="12240" w:h="15840"/>
          <w:pgMar w:top="3080" w:bottom="2780" w:left="1440" w:right="1460"/>
          <w:cols w:num="9" w:equalWidth="0">
            <w:col w:w="2369" w:space="40"/>
            <w:col w:w="359" w:space="40"/>
            <w:col w:w="497" w:space="40"/>
            <w:col w:w="1135" w:space="40"/>
            <w:col w:w="260" w:space="40"/>
            <w:col w:w="591" w:space="40"/>
            <w:col w:w="313" w:space="40"/>
            <w:col w:w="251" w:space="40"/>
            <w:col w:w="3245"/>
          </w:cols>
        </w:sectPr>
      </w:pPr>
    </w:p>
    <w:p>
      <w:pPr>
        <w:spacing w:line="136" w:lineRule="exact" w:before="65"/>
        <w:ind w:left="0" w:right="0" w:firstLine="0"/>
        <w:jc w:val="right"/>
        <w:rPr>
          <w:rFonts w:ascii="Times New Roman" w:hAnsi="Times New Roman"/>
          <w:sz w:val="15"/>
        </w:rPr>
      </w:pPr>
      <w:r>
        <w:rPr/>
        <w:pict>
          <v:shape style="position:absolute;margin-left:164.889999pt;margin-top:628.684326pt;width:2.9pt;height:17.4pt;mso-position-horizontal-relative:page;mso-position-vertical-relative:paragraph;z-index:2272" coordorigin="3298,12574" coordsize="58,348" path="m6957,-409l6891,-224m6891,-223l6957,-38e" filled="false" stroked="true" strokeweight=".15409pt" strokecolor="#000000">
            <v:path arrowok="t"/>
            <w10:wrap type="none"/>
          </v:shape>
        </w:pict>
      </w:r>
      <w:r>
        <w:rPr>
          <w:rFonts w:ascii="Times New Roman" w:hAnsi="Times New Roman"/>
          <w:w w:val="110"/>
          <w:sz w:val="15"/>
        </w:rPr>
        <w:t>j</w:t>
      </w:r>
      <w:r>
        <w:rPr>
          <w:rFonts w:ascii="Symbol" w:hAnsi="Symbol"/>
          <w:w w:val="110"/>
          <w:sz w:val="15"/>
        </w:rPr>
        <w:t></w:t>
      </w:r>
      <w:r>
        <w:rPr>
          <w:rFonts w:ascii="Times New Roman" w:hAnsi="Times New Roman"/>
          <w:w w:val="110"/>
          <w:sz w:val="15"/>
        </w:rPr>
        <w:t> jmax, k</w:t>
      </w:r>
      <w:r>
        <w:rPr>
          <w:rFonts w:ascii="Symbol" w:hAnsi="Symbol"/>
          <w:w w:val="110"/>
          <w:sz w:val="15"/>
        </w:rPr>
        <w:t></w:t>
      </w:r>
      <w:r>
        <w:rPr>
          <w:rFonts w:ascii="Times New Roman" w:hAnsi="Times New Roman"/>
          <w:w w:val="110"/>
          <w:sz w:val="15"/>
        </w:rPr>
        <w:t>kmax</w:t>
      </w:r>
    </w:p>
    <w:p>
      <w:pPr>
        <w:tabs>
          <w:tab w:pos="612" w:val="left" w:leader="none"/>
        </w:tabs>
        <w:spacing w:line="414" w:lineRule="exact" w:before="0"/>
        <w:ind w:left="0" w:right="381" w:firstLine="0"/>
        <w:jc w:val="right"/>
        <w:rPr>
          <w:rFonts w:ascii="Symbol" w:hAnsi="Symbol"/>
          <w:sz w:val="40"/>
        </w:rPr>
      </w:pPr>
      <w:r>
        <w:rPr/>
        <w:pict>
          <v:shape style="position:absolute;margin-left:331.777588pt;margin-top:2.535447pt;width:2.35pt;height:7.9pt;mso-position-horizontal-relative:page;mso-position-vertical-relative:paragraph;z-index:-329752" type="#_x0000_t202" filled="false" stroked="false">
            <v:textbox inset="0,0,0,0">
              <w:txbxContent>
                <w:p>
                  <w:pPr>
                    <w:spacing w:line="157" w:lineRule="exact" w:before="0"/>
                    <w:ind w:left="0" w:right="0" w:firstLine="0"/>
                    <w:jc w:val="left"/>
                    <w:rPr>
                      <w:rFonts w:ascii="Times New Roman"/>
                      <w:sz w:val="15"/>
                    </w:rPr>
                  </w:pPr>
                  <w:r>
                    <w:rPr>
                      <w:rFonts w:ascii="Times New Roman"/>
                      <w:w w:val="111"/>
                      <w:sz w:val="15"/>
                    </w:rPr>
                    <w:t>i</w:t>
                  </w:r>
                </w:p>
              </w:txbxContent>
            </v:textbox>
            <w10:wrap type="none"/>
          </v:shape>
        </w:pict>
      </w:r>
      <w:r>
        <w:rPr>
          <w:rFonts w:ascii="Symbol" w:hAnsi="Symbol"/>
          <w:w w:val="105"/>
          <w:sz w:val="27"/>
        </w:rPr>
        <w:t></w:t>
      </w:r>
      <w:r>
        <w:rPr>
          <w:rFonts w:ascii="Times New Roman" w:hAnsi="Times New Roman"/>
          <w:w w:val="105"/>
          <w:sz w:val="27"/>
        </w:rPr>
        <w:tab/>
      </w:r>
      <w:r>
        <w:rPr>
          <w:rFonts w:ascii="Symbol" w:hAnsi="Symbol"/>
          <w:w w:val="105"/>
          <w:position w:val="-5"/>
          <w:sz w:val="40"/>
        </w:rPr>
        <w:t></w:t>
      </w:r>
    </w:p>
    <w:p>
      <w:pPr>
        <w:spacing w:before="22"/>
        <w:ind w:left="6" w:right="-18" w:firstLine="0"/>
        <w:jc w:val="left"/>
        <w:rPr>
          <w:rFonts w:ascii="Symbol" w:hAnsi="Symbol"/>
          <w:sz w:val="27"/>
        </w:rPr>
      </w:pPr>
      <w:r>
        <w:rPr/>
        <w:br w:type="column"/>
      </w:r>
      <w:r>
        <w:rPr>
          <w:rFonts w:ascii="Times New Roman" w:hAnsi="Times New Roman"/>
          <w:spacing w:val="19"/>
          <w:w w:val="106"/>
          <w:sz w:val="27"/>
        </w:rPr>
        <w:t>a</w:t>
      </w:r>
      <w:r>
        <w:rPr>
          <w:rFonts w:ascii="Times New Roman" w:hAnsi="Times New Roman"/>
          <w:spacing w:val="6"/>
          <w:w w:val="111"/>
          <w:position w:val="-6"/>
          <w:sz w:val="15"/>
        </w:rPr>
        <w:t>i</w:t>
      </w:r>
      <w:r>
        <w:rPr>
          <w:rFonts w:ascii="Times New Roman" w:hAnsi="Times New Roman"/>
          <w:spacing w:val="5"/>
          <w:w w:val="111"/>
          <w:position w:val="-6"/>
          <w:sz w:val="15"/>
        </w:rPr>
        <w:t>j</w:t>
      </w:r>
      <w:r>
        <w:rPr>
          <w:rFonts w:ascii="Times New Roman" w:hAnsi="Times New Roman"/>
          <w:spacing w:val="1"/>
          <w:w w:val="111"/>
          <w:position w:val="-6"/>
          <w:sz w:val="15"/>
        </w:rPr>
        <w:t>k</w:t>
      </w:r>
      <w:r>
        <w:rPr>
          <w:rFonts w:ascii="Times New Roman" w:hAnsi="Times New Roman"/>
          <w:spacing w:val="-6"/>
          <w:w w:val="106"/>
          <w:sz w:val="27"/>
        </w:rPr>
        <w:t>·</w:t>
      </w:r>
      <w:r>
        <w:rPr>
          <w:rFonts w:ascii="Times New Roman" w:hAnsi="Times New Roman"/>
          <w:w w:val="106"/>
          <w:sz w:val="27"/>
        </w:rPr>
        <w:t>Δ</w:t>
      </w:r>
      <w:r>
        <w:rPr>
          <w:rFonts w:ascii="Symbol" w:hAnsi="Symbol"/>
          <w:w w:val="60"/>
          <w:sz w:val="47"/>
        </w:rPr>
        <w:t></w:t>
      </w:r>
      <w:r>
        <w:rPr>
          <w:rFonts w:ascii="Times New Roman" w:hAnsi="Times New Roman"/>
          <w:spacing w:val="-31"/>
          <w:sz w:val="47"/>
        </w:rPr>
        <w:t> </w:t>
      </w:r>
      <w:r>
        <w:rPr>
          <w:rFonts w:ascii="Times New Roman" w:hAnsi="Times New Roman"/>
          <w:spacing w:val="-22"/>
          <w:w w:val="105"/>
          <w:sz w:val="27"/>
        </w:rPr>
        <w:t>V</w:t>
      </w:r>
      <w:r>
        <w:rPr>
          <w:rFonts w:ascii="Times New Roman" w:hAnsi="Times New Roman"/>
          <w:w w:val="111"/>
          <w:position w:val="-6"/>
          <w:sz w:val="15"/>
        </w:rPr>
        <w:t>k</w:t>
      </w:r>
      <w:r>
        <w:rPr>
          <w:rFonts w:ascii="Times New Roman" w:hAnsi="Times New Roman"/>
          <w:position w:val="-6"/>
          <w:sz w:val="15"/>
        </w:rPr>
        <w:t> </w:t>
      </w:r>
      <w:r>
        <w:rPr>
          <w:rFonts w:ascii="Times New Roman" w:hAnsi="Times New Roman"/>
          <w:spacing w:val="6"/>
          <w:position w:val="-6"/>
          <w:sz w:val="15"/>
        </w:rPr>
        <w:t> </w:t>
      </w:r>
      <w:r>
        <w:rPr>
          <w:rFonts w:ascii="Symbol" w:hAnsi="Symbol"/>
          <w:w w:val="106"/>
          <w:sz w:val="27"/>
        </w:rPr>
        <w:t></w:t>
      </w:r>
    </w:p>
    <w:p>
      <w:pPr>
        <w:spacing w:before="22"/>
        <w:ind w:left="85" w:right="0" w:firstLine="0"/>
        <w:jc w:val="left"/>
        <w:rPr>
          <w:rFonts w:ascii="Symbol" w:hAnsi="Symbol"/>
          <w:sz w:val="47"/>
        </w:rPr>
      </w:pPr>
      <w:r>
        <w:rPr/>
        <w:br w:type="column"/>
      </w:r>
      <w:r>
        <w:rPr>
          <w:rFonts w:ascii="Times New Roman" w:hAnsi="Times New Roman"/>
          <w:spacing w:val="-12"/>
          <w:sz w:val="27"/>
        </w:rPr>
        <w:t>V</w:t>
      </w:r>
      <w:r>
        <w:rPr>
          <w:rFonts w:ascii="Times New Roman" w:hAnsi="Times New Roman"/>
          <w:spacing w:val="-12"/>
          <w:position w:val="-6"/>
          <w:sz w:val="15"/>
        </w:rPr>
        <w:t>k </w:t>
      </w:r>
      <w:r>
        <w:rPr>
          <w:rFonts w:ascii="Symbol" w:hAnsi="Symbol"/>
          <w:spacing w:val="-13"/>
          <w:sz w:val="42"/>
        </w:rPr>
        <w:t></w:t>
      </w:r>
      <w:r>
        <w:rPr>
          <w:rFonts w:ascii="Times New Roman" w:hAnsi="Times New Roman"/>
          <w:spacing w:val="-13"/>
          <w:sz w:val="27"/>
        </w:rPr>
        <w:t>c </w:t>
      </w:r>
      <w:r>
        <w:rPr>
          <w:rFonts w:ascii="Times New Roman" w:hAnsi="Times New Roman"/>
          <w:position w:val="-6"/>
          <w:sz w:val="15"/>
        </w:rPr>
        <w:t>j </w:t>
      </w:r>
      <w:r>
        <w:rPr>
          <w:rFonts w:ascii="Symbol" w:hAnsi="Symbol"/>
          <w:w w:val="90"/>
          <w:sz w:val="42"/>
        </w:rPr>
        <w:t></w:t>
      </w:r>
      <w:r>
        <w:rPr>
          <w:rFonts w:ascii="Times New Roman" w:hAnsi="Times New Roman"/>
          <w:spacing w:val="-67"/>
          <w:w w:val="90"/>
          <w:sz w:val="42"/>
        </w:rPr>
        <w:t> </w:t>
      </w:r>
      <w:r>
        <w:rPr>
          <w:rFonts w:ascii="Symbol" w:hAnsi="Symbol"/>
          <w:w w:val="90"/>
          <w:sz w:val="47"/>
        </w:rPr>
        <w:t></w:t>
      </w:r>
    </w:p>
    <w:p>
      <w:pPr>
        <w:spacing w:after="0"/>
        <w:jc w:val="left"/>
        <w:rPr>
          <w:rFonts w:ascii="Symbol" w:hAnsi="Symbol"/>
          <w:sz w:val="47"/>
        </w:rPr>
        <w:sectPr>
          <w:type w:val="continuous"/>
          <w:pgSz w:w="12240" w:h="15840"/>
          <w:pgMar w:top="3080" w:bottom="2780" w:left="1440" w:right="1460"/>
          <w:cols w:num="3" w:equalWidth="0">
            <w:col w:w="4447" w:space="40"/>
            <w:col w:w="1303" w:space="40"/>
            <w:col w:w="3510"/>
          </w:cols>
        </w:sectPr>
      </w:pPr>
    </w:p>
    <w:p>
      <w:pPr>
        <w:spacing w:line="162" w:lineRule="exact" w:before="0"/>
        <w:ind w:left="203" w:right="1703" w:firstLine="0"/>
        <w:jc w:val="center"/>
        <w:rPr>
          <w:rFonts w:ascii="Times New Roman" w:hAnsi="Times New Roman"/>
          <w:sz w:val="15"/>
        </w:rPr>
      </w:pPr>
      <w:r>
        <w:rPr>
          <w:rFonts w:ascii="Times New Roman" w:hAnsi="Times New Roman"/>
          <w:w w:val="110"/>
          <w:sz w:val="15"/>
        </w:rPr>
        <w:t>j</w:t>
      </w:r>
      <w:r>
        <w:rPr>
          <w:rFonts w:ascii="Symbol" w:hAnsi="Symbol"/>
          <w:w w:val="110"/>
          <w:sz w:val="15"/>
        </w:rPr>
        <w:t></w:t>
      </w:r>
      <w:r>
        <w:rPr>
          <w:rFonts w:ascii="Times New Roman" w:hAnsi="Times New Roman"/>
          <w:w w:val="110"/>
          <w:sz w:val="15"/>
        </w:rPr>
        <w:t>1, k</w:t>
      </w:r>
      <w:r>
        <w:rPr>
          <w:rFonts w:ascii="Symbol" w:hAnsi="Symbol"/>
          <w:w w:val="110"/>
          <w:sz w:val="15"/>
        </w:rPr>
        <w:t></w:t>
      </w:r>
      <w:r>
        <w:rPr>
          <w:rFonts w:ascii="Times New Roman" w:hAnsi="Times New Roman"/>
          <w:w w:val="110"/>
          <w:sz w:val="15"/>
        </w:rPr>
        <w:t>1</w:t>
      </w:r>
    </w:p>
    <w:p>
      <w:pPr>
        <w:pStyle w:val="BodyText"/>
        <w:spacing w:before="11"/>
        <w:rPr>
          <w:rFonts w:ascii="Times New Roman"/>
          <w:sz w:val="25"/>
        </w:rPr>
      </w:pPr>
    </w:p>
    <w:p>
      <w:pPr>
        <w:spacing w:after="0"/>
        <w:rPr>
          <w:rFonts w:ascii="Times New Roman"/>
          <w:sz w:val="25"/>
        </w:rPr>
        <w:sectPr>
          <w:type w:val="continuous"/>
          <w:pgSz w:w="12240" w:h="15840"/>
          <w:pgMar w:top="3080" w:bottom="2780" w:left="1440" w:right="1460"/>
        </w:sectPr>
      </w:pPr>
    </w:p>
    <w:p>
      <w:pPr>
        <w:tabs>
          <w:tab w:pos="3041" w:val="left" w:leader="none"/>
        </w:tabs>
        <w:spacing w:line="359" w:lineRule="exact" w:before="29"/>
        <w:ind w:left="1083" w:right="0" w:firstLine="0"/>
        <w:jc w:val="left"/>
        <w:rPr>
          <w:rFonts w:ascii="Times New Roman" w:hAnsi="Times New Roman"/>
          <w:sz w:val="23"/>
        </w:rPr>
      </w:pPr>
      <w:r>
        <w:rPr>
          <w:rFonts w:ascii="Times New Roman" w:hAnsi="Times New Roman"/>
          <w:spacing w:val="-13"/>
          <w:w w:val="119"/>
          <w:sz w:val="23"/>
        </w:rPr>
        <w:t>ΔΔ</w:t>
      </w:r>
      <w:r>
        <w:rPr>
          <w:rFonts w:ascii="Times New Roman" w:hAnsi="Times New Roman"/>
          <w:w w:val="119"/>
          <w:sz w:val="23"/>
        </w:rPr>
        <w:t>V</w:t>
      </w:r>
      <w:r>
        <w:rPr>
          <w:rFonts w:ascii="Times New Roman" w:hAnsi="Times New Roman"/>
          <w:spacing w:val="17"/>
          <w:sz w:val="23"/>
        </w:rPr>
        <w:t> </w:t>
      </w:r>
      <w:r>
        <w:rPr>
          <w:rFonts w:ascii="Symbol" w:hAnsi="Symbol"/>
          <w:spacing w:val="-25"/>
          <w:w w:val="72"/>
          <w:sz w:val="37"/>
        </w:rPr>
        <w:t></w:t>
      </w:r>
      <w:r>
        <w:rPr>
          <w:rFonts w:ascii="Times New Roman" w:hAnsi="Times New Roman"/>
          <w:w w:val="119"/>
          <w:sz w:val="23"/>
        </w:rPr>
        <w:t>c</w:t>
      </w:r>
      <w:r>
        <w:rPr>
          <w:rFonts w:ascii="Times New Roman" w:hAnsi="Times New Roman"/>
          <w:spacing w:val="24"/>
          <w:sz w:val="23"/>
        </w:rPr>
        <w:t> </w:t>
      </w:r>
      <w:r>
        <w:rPr>
          <w:rFonts w:ascii="Symbol" w:hAnsi="Symbol"/>
          <w:spacing w:val="22"/>
          <w:w w:val="72"/>
          <w:sz w:val="37"/>
        </w:rPr>
        <w:t></w:t>
      </w:r>
      <w:r>
        <w:rPr>
          <w:rFonts w:ascii="Symbol" w:hAnsi="Symbol"/>
          <w:w w:val="119"/>
          <w:sz w:val="23"/>
        </w:rPr>
        <w:t></w:t>
      </w:r>
      <w:r>
        <w:rPr>
          <w:rFonts w:ascii="Times New Roman" w:hAnsi="Times New Roman"/>
          <w:spacing w:val="-11"/>
          <w:sz w:val="23"/>
        </w:rPr>
        <w:t> </w:t>
      </w:r>
      <w:r>
        <w:rPr>
          <w:rFonts w:ascii="Times New Roman" w:hAnsi="Times New Roman"/>
          <w:spacing w:val="-4"/>
          <w:w w:val="119"/>
          <w:sz w:val="23"/>
        </w:rPr>
        <w:t>p</w:t>
      </w:r>
      <w:r>
        <w:rPr>
          <w:rFonts w:ascii="Symbol" w:hAnsi="Symbol"/>
          <w:spacing w:val="-25"/>
          <w:w w:val="72"/>
          <w:sz w:val="37"/>
        </w:rPr>
        <w:t></w:t>
      </w:r>
      <w:r>
        <w:rPr>
          <w:rFonts w:ascii="Times New Roman" w:hAnsi="Times New Roman"/>
          <w:w w:val="119"/>
          <w:sz w:val="23"/>
        </w:rPr>
        <w:t>c</w:t>
      </w:r>
      <w:r>
        <w:rPr>
          <w:rFonts w:ascii="Times New Roman" w:hAnsi="Times New Roman"/>
          <w:spacing w:val="24"/>
          <w:sz w:val="23"/>
        </w:rPr>
        <w:t> </w:t>
      </w:r>
      <w:r>
        <w:rPr>
          <w:rFonts w:ascii="Symbol" w:hAnsi="Symbol"/>
          <w:w w:val="72"/>
          <w:sz w:val="37"/>
        </w:rPr>
        <w:t></w:t>
      </w:r>
      <w:r>
        <w:rPr>
          <w:rFonts w:ascii="Times New Roman" w:hAnsi="Times New Roman"/>
          <w:sz w:val="37"/>
        </w:rPr>
        <w:tab/>
      </w:r>
      <w:r>
        <w:rPr>
          <w:rFonts w:ascii="Symbol" w:hAnsi="Symbol"/>
          <w:spacing w:val="29"/>
          <w:w w:val="119"/>
          <w:sz w:val="23"/>
        </w:rPr>
        <w:t></w:t>
      </w:r>
      <w:r>
        <w:rPr>
          <w:rFonts w:ascii="Symbol" w:hAnsi="Symbol"/>
          <w:spacing w:val="-9"/>
          <w:w w:val="65"/>
          <w:sz w:val="41"/>
        </w:rPr>
        <w:t></w:t>
      </w:r>
      <w:r>
        <w:rPr>
          <w:rFonts w:ascii="Times New Roman" w:hAnsi="Times New Roman"/>
          <w:w w:val="122"/>
          <w:position w:val="10"/>
          <w:sz w:val="13"/>
        </w:rPr>
        <w:t>i</w:t>
      </w:r>
      <w:r>
        <w:rPr>
          <w:rFonts w:ascii="Times New Roman" w:hAnsi="Times New Roman"/>
          <w:spacing w:val="-4"/>
          <w:position w:val="10"/>
          <w:sz w:val="13"/>
        </w:rPr>
        <w:t> </w:t>
      </w:r>
      <w:r>
        <w:rPr>
          <w:rFonts w:ascii="Times New Roman" w:hAnsi="Times New Roman"/>
          <w:w w:val="119"/>
          <w:sz w:val="23"/>
        </w:rPr>
        <w:t>V</w:t>
      </w:r>
    </w:p>
    <w:p>
      <w:pPr>
        <w:spacing w:line="359" w:lineRule="exact" w:before="29"/>
        <w:ind w:left="79" w:right="-17" w:firstLine="0"/>
        <w:jc w:val="left"/>
        <w:rPr>
          <w:rFonts w:ascii="Symbol" w:hAnsi="Symbol"/>
          <w:sz w:val="41"/>
        </w:rPr>
      </w:pPr>
      <w:r>
        <w:rPr/>
        <w:br w:type="column"/>
      </w:r>
      <w:r>
        <w:rPr>
          <w:rFonts w:ascii="Symbol" w:hAnsi="Symbol"/>
          <w:sz w:val="23"/>
        </w:rPr>
        <w:t></w:t>
      </w:r>
      <w:r>
        <w:rPr>
          <w:rFonts w:ascii="Times New Roman" w:hAnsi="Times New Roman"/>
          <w:sz w:val="23"/>
        </w:rPr>
        <w:t>  V </w:t>
      </w:r>
      <w:r>
        <w:rPr>
          <w:rFonts w:ascii="Symbol" w:hAnsi="Symbol"/>
          <w:spacing w:val="-13"/>
          <w:sz w:val="37"/>
        </w:rPr>
        <w:t></w:t>
      </w:r>
      <w:r>
        <w:rPr>
          <w:rFonts w:ascii="Times New Roman" w:hAnsi="Times New Roman"/>
          <w:spacing w:val="-13"/>
          <w:sz w:val="23"/>
        </w:rPr>
        <w:t>c  </w:t>
      </w:r>
      <w:r>
        <w:rPr>
          <w:rFonts w:ascii="Symbol" w:hAnsi="Symbol"/>
          <w:sz w:val="37"/>
        </w:rPr>
        <w:t></w:t>
      </w:r>
      <w:r>
        <w:rPr>
          <w:rFonts w:ascii="Times New Roman" w:hAnsi="Times New Roman"/>
          <w:spacing w:val="-58"/>
          <w:sz w:val="37"/>
        </w:rPr>
        <w:t> </w:t>
      </w:r>
      <w:r>
        <w:rPr>
          <w:rFonts w:ascii="Symbol" w:hAnsi="Symbol"/>
          <w:sz w:val="41"/>
        </w:rPr>
        <w:t></w:t>
      </w:r>
    </w:p>
    <w:p>
      <w:pPr>
        <w:tabs>
          <w:tab w:pos="1151" w:val="left" w:leader="none"/>
        </w:tabs>
        <w:spacing w:line="359" w:lineRule="exact" w:before="29"/>
        <w:ind w:left="254" w:right="0" w:firstLine="0"/>
        <w:jc w:val="left"/>
        <w:rPr>
          <w:rFonts w:ascii="Symbol" w:hAnsi="Symbol"/>
          <w:sz w:val="23"/>
        </w:rPr>
      </w:pPr>
      <w:r>
        <w:rPr/>
        <w:br w:type="column"/>
      </w:r>
      <w:r>
        <w:rPr>
          <w:rFonts w:ascii="Symbol" w:hAnsi="Symbol"/>
          <w:w w:val="119"/>
          <w:sz w:val="23"/>
        </w:rPr>
        <w:t></w:t>
      </w:r>
      <w:r>
        <w:rPr>
          <w:rFonts w:ascii="Times New Roman" w:hAnsi="Times New Roman"/>
          <w:spacing w:val="-21"/>
          <w:sz w:val="23"/>
        </w:rPr>
        <w:t> </w:t>
      </w:r>
      <w:r>
        <w:rPr>
          <w:rFonts w:ascii="Times New Roman" w:hAnsi="Times New Roman"/>
          <w:spacing w:val="-4"/>
          <w:w w:val="119"/>
          <w:sz w:val="23"/>
        </w:rPr>
        <w:t>p</w:t>
      </w:r>
      <w:r>
        <w:rPr>
          <w:rFonts w:ascii="Symbol" w:hAnsi="Symbol"/>
          <w:spacing w:val="-25"/>
          <w:w w:val="72"/>
          <w:sz w:val="37"/>
        </w:rPr>
        <w:t></w:t>
      </w:r>
      <w:r>
        <w:rPr>
          <w:rFonts w:ascii="Times New Roman" w:hAnsi="Times New Roman"/>
          <w:w w:val="119"/>
          <w:sz w:val="23"/>
        </w:rPr>
        <w:t>c</w:t>
      </w:r>
      <w:r>
        <w:rPr>
          <w:rFonts w:ascii="Times New Roman" w:hAnsi="Times New Roman"/>
          <w:spacing w:val="24"/>
          <w:sz w:val="23"/>
        </w:rPr>
        <w:t> </w:t>
      </w:r>
      <w:r>
        <w:rPr>
          <w:rFonts w:ascii="Symbol" w:hAnsi="Symbol"/>
          <w:w w:val="72"/>
          <w:sz w:val="37"/>
        </w:rPr>
        <w:t></w:t>
      </w:r>
      <w:r>
        <w:rPr>
          <w:rFonts w:ascii="Times New Roman" w:hAnsi="Times New Roman"/>
          <w:sz w:val="37"/>
        </w:rPr>
        <w:tab/>
      </w:r>
      <w:r>
        <w:rPr>
          <w:rFonts w:ascii="Symbol" w:hAnsi="Symbol"/>
          <w:spacing w:val="29"/>
          <w:w w:val="119"/>
          <w:sz w:val="23"/>
        </w:rPr>
        <w:t></w:t>
      </w:r>
      <w:r>
        <w:rPr>
          <w:rFonts w:ascii="Symbol" w:hAnsi="Symbol"/>
          <w:spacing w:val="-9"/>
          <w:w w:val="65"/>
          <w:sz w:val="41"/>
        </w:rPr>
        <w:t></w:t>
      </w:r>
      <w:r>
        <w:rPr>
          <w:rFonts w:ascii="Times New Roman" w:hAnsi="Times New Roman"/>
          <w:w w:val="122"/>
          <w:position w:val="10"/>
          <w:sz w:val="13"/>
        </w:rPr>
        <w:t>i</w:t>
      </w:r>
      <w:r>
        <w:rPr>
          <w:rFonts w:ascii="Times New Roman" w:hAnsi="Times New Roman"/>
          <w:spacing w:val="-4"/>
          <w:position w:val="10"/>
          <w:sz w:val="13"/>
        </w:rPr>
        <w:t> </w:t>
      </w:r>
      <w:r>
        <w:rPr>
          <w:rFonts w:ascii="Times New Roman" w:hAnsi="Times New Roman"/>
          <w:w w:val="119"/>
          <w:sz w:val="23"/>
        </w:rPr>
        <w:t>V</w:t>
      </w:r>
      <w:r>
        <w:rPr>
          <w:rFonts w:ascii="Times New Roman" w:hAnsi="Times New Roman"/>
          <w:sz w:val="23"/>
        </w:rPr>
        <w:t> </w:t>
      </w:r>
      <w:r>
        <w:rPr>
          <w:rFonts w:ascii="Times New Roman" w:hAnsi="Times New Roman"/>
          <w:spacing w:val="4"/>
          <w:sz w:val="23"/>
        </w:rPr>
        <w:t> </w:t>
      </w:r>
      <w:r>
        <w:rPr>
          <w:rFonts w:ascii="Symbol" w:hAnsi="Symbol"/>
          <w:w w:val="119"/>
          <w:sz w:val="23"/>
        </w:rPr>
        <w:t></w:t>
      </w:r>
    </w:p>
    <w:p>
      <w:pPr>
        <w:tabs>
          <w:tab w:pos="1279" w:val="left" w:leader="none"/>
        </w:tabs>
        <w:spacing w:line="359" w:lineRule="exact" w:before="29"/>
        <w:ind w:left="79" w:right="0" w:firstLine="0"/>
        <w:jc w:val="left"/>
        <w:rPr>
          <w:rFonts w:ascii="Symbol" w:hAnsi="Symbol"/>
          <w:sz w:val="31"/>
        </w:rPr>
      </w:pPr>
      <w:r>
        <w:rPr/>
        <w:br w:type="column"/>
      </w:r>
      <w:r>
        <w:rPr>
          <w:rFonts w:ascii="Times New Roman" w:hAnsi="Times New Roman"/>
          <w:sz w:val="23"/>
        </w:rPr>
        <w:t>V </w:t>
      </w:r>
      <w:r>
        <w:rPr>
          <w:rFonts w:ascii="Symbol" w:hAnsi="Symbol"/>
          <w:spacing w:val="-13"/>
          <w:sz w:val="37"/>
        </w:rPr>
        <w:t></w:t>
      </w:r>
      <w:r>
        <w:rPr>
          <w:rFonts w:ascii="Times New Roman" w:hAnsi="Times New Roman"/>
          <w:spacing w:val="-13"/>
          <w:sz w:val="23"/>
        </w:rPr>
        <w:t>c</w:t>
      </w:r>
      <w:r>
        <w:rPr>
          <w:rFonts w:ascii="Times New Roman" w:hAnsi="Times New Roman"/>
          <w:spacing w:val="21"/>
          <w:sz w:val="23"/>
        </w:rPr>
        <w:t> </w:t>
      </w:r>
      <w:r>
        <w:rPr>
          <w:rFonts w:ascii="Symbol" w:hAnsi="Symbol"/>
          <w:sz w:val="37"/>
        </w:rPr>
        <w:t></w:t>
      </w:r>
      <w:r>
        <w:rPr>
          <w:rFonts w:ascii="Times New Roman" w:hAnsi="Times New Roman"/>
          <w:spacing w:val="-43"/>
          <w:sz w:val="37"/>
        </w:rPr>
        <w:t> </w:t>
      </w:r>
      <w:r>
        <w:rPr>
          <w:rFonts w:ascii="Symbol" w:hAnsi="Symbol"/>
          <w:sz w:val="41"/>
        </w:rPr>
        <w:t></w:t>
      </w:r>
      <w:r>
        <w:rPr>
          <w:rFonts w:ascii="Times New Roman" w:hAnsi="Times New Roman"/>
          <w:sz w:val="41"/>
        </w:rPr>
        <w:tab/>
      </w:r>
      <w:r>
        <w:rPr>
          <w:rFonts w:ascii="Symbol" w:hAnsi="Symbol"/>
          <w:spacing w:val="-13"/>
          <w:sz w:val="31"/>
        </w:rPr>
        <w:t></w:t>
      </w:r>
      <w:r>
        <w:rPr>
          <w:rFonts w:ascii="Times New Roman" w:hAnsi="Times New Roman"/>
          <w:spacing w:val="-13"/>
          <w:sz w:val="23"/>
        </w:rPr>
        <w:t>16</w:t>
      </w:r>
      <w:r>
        <w:rPr>
          <w:rFonts w:ascii="Symbol" w:hAnsi="Symbol"/>
          <w:spacing w:val="-13"/>
          <w:sz w:val="31"/>
        </w:rPr>
        <w:t></w:t>
      </w:r>
    </w:p>
    <w:p>
      <w:pPr>
        <w:spacing w:after="0" w:line="359" w:lineRule="exact"/>
        <w:jc w:val="left"/>
        <w:rPr>
          <w:rFonts w:ascii="Symbol" w:hAnsi="Symbol"/>
          <w:sz w:val="31"/>
        </w:rPr>
        <w:sectPr>
          <w:type w:val="continuous"/>
          <w:pgSz w:w="12240" w:h="15840"/>
          <w:pgMar w:top="3080" w:bottom="2780" w:left="1440" w:right="1460"/>
          <w:cols w:num="4" w:equalWidth="0">
            <w:col w:w="3492" w:space="40"/>
            <w:col w:w="1130" w:space="40"/>
            <w:col w:w="1872" w:space="40"/>
            <w:col w:w="2726"/>
          </w:cols>
        </w:sectPr>
      </w:pPr>
    </w:p>
    <w:p>
      <w:pPr>
        <w:tabs>
          <w:tab w:pos="1884" w:val="left" w:leader="none"/>
          <w:tab w:pos="2595" w:val="left" w:leader="none"/>
          <w:tab w:pos="3459" w:val="left" w:leader="none"/>
        </w:tabs>
        <w:spacing w:line="179" w:lineRule="exact" w:before="0"/>
        <w:ind w:left="1576" w:right="0" w:firstLine="0"/>
        <w:jc w:val="left"/>
        <w:rPr>
          <w:rFonts w:ascii="Times New Roman"/>
          <w:sz w:val="13"/>
        </w:rPr>
      </w:pPr>
      <w:r>
        <w:rPr/>
        <w:pict>
          <v:shape style="position:absolute;margin-left:129.529999pt;margin-top:592.634033pt;width:2.9pt;height:17.650pt;mso-position-horizontal-relative:page;mso-position-vertical-relative:paragraph;z-index:2368" coordorigin="2591,11853" coordsize="58,353" path="m5312,-159l5250,4m5250,4l5312,165e" filled="false" stroked="true" strokeweight=".138935pt" strokecolor="#000000">
            <v:path arrowok="t"/>
            <w10:wrap type="none"/>
          </v:shape>
        </w:pict>
      </w:r>
      <w:r>
        <w:rPr/>
        <w:pict>
          <v:shape style="position:absolute;margin-left:161.729996pt;margin-top:592.634033pt;width:2.9pt;height:17.650pt;mso-position-horizontal-relative:page;mso-position-vertical-relative:paragraph;z-index:2392" coordorigin="3235,11853" coordsize="58,353" path="m5937,-159l5998,4m5998,4l5937,165e" filled="false" stroked="true" strokeweight=".138935pt" strokecolor="#000000">
            <v:path arrowok="t"/>
            <w10:wrap type="none"/>
          </v:shape>
        </w:pict>
      </w:r>
      <w:r>
        <w:rPr>
          <w:rFonts w:ascii="Times New Roman"/>
          <w:w w:val="125"/>
          <w:sz w:val="13"/>
        </w:rPr>
        <w:t>k</w:t>
        <w:tab/>
        <w:t>j</w:t>
        <w:tab/>
        <w:t>j </w:t>
      </w:r>
      <w:r>
        <w:rPr>
          <w:rFonts w:ascii="Times New Roman"/>
          <w:spacing w:val="1"/>
          <w:w w:val="125"/>
          <w:sz w:val="13"/>
        </w:rPr>
        <w:t> </w:t>
      </w:r>
      <w:r>
        <w:rPr>
          <w:rFonts w:ascii="Times New Roman"/>
          <w:w w:val="125"/>
          <w:position w:val="-3"/>
          <w:sz w:val="13"/>
        </w:rPr>
        <w:t>new</w:t>
        <w:tab/>
      </w:r>
      <w:r>
        <w:rPr>
          <w:rFonts w:ascii="Times New Roman"/>
          <w:w w:val="120"/>
          <w:sz w:val="13"/>
        </w:rPr>
        <w:t>k</w:t>
      </w:r>
    </w:p>
    <w:p>
      <w:pPr>
        <w:tabs>
          <w:tab w:pos="774" w:val="left" w:leader="none"/>
          <w:tab w:pos="1049" w:val="left" w:leader="none"/>
        </w:tabs>
        <w:spacing w:line="198" w:lineRule="exact" w:before="0"/>
        <w:ind w:left="466" w:right="0" w:firstLine="0"/>
        <w:jc w:val="left"/>
        <w:rPr>
          <w:rFonts w:ascii="Times New Roman"/>
          <w:sz w:val="13"/>
        </w:rPr>
      </w:pPr>
      <w:r>
        <w:rPr/>
        <w:br w:type="column"/>
      </w:r>
      <w:r>
        <w:rPr>
          <w:rFonts w:ascii="Times New Roman"/>
          <w:w w:val="125"/>
          <w:position w:val="6"/>
          <w:sz w:val="13"/>
        </w:rPr>
        <w:t>k</w:t>
        <w:tab/>
        <w:t>j</w:t>
        <w:tab/>
      </w:r>
      <w:r>
        <w:rPr>
          <w:rFonts w:ascii="Times New Roman"/>
          <w:spacing w:val="-1"/>
          <w:w w:val="120"/>
          <w:sz w:val="13"/>
        </w:rPr>
        <w:t>new</w:t>
      </w:r>
    </w:p>
    <w:p>
      <w:pPr>
        <w:pStyle w:val="ListParagraph"/>
        <w:numPr>
          <w:ilvl w:val="0"/>
          <w:numId w:val="14"/>
        </w:numPr>
        <w:tabs>
          <w:tab w:pos="676" w:val="left" w:leader="none"/>
          <w:tab w:pos="1337" w:val="left" w:leader="none"/>
        </w:tabs>
        <w:spacing w:line="179" w:lineRule="exact" w:before="0" w:after="0"/>
        <w:ind w:left="675" w:right="0" w:hanging="132"/>
        <w:jc w:val="left"/>
        <w:rPr>
          <w:rFonts w:ascii="Times New Roman"/>
          <w:sz w:val="13"/>
        </w:rPr>
      </w:pPr>
      <w:r>
        <w:rPr>
          <w:rFonts w:ascii="Times New Roman"/>
          <w:spacing w:val="-4"/>
          <w:w w:val="122"/>
          <w:sz w:val="13"/>
        </w:rPr>
        <w:br w:type="column"/>
      </w:r>
      <w:r>
        <w:rPr>
          <w:rFonts w:ascii="Times New Roman"/>
          <w:spacing w:val="-4"/>
          <w:w w:val="125"/>
          <w:sz w:val="13"/>
        </w:rPr>
        <w:t>ref</w:t>
        <w:tab/>
      </w:r>
      <w:r>
        <w:rPr>
          <w:rFonts w:ascii="Times New Roman"/>
          <w:w w:val="120"/>
          <w:position w:val="4"/>
          <w:sz w:val="13"/>
        </w:rPr>
        <w:t>k</w:t>
      </w:r>
    </w:p>
    <w:p>
      <w:pPr>
        <w:pStyle w:val="ListParagraph"/>
        <w:numPr>
          <w:ilvl w:val="0"/>
          <w:numId w:val="14"/>
        </w:numPr>
        <w:tabs>
          <w:tab w:pos="774" w:val="left" w:leader="none"/>
          <w:tab w:pos="775" w:val="left" w:leader="none"/>
          <w:tab w:pos="1049" w:val="left" w:leader="none"/>
        </w:tabs>
        <w:spacing w:line="198" w:lineRule="exact" w:before="0" w:after="0"/>
        <w:ind w:left="775" w:right="0" w:hanging="309"/>
        <w:jc w:val="left"/>
        <w:rPr>
          <w:rFonts w:ascii="Times New Roman"/>
          <w:sz w:val="13"/>
        </w:rPr>
      </w:pPr>
      <w:r>
        <w:rPr>
          <w:rFonts w:ascii="Times New Roman"/>
          <w:w w:val="122"/>
          <w:position w:val="6"/>
          <w:sz w:val="13"/>
        </w:rPr>
        <w:br w:type="column"/>
      </w:r>
      <w:r>
        <w:rPr>
          <w:rFonts w:ascii="Times New Roman"/>
          <w:w w:val="125"/>
          <w:position w:val="6"/>
          <w:sz w:val="13"/>
        </w:rPr>
        <w:t>j</w:t>
        <w:tab/>
      </w:r>
      <w:r>
        <w:rPr>
          <w:rFonts w:ascii="Times New Roman"/>
          <w:spacing w:val="-4"/>
          <w:w w:val="125"/>
          <w:sz w:val="13"/>
        </w:rPr>
        <w:t>ref</w:t>
      </w:r>
    </w:p>
    <w:p>
      <w:pPr>
        <w:spacing w:after="0" w:line="198" w:lineRule="exact"/>
        <w:jc w:val="left"/>
        <w:rPr>
          <w:rFonts w:ascii="Times New Roman"/>
          <w:sz w:val="13"/>
        </w:rPr>
        <w:sectPr>
          <w:type w:val="continuous"/>
          <w:pgSz w:w="12240" w:h="15840"/>
          <w:pgMar w:top="3080" w:bottom="2780" w:left="1440" w:right="1460"/>
          <w:cols w:num="4" w:equalWidth="0">
            <w:col w:w="3540" w:space="40"/>
            <w:col w:w="1313" w:space="40"/>
            <w:col w:w="1418" w:space="40"/>
            <w:col w:w="2949"/>
          </w:cols>
        </w:sectPr>
      </w:pPr>
    </w:p>
    <w:p>
      <w:pPr>
        <w:pStyle w:val="BodyText"/>
        <w:rPr>
          <w:rFonts w:ascii="Times New Roman"/>
          <w:sz w:val="20"/>
        </w:rPr>
      </w:pPr>
    </w:p>
    <w:p>
      <w:pPr>
        <w:pStyle w:val="BodyText"/>
        <w:spacing w:before="1"/>
        <w:rPr>
          <w:rFonts w:ascii="Times New Roman"/>
          <w:sz w:val="19"/>
        </w:rPr>
      </w:pPr>
    </w:p>
    <w:p>
      <w:pPr>
        <w:pStyle w:val="ListParagraph"/>
        <w:numPr>
          <w:ilvl w:val="2"/>
          <w:numId w:val="13"/>
        </w:numPr>
        <w:tabs>
          <w:tab w:pos="909" w:val="left" w:leader="none"/>
        </w:tabs>
        <w:spacing w:line="240" w:lineRule="auto" w:before="0" w:after="0"/>
        <w:ind w:left="908" w:right="0" w:hanging="649"/>
        <w:jc w:val="both"/>
        <w:rPr>
          <w:sz w:val="24"/>
        </w:rPr>
      </w:pPr>
      <w:r>
        <w:rPr/>
        <w:pict>
          <v:shape style="position:absolute;margin-left:261.329987pt;margin-top:560.243347pt;width:2.9pt;height:17.650pt;mso-position-horizontal-relative:page;mso-position-vertical-relative:paragraph;z-index:2416" coordorigin="5227,11205" coordsize="58,353" path="m8122,-807l8061,-644m8061,-644l8122,-483e" filled="false" stroked="true" strokeweight=".138935pt" strokecolor="#000000">
            <v:path arrowok="t"/>
            <w10:wrap type="none"/>
          </v:shape>
        </w:pict>
      </w:r>
      <w:r>
        <w:rPr/>
        <w:pict>
          <v:shape style="position:absolute;margin-left:293.519989pt;margin-top:560.243347pt;width:2.9pt;height:17.650pt;mso-position-horizontal-relative:page;mso-position-vertical-relative:paragraph;z-index:2440" coordorigin="5870,11205" coordsize="58,353" path="m8747,-807l8809,-644m8809,-644l8747,-483e" filled="false" stroked="true" strokeweight=".138935pt" strokecolor="#000000">
            <v:path arrowok="t"/>
            <w10:wrap type="none"/>
          </v:shape>
        </w:pict>
      </w:r>
      <w:r>
        <w:rPr>
          <w:b/>
          <w:sz w:val="24"/>
        </w:rPr>
        <w:t>Caja </w:t>
      </w:r>
      <w:r>
        <w:rPr>
          <w:b/>
          <w:spacing w:val="-3"/>
          <w:sz w:val="24"/>
        </w:rPr>
        <w:t>de</w:t>
      </w:r>
      <w:r>
        <w:rPr>
          <w:b/>
          <w:sz w:val="24"/>
        </w:rPr>
        <w:t> jenkins</w:t>
      </w:r>
      <w:r>
        <w:rPr>
          <w:sz w:val="24"/>
        </w:rPr>
        <w:t>.</w:t>
      </w:r>
    </w:p>
    <w:p>
      <w:pPr>
        <w:pStyle w:val="BodyText"/>
        <w:spacing w:before="4"/>
        <w:rPr>
          <w:sz w:val="35"/>
        </w:rPr>
      </w:pPr>
    </w:p>
    <w:p>
      <w:pPr>
        <w:pStyle w:val="BodyText"/>
        <w:spacing w:line="360" w:lineRule="auto"/>
        <w:ind w:left="259" w:right="242" w:firstLine="283"/>
        <w:jc w:val="both"/>
      </w:pPr>
      <w:r>
        <w:rPr/>
        <w:t>Una inspección detallada de los términos de perturbación muestra que son diferencias de probabilidad ponderada (Δ) de Box-Jenkins Operadores ΔVk (cj). Se calcularon los valores de Box-Jenkins Operadores ΔVk (cj) de los descriptores moleculares (IVK) para cuantificar el efecto de las desviaciones de una molécula (millas) desde el comportamiento promedio de todas las moléculas medidos con el mismo conjunto de condiciones (cj) de el sistema complejo. Las desviaciones debidas  a los cambios en las diferentes condiciones de contorno (cj) se tuvieron en cuenta. Las condiciones de contorno se refieren a las condiciones operativas preliminares, c1 = se refiere a la utilización de diferentes tratamientos experimentales, c2 = con / sin fermentación, c4 = es el protocolo de cromatografía de gases utilizada, y c5 = se refiere al uso de experimentos replicados. Otros están más directamente relacionados con la distribución posterior y la naturaleza de la FA, </w:t>
      </w:r>
      <w:r>
        <w:rPr>
          <w:spacing w:val="-3"/>
        </w:rPr>
        <w:t>c3 </w:t>
      </w:r>
      <w:r>
        <w:rPr/>
        <w:t>= la fase biológica de distribución de LCFAs y c6 = cuantificar información sobre cis / patrón geométrico trans presentes en los LCFAs. Todos los datos se procesan en un archivo de Excel. En Excel, se calcularon los valores de ΔVk (cj) considerando diversas condiciones de contorno  experimentales (cj). Las probabilidades son p (cj) = nj / ntotal; nj número de entradas experimentales para la condición cj y ntotal = 744 el número total de entradas experimentales</w:t>
      </w:r>
      <w:r>
        <w:rPr>
          <w:spacing w:val="17"/>
        </w:rPr>
        <w:t> </w:t>
      </w:r>
      <w:r>
        <w:rPr/>
        <w:t>(el</w:t>
      </w:r>
      <w:r>
        <w:rPr>
          <w:spacing w:val="21"/>
        </w:rPr>
        <w:t> </w:t>
      </w:r>
      <w:r>
        <w:rPr/>
        <w:t>número</w:t>
      </w:r>
      <w:r>
        <w:rPr>
          <w:spacing w:val="21"/>
        </w:rPr>
        <w:t> </w:t>
      </w:r>
      <w:r>
        <w:rPr/>
        <w:t>total</w:t>
      </w:r>
      <w:r>
        <w:rPr>
          <w:spacing w:val="21"/>
        </w:rPr>
        <w:t> </w:t>
      </w:r>
      <w:r>
        <w:rPr/>
        <w:t>de</w:t>
      </w:r>
      <w:r>
        <w:rPr>
          <w:spacing w:val="17"/>
        </w:rPr>
        <w:t> </w:t>
      </w:r>
      <w:r>
        <w:rPr/>
        <w:t>IPA</w:t>
      </w:r>
      <w:r>
        <w:rPr>
          <w:spacing w:val="18"/>
        </w:rPr>
        <w:t> </w:t>
      </w:r>
      <w:r>
        <w:rPr/>
        <w:t>(%)</w:t>
      </w:r>
      <w:r>
        <w:rPr>
          <w:spacing w:val="19"/>
        </w:rPr>
        <w:t> </w:t>
      </w:r>
      <w:r>
        <w:rPr/>
        <w:t>medido</w:t>
      </w:r>
      <w:r>
        <w:rPr>
          <w:spacing w:val="21"/>
        </w:rPr>
        <w:t> </w:t>
      </w:r>
      <w:r>
        <w:rPr/>
        <w:t>en</w:t>
      </w:r>
      <w:r>
        <w:rPr>
          <w:spacing w:val="20"/>
        </w:rPr>
        <w:t> </w:t>
      </w:r>
      <w:r>
        <w:rPr/>
        <w:t>este</w:t>
      </w:r>
      <w:r>
        <w:rPr>
          <w:spacing w:val="18"/>
        </w:rPr>
        <w:t> </w:t>
      </w:r>
      <w:r>
        <w:rPr/>
        <w:t>trabajo).</w:t>
      </w:r>
      <w:r>
        <w:rPr>
          <w:spacing w:val="18"/>
        </w:rPr>
        <w:t> </w:t>
      </w:r>
      <w:r>
        <w:rPr/>
        <w:t>El</w:t>
      </w:r>
      <w:r>
        <w:rPr>
          <w:spacing w:val="21"/>
        </w:rPr>
        <w:t> </w:t>
      </w:r>
      <w:r>
        <w:rPr/>
        <w:t>valor</w:t>
      </w:r>
      <w:r>
        <w:rPr>
          <w:spacing w:val="21"/>
        </w:rPr>
        <w:t> </w:t>
      </w:r>
      <w:r>
        <w:rPr/>
        <w:t>medio</w:t>
      </w:r>
    </w:p>
    <w:p>
      <w:pPr>
        <w:pStyle w:val="BodyText"/>
        <w:spacing w:line="362" w:lineRule="auto"/>
        <w:ind w:left="259" w:right="245"/>
        <w:jc w:val="both"/>
      </w:pPr>
      <w:r>
        <w:rPr/>
        <w:t>&lt;ΔVk (cj)&gt; (</w:t>
      </w:r>
      <w:r>
        <w:rPr>
          <w:b/>
        </w:rPr>
        <w:t>Table 2</w:t>
      </w:r>
      <w:r>
        <w:rPr/>
        <w:t>) es la diferencia de la IVK valor de la función con los descriptores moleculares medios &lt;Vk&gt; para una condición de contorno cj específica, ver las ecuaciones:</w:t>
      </w:r>
    </w:p>
    <w:p>
      <w:pPr>
        <w:spacing w:after="0" w:line="362" w:lineRule="auto"/>
        <w:jc w:val="both"/>
        <w:sectPr>
          <w:type w:val="continuous"/>
          <w:pgSz w:w="12240" w:h="15840"/>
          <w:pgMar w:top="3080" w:bottom="2780" w:left="1440" w:right="1460"/>
        </w:sectPr>
      </w:pPr>
    </w:p>
    <w:p>
      <w:pPr>
        <w:pStyle w:val="BodyText"/>
        <w:spacing w:before="3"/>
        <w:rPr>
          <w:sz w:val="27"/>
        </w:rPr>
      </w:pPr>
    </w:p>
    <w:p>
      <w:pPr>
        <w:spacing w:before="0"/>
        <w:ind w:left="0" w:right="0" w:firstLine="0"/>
        <w:jc w:val="right"/>
        <w:rPr>
          <w:rFonts w:ascii="Times New Roman" w:hAnsi="Times New Roman"/>
          <w:sz w:val="16"/>
        </w:rPr>
      </w:pPr>
      <w:r>
        <w:rPr/>
        <w:pict>
          <v:shape style="position:absolute;margin-left:253.624115pt;margin-top:9.839343pt;width:2.550pt;height:8.35pt;mso-position-horizontal-relative:page;mso-position-vertical-relative:paragraph;z-index:-329536" type="#_x0000_t202" filled="false" stroked="false">
            <v:textbox inset="0,0,0,0">
              <w:txbxContent>
                <w:p>
                  <w:pPr>
                    <w:spacing w:line="166" w:lineRule="exact" w:before="0"/>
                    <w:ind w:left="0" w:right="0" w:firstLine="0"/>
                    <w:jc w:val="left"/>
                    <w:rPr>
                      <w:rFonts w:ascii="Times New Roman"/>
                      <w:sz w:val="16"/>
                    </w:rPr>
                  </w:pPr>
                  <w:r>
                    <w:rPr>
                      <w:rFonts w:ascii="Times New Roman"/>
                      <w:w w:val="113"/>
                      <w:sz w:val="16"/>
                    </w:rPr>
                    <w:t>j</w:t>
                  </w:r>
                </w:p>
              </w:txbxContent>
            </v:textbox>
            <w10:wrap type="none"/>
          </v:shape>
        </w:pict>
      </w:r>
      <w:r>
        <w:rPr>
          <w:rFonts w:ascii="Times New Roman" w:hAnsi="Times New Roman"/>
          <w:w w:val="110"/>
          <w:sz w:val="28"/>
        </w:rPr>
        <w:t>ΔV</w:t>
      </w:r>
      <w:r>
        <w:rPr>
          <w:rFonts w:ascii="Times New Roman" w:hAnsi="Times New Roman"/>
          <w:w w:val="110"/>
          <w:position w:val="-6"/>
          <w:sz w:val="16"/>
        </w:rPr>
        <w:t>k</w:t>
      </w:r>
    </w:p>
    <w:p>
      <w:pPr>
        <w:spacing w:before="78"/>
        <w:ind w:left="-6" w:right="-18" w:firstLine="0"/>
        <w:jc w:val="left"/>
        <w:rPr>
          <w:rFonts w:ascii="Symbol" w:hAnsi="Symbol"/>
          <w:sz w:val="28"/>
        </w:rPr>
      </w:pPr>
      <w:r>
        <w:rPr/>
        <w:br w:type="column"/>
      </w:r>
      <w:r>
        <w:rPr>
          <w:rFonts w:ascii="Symbol" w:hAnsi="Symbol"/>
          <w:spacing w:val="-30"/>
          <w:w w:val="69"/>
          <w:sz w:val="44"/>
        </w:rPr>
        <w:t></w:t>
      </w:r>
      <w:r>
        <w:rPr>
          <w:rFonts w:ascii="Times New Roman" w:hAnsi="Times New Roman"/>
          <w:w w:val="110"/>
          <w:sz w:val="28"/>
        </w:rPr>
        <w:t>c</w:t>
      </w:r>
      <w:r>
        <w:rPr>
          <w:rFonts w:ascii="Times New Roman" w:hAnsi="Times New Roman"/>
          <w:spacing w:val="30"/>
          <w:sz w:val="28"/>
        </w:rPr>
        <w:t> </w:t>
      </w:r>
      <w:r>
        <w:rPr>
          <w:rFonts w:ascii="Symbol" w:hAnsi="Symbol"/>
          <w:spacing w:val="21"/>
          <w:w w:val="69"/>
          <w:sz w:val="44"/>
        </w:rPr>
        <w:t></w:t>
      </w:r>
      <w:r>
        <w:rPr>
          <w:rFonts w:ascii="Symbol" w:hAnsi="Symbol"/>
          <w:w w:val="110"/>
          <w:sz w:val="28"/>
        </w:rPr>
        <w:t></w:t>
      </w:r>
      <w:r>
        <w:rPr>
          <w:rFonts w:ascii="Times New Roman" w:hAnsi="Times New Roman"/>
          <w:spacing w:val="-25"/>
          <w:sz w:val="28"/>
        </w:rPr>
        <w:t> </w:t>
      </w:r>
      <w:r>
        <w:rPr>
          <w:rFonts w:ascii="Symbol" w:hAnsi="Symbol"/>
          <w:spacing w:val="-5"/>
          <w:w w:val="61"/>
          <w:sz w:val="50"/>
        </w:rPr>
        <w:t></w:t>
      </w:r>
      <w:r>
        <w:rPr>
          <w:rFonts w:ascii="Times New Roman" w:hAnsi="Times New Roman"/>
          <w:w w:val="113"/>
          <w:position w:val="12"/>
          <w:sz w:val="16"/>
        </w:rPr>
        <w:t>i</w:t>
      </w:r>
      <w:r>
        <w:rPr>
          <w:rFonts w:ascii="Times New Roman" w:hAnsi="Times New Roman"/>
          <w:spacing w:val="-3"/>
          <w:position w:val="12"/>
          <w:sz w:val="16"/>
        </w:rPr>
        <w:t> </w:t>
      </w:r>
      <w:r>
        <w:rPr>
          <w:rFonts w:ascii="Times New Roman" w:hAnsi="Times New Roman"/>
          <w:w w:val="110"/>
          <w:sz w:val="28"/>
        </w:rPr>
        <w:t>V</w:t>
      </w:r>
      <w:r>
        <w:rPr>
          <w:rFonts w:ascii="Times New Roman" w:hAnsi="Times New Roman"/>
          <w:sz w:val="28"/>
        </w:rPr>
        <w:t> </w:t>
      </w:r>
      <w:r>
        <w:rPr>
          <w:rFonts w:ascii="Times New Roman" w:hAnsi="Times New Roman"/>
          <w:spacing w:val="1"/>
          <w:sz w:val="28"/>
        </w:rPr>
        <w:t> </w:t>
      </w:r>
      <w:r>
        <w:rPr>
          <w:rFonts w:ascii="Symbol" w:hAnsi="Symbol"/>
          <w:w w:val="110"/>
          <w:sz w:val="28"/>
        </w:rPr>
        <w:t></w:t>
      </w:r>
    </w:p>
    <w:p>
      <w:pPr>
        <w:spacing w:before="138"/>
        <w:ind w:left="89" w:right="0" w:firstLine="0"/>
        <w:jc w:val="left"/>
        <w:rPr>
          <w:rFonts w:ascii="Times New Roman" w:hAnsi="Times New Roman"/>
          <w:sz w:val="28"/>
        </w:rPr>
      </w:pPr>
      <w:r>
        <w:rPr/>
        <w:br w:type="column"/>
      </w:r>
      <w:r>
        <w:rPr>
          <w:rFonts w:ascii="Times New Roman" w:hAnsi="Times New Roman"/>
          <w:sz w:val="28"/>
        </w:rPr>
        <w:t>V </w:t>
      </w:r>
      <w:r>
        <w:rPr>
          <w:rFonts w:ascii="Symbol" w:hAnsi="Symbol"/>
          <w:sz w:val="44"/>
        </w:rPr>
        <w:t></w:t>
      </w:r>
      <w:r>
        <w:rPr>
          <w:rFonts w:ascii="Times New Roman" w:hAnsi="Times New Roman"/>
          <w:sz w:val="28"/>
        </w:rPr>
        <w:t>c</w:t>
      </w:r>
    </w:p>
    <w:p>
      <w:pPr>
        <w:tabs>
          <w:tab w:pos="477" w:val="left" w:leader="none"/>
        </w:tabs>
        <w:spacing w:before="78"/>
        <w:ind w:left="-9" w:right="0" w:firstLine="0"/>
        <w:jc w:val="left"/>
        <w:rPr>
          <w:rFonts w:ascii="Symbol" w:hAnsi="Symbol"/>
          <w:sz w:val="37"/>
        </w:rPr>
      </w:pPr>
      <w:r>
        <w:rPr/>
        <w:br w:type="column"/>
      </w:r>
      <w:r>
        <w:rPr>
          <w:rFonts w:ascii="Symbol" w:hAnsi="Symbol"/>
          <w:w w:val="90"/>
          <w:sz w:val="44"/>
        </w:rPr>
        <w:t></w:t>
      </w:r>
      <w:r>
        <w:rPr>
          <w:rFonts w:ascii="Times New Roman" w:hAnsi="Times New Roman"/>
          <w:spacing w:val="-55"/>
          <w:w w:val="90"/>
          <w:sz w:val="44"/>
        </w:rPr>
        <w:t> </w:t>
      </w:r>
      <w:r>
        <w:rPr>
          <w:rFonts w:ascii="Symbol" w:hAnsi="Symbol"/>
          <w:w w:val="90"/>
          <w:sz w:val="50"/>
        </w:rPr>
        <w:t></w:t>
      </w:r>
      <w:r>
        <w:rPr>
          <w:rFonts w:ascii="Times New Roman" w:hAnsi="Times New Roman"/>
          <w:w w:val="90"/>
          <w:sz w:val="50"/>
        </w:rPr>
        <w:tab/>
      </w:r>
      <w:r>
        <w:rPr>
          <w:rFonts w:ascii="Symbol" w:hAnsi="Symbol"/>
          <w:spacing w:val="-15"/>
          <w:w w:val="90"/>
          <w:sz w:val="37"/>
        </w:rPr>
        <w:t></w:t>
      </w:r>
      <w:r>
        <w:rPr>
          <w:rFonts w:ascii="Times New Roman" w:hAnsi="Times New Roman"/>
          <w:spacing w:val="-15"/>
          <w:w w:val="90"/>
          <w:sz w:val="28"/>
        </w:rPr>
        <w:t>17</w:t>
      </w:r>
      <w:r>
        <w:rPr>
          <w:rFonts w:ascii="Symbol" w:hAnsi="Symbol"/>
          <w:spacing w:val="-15"/>
          <w:w w:val="90"/>
          <w:sz w:val="37"/>
        </w:rPr>
        <w:t></w:t>
      </w:r>
    </w:p>
    <w:p>
      <w:pPr>
        <w:spacing w:after="0"/>
        <w:jc w:val="left"/>
        <w:rPr>
          <w:rFonts w:ascii="Symbol" w:hAnsi="Symbol"/>
          <w:sz w:val="37"/>
        </w:rPr>
        <w:sectPr>
          <w:pgSz w:w="12240" w:h="15840"/>
          <w:pgMar w:header="684" w:footer="1164" w:top="1380" w:bottom="1380" w:left="1440" w:right="1460"/>
          <w:cols w:num="4" w:equalWidth="0">
            <w:col w:w="3370" w:space="40"/>
            <w:col w:w="1363" w:space="40"/>
            <w:col w:w="684" w:space="40"/>
            <w:col w:w="3803"/>
          </w:cols>
        </w:sectPr>
      </w:pPr>
    </w:p>
    <w:p>
      <w:pPr>
        <w:pStyle w:val="BodyText"/>
        <w:rPr>
          <w:rFonts w:ascii="Symbol" w:hAnsi="Symbol"/>
          <w:sz w:val="20"/>
        </w:rPr>
      </w:pPr>
    </w:p>
    <w:p>
      <w:pPr>
        <w:pStyle w:val="BodyText"/>
        <w:spacing w:before="5"/>
        <w:rPr>
          <w:rFonts w:ascii="Symbol" w:hAnsi="Symbol"/>
          <w:sz w:val="18"/>
        </w:rPr>
      </w:pPr>
    </w:p>
    <w:p>
      <w:pPr>
        <w:spacing w:after="0"/>
        <w:rPr>
          <w:rFonts w:ascii="Symbol" w:hAnsi="Symbol"/>
          <w:sz w:val="18"/>
        </w:rPr>
        <w:sectPr>
          <w:type w:val="continuous"/>
          <w:pgSz w:w="12240" w:h="15840"/>
          <w:pgMar w:top="3080" w:bottom="2780" w:left="1440" w:right="1460"/>
        </w:sectPr>
      </w:pPr>
    </w:p>
    <w:p>
      <w:pPr>
        <w:spacing w:line="165" w:lineRule="exact" w:before="125"/>
        <w:ind w:left="0" w:right="0" w:firstLine="0"/>
        <w:jc w:val="right"/>
        <w:rPr>
          <w:rFonts w:ascii="Symbol" w:hAnsi="Symbol"/>
          <w:sz w:val="29"/>
        </w:rPr>
      </w:pPr>
      <w:r>
        <w:rPr/>
        <w:pict>
          <v:shape style="position:absolute;margin-left:82.911003pt;margin-top:644.832336pt;width:2.9pt;height:18.150pt;mso-position-horizontal-relative:page;mso-position-vertical-relative:paragraph;z-index:2584" coordorigin="1658,12897" coordsize="58,363" path="m6332,-838l6264,-642m6264,-642l6332,-446e" filled="false" stroked="true" strokeweight=".158354pt" strokecolor="#000000">
            <v:path arrowok="t"/>
            <w10:wrap type="none"/>
          </v:shape>
        </w:pict>
      </w:r>
      <w:r>
        <w:rPr/>
        <w:pict>
          <v:shape style="position:absolute;margin-left:2.388pt;margin-top:635.361328pt;width:2.9pt;height:17.05pt;mso-position-horizontal-relative:page;mso-position-vertical-relative:paragraph;z-index:2632" coordorigin="48,12707" coordsize="58,341" path="m4242,321l4165,524m4165,525l4242,728e" filled="false" stroked="true" strokeweight=".176509pt" strokecolor="#000000">
            <v:path arrowok="t"/>
            <w10:wrap type="none"/>
          </v:shape>
        </w:pict>
      </w:r>
      <w:r>
        <w:rPr/>
        <w:pict>
          <v:shape style="position:absolute;margin-left:35.522999pt;margin-top:635.361328pt;width:2.9pt;height:17.05pt;mso-position-horizontal-relative:page;mso-position-vertical-relative:paragraph;z-index:2656" coordorigin="710,12707" coordsize="58,341" path="m5044,321l5121,524m5121,525l5044,728e" filled="false" stroked="true" strokeweight=".176509pt" strokecolor="#000000">
            <v:path arrowok="t"/>
            <w10:wrap type="none"/>
          </v:shape>
        </w:pict>
      </w:r>
      <w:r>
        <w:rPr/>
        <w:pict>
          <v:shape style="position:absolute;margin-left:293.37442pt;margin-top:-32.275024pt;width:4.55pt;height:8.35pt;mso-position-horizontal-relative:page;mso-position-vertical-relative:paragraph;z-index:-329584" type="#_x0000_t202" filled="false" stroked="false">
            <v:textbox inset="0,0,0,0">
              <w:txbxContent>
                <w:p>
                  <w:pPr>
                    <w:spacing w:line="166" w:lineRule="exact" w:before="0"/>
                    <w:ind w:left="0" w:right="0" w:firstLine="0"/>
                    <w:jc w:val="left"/>
                    <w:rPr>
                      <w:rFonts w:ascii="Times New Roman"/>
                      <w:sz w:val="16"/>
                    </w:rPr>
                  </w:pPr>
                  <w:r>
                    <w:rPr>
                      <w:rFonts w:ascii="Times New Roman"/>
                      <w:w w:val="113"/>
                      <w:sz w:val="16"/>
                    </w:rPr>
                    <w:t>k</w:t>
                  </w:r>
                </w:p>
              </w:txbxContent>
            </v:textbox>
            <w10:wrap type="none"/>
          </v:shape>
        </w:pict>
      </w:r>
      <w:r>
        <w:rPr/>
        <w:pict>
          <v:shape style="position:absolute;margin-left:326.587372pt;margin-top:-32.275017pt;width:4.55pt;height:8.35pt;mso-position-horizontal-relative:page;mso-position-vertical-relative:paragraph;z-index:-329560" type="#_x0000_t202" filled="false" stroked="false">
            <v:textbox inset="0,0,0,0">
              <w:txbxContent>
                <w:p>
                  <w:pPr>
                    <w:spacing w:line="166" w:lineRule="exact" w:before="0"/>
                    <w:ind w:left="0" w:right="0" w:firstLine="0"/>
                    <w:jc w:val="left"/>
                    <w:rPr>
                      <w:rFonts w:ascii="Times New Roman"/>
                      <w:sz w:val="16"/>
                    </w:rPr>
                  </w:pPr>
                  <w:r>
                    <w:rPr>
                      <w:rFonts w:ascii="Times New Roman"/>
                      <w:w w:val="113"/>
                      <w:sz w:val="16"/>
                    </w:rPr>
                    <w:t>k</w:t>
                  </w:r>
                </w:p>
              </w:txbxContent>
            </v:textbox>
            <w10:wrap type="none"/>
          </v:shape>
        </w:pict>
      </w:r>
      <w:r>
        <w:rPr>
          <w:rFonts w:ascii="Times New Roman" w:hAnsi="Times New Roman"/>
          <w:sz w:val="29"/>
        </w:rPr>
        <w:t>V </w:t>
      </w:r>
      <w:r>
        <w:rPr>
          <w:rFonts w:ascii="Symbol" w:hAnsi="Symbol"/>
          <w:sz w:val="46"/>
        </w:rPr>
        <w:t></w:t>
      </w:r>
      <w:r>
        <w:rPr>
          <w:rFonts w:ascii="Times New Roman" w:hAnsi="Times New Roman"/>
          <w:sz w:val="29"/>
        </w:rPr>
        <w:t>c  </w:t>
      </w:r>
      <w:r>
        <w:rPr>
          <w:rFonts w:ascii="Symbol" w:hAnsi="Symbol"/>
          <w:sz w:val="46"/>
        </w:rPr>
        <w:t></w:t>
      </w:r>
      <w:r>
        <w:rPr>
          <w:rFonts w:ascii="Times New Roman" w:hAnsi="Times New Roman"/>
          <w:sz w:val="46"/>
        </w:rPr>
        <w:t> </w:t>
      </w:r>
      <w:r>
        <w:rPr>
          <w:rFonts w:ascii="Symbol" w:hAnsi="Symbol"/>
          <w:sz w:val="29"/>
        </w:rPr>
        <w:t></w:t>
      </w:r>
    </w:p>
    <w:p>
      <w:pPr>
        <w:tabs>
          <w:tab w:pos="963" w:val="left" w:leader="none"/>
        </w:tabs>
        <w:spacing w:line="270" w:lineRule="exact" w:before="52"/>
        <w:ind w:left="628" w:right="0" w:firstLine="0"/>
        <w:jc w:val="left"/>
        <w:rPr>
          <w:rFonts w:ascii="Times New Roman" w:hAnsi="Times New Roman"/>
          <w:sz w:val="12"/>
        </w:rPr>
      </w:pPr>
      <w:r>
        <w:rPr/>
        <w:br w:type="column"/>
      </w:r>
      <w:r>
        <w:rPr>
          <w:rFonts w:ascii="Symbol" w:hAnsi="Symbol"/>
          <w:w w:val="115"/>
          <w:position w:val="-8"/>
          <w:sz w:val="29"/>
        </w:rPr>
        <w:t></w:t>
      </w:r>
      <w:r>
        <w:rPr>
          <w:rFonts w:ascii="Times New Roman" w:hAnsi="Times New Roman"/>
          <w:w w:val="115"/>
          <w:position w:val="-8"/>
          <w:sz w:val="29"/>
        </w:rPr>
        <w:tab/>
      </w:r>
      <w:r>
        <w:rPr>
          <w:rFonts w:ascii="Times New Roman" w:hAnsi="Times New Roman"/>
          <w:w w:val="115"/>
          <w:sz w:val="17"/>
        </w:rPr>
        <w:t>n</w:t>
      </w:r>
      <w:r>
        <w:rPr>
          <w:rFonts w:ascii="Times New Roman" w:hAnsi="Times New Roman"/>
          <w:spacing w:val="-24"/>
          <w:w w:val="115"/>
          <w:sz w:val="17"/>
        </w:rPr>
        <w:t> </w:t>
      </w:r>
      <w:r>
        <w:rPr>
          <w:rFonts w:ascii="Times New Roman" w:hAnsi="Times New Roman"/>
          <w:w w:val="115"/>
          <w:position w:val="-3"/>
          <w:sz w:val="12"/>
        </w:rPr>
        <w:t>j</w:t>
      </w:r>
    </w:p>
    <w:p>
      <w:pPr>
        <w:spacing w:line="32" w:lineRule="exact" w:before="0"/>
        <w:ind w:left="628" w:right="0" w:firstLine="0"/>
        <w:jc w:val="left"/>
        <w:rPr>
          <w:rFonts w:ascii="Symbol" w:hAnsi="Symbol"/>
          <w:sz w:val="29"/>
        </w:rPr>
      </w:pPr>
      <w:r>
        <w:rPr/>
        <w:pict>
          <v:shape style="position:absolute;margin-left:288.133667pt;margin-top:-5.814429pt;width:8.25pt;height:14.85pt;mso-position-horizontal-relative:page;mso-position-vertical-relative:paragraph;z-index:-329488" type="#_x0000_t202" filled="false" stroked="false">
            <v:textbox inset="0,0,0,0">
              <w:txbxContent>
                <w:p>
                  <w:pPr>
                    <w:spacing w:line="296" w:lineRule="exact" w:before="0"/>
                    <w:ind w:left="0" w:right="0" w:firstLine="0"/>
                    <w:jc w:val="left"/>
                    <w:rPr>
                      <w:rFonts w:ascii="Times New Roman"/>
                      <w:sz w:val="29"/>
                    </w:rPr>
                  </w:pPr>
                  <w:r>
                    <w:rPr>
                      <w:rFonts w:ascii="Times New Roman"/>
                      <w:w w:val="113"/>
                      <w:sz w:val="29"/>
                    </w:rPr>
                    <w:t>1</w:t>
                  </w:r>
                </w:p>
              </w:txbxContent>
            </v:textbox>
            <w10:wrap type="none"/>
          </v:shape>
        </w:pict>
      </w:r>
      <w:r>
        <w:rPr/>
        <w:pict>
          <v:shape style="position:absolute;margin-left:285.242889pt;margin-top:13.944858pt;width:8.25pt;height:14.85pt;mso-position-horizontal-relative:page;mso-position-vertical-relative:paragraph;z-index:-329464" type="#_x0000_t202" filled="false" stroked="false">
            <v:textbox inset="0,0,0,0">
              <w:txbxContent>
                <w:p>
                  <w:pPr>
                    <w:spacing w:line="296" w:lineRule="exact" w:before="0"/>
                    <w:ind w:left="0" w:right="0" w:firstLine="0"/>
                    <w:jc w:val="left"/>
                    <w:rPr>
                      <w:rFonts w:ascii="Times New Roman"/>
                      <w:sz w:val="29"/>
                    </w:rPr>
                  </w:pPr>
                  <w:r>
                    <w:rPr>
                      <w:rFonts w:ascii="Times New Roman"/>
                      <w:w w:val="113"/>
                      <w:sz w:val="29"/>
                    </w:rPr>
                    <w:t>n</w:t>
                  </w:r>
                </w:p>
              </w:txbxContent>
            </v:textbox>
            <w10:wrap type="none"/>
          </v:shape>
        </w:pict>
      </w:r>
      <w:r>
        <w:rPr>
          <w:rFonts w:ascii="Symbol" w:hAnsi="Symbol"/>
          <w:w w:val="113"/>
          <w:sz w:val="29"/>
        </w:rPr>
        <w:t></w:t>
      </w:r>
    </w:p>
    <w:p>
      <w:pPr>
        <w:spacing w:line="270" w:lineRule="exact" w:before="52"/>
        <w:ind w:left="0" w:right="0" w:firstLine="0"/>
        <w:jc w:val="right"/>
        <w:rPr>
          <w:rFonts w:ascii="Symbol" w:hAnsi="Symbol"/>
          <w:sz w:val="29"/>
        </w:rPr>
      </w:pPr>
      <w:r>
        <w:rPr/>
        <w:br w:type="column"/>
      </w:r>
      <w:r>
        <w:rPr>
          <w:rFonts w:ascii="Symbol" w:hAnsi="Symbol"/>
          <w:w w:val="110"/>
          <w:sz w:val="29"/>
        </w:rPr>
        <w:t></w:t>
      </w:r>
    </w:p>
    <w:p>
      <w:pPr>
        <w:spacing w:line="33" w:lineRule="exact" w:before="0"/>
        <w:ind w:left="0" w:right="0" w:firstLine="0"/>
        <w:jc w:val="right"/>
        <w:rPr>
          <w:rFonts w:ascii="Symbol" w:hAnsi="Symbol"/>
          <w:sz w:val="29"/>
        </w:rPr>
      </w:pPr>
      <w:r>
        <w:rPr/>
        <w:pict>
          <v:shape style="position:absolute;margin-left:116.220001pt;margin-top:630.350403pt;width:2.9pt;height:18.150pt;mso-position-horizontal-relative:page;mso-position-vertical-relative:paragraph;z-index:2608" coordorigin="2324,12607" coordsize="58,363" path="m7050,-1128l7117,-932m7117,-932l7050,-736e" filled="false" stroked="true" strokeweight=".158354pt" strokecolor="#000000">
            <v:path arrowok="t"/>
            <w10:wrap type="none"/>
          </v:shape>
        </w:pict>
      </w:r>
      <w:r>
        <w:rPr/>
        <w:pict>
          <v:shape style="position:absolute;margin-left:344.268829pt;margin-top:-46.756927pt;width:2.550pt;height:8.35pt;mso-position-horizontal-relative:page;mso-position-vertical-relative:paragraph;z-index:2752" type="#_x0000_t202" filled="false" stroked="false">
            <v:textbox inset="0,0,0,0">
              <w:txbxContent>
                <w:p>
                  <w:pPr>
                    <w:spacing w:line="166" w:lineRule="exact" w:before="0"/>
                    <w:ind w:left="0" w:right="0" w:firstLine="0"/>
                    <w:jc w:val="left"/>
                    <w:rPr>
                      <w:rFonts w:ascii="Times New Roman"/>
                      <w:sz w:val="16"/>
                    </w:rPr>
                  </w:pPr>
                  <w:r>
                    <w:rPr>
                      <w:rFonts w:ascii="Times New Roman"/>
                      <w:w w:val="113"/>
                      <w:sz w:val="16"/>
                    </w:rPr>
                    <w:t>j</w:t>
                  </w:r>
                </w:p>
              </w:txbxContent>
            </v:textbox>
            <w10:wrap type="none"/>
          </v:shape>
        </w:pict>
      </w:r>
      <w:r>
        <w:rPr>
          <w:rFonts w:ascii="Times New Roman" w:hAnsi="Times New Roman"/>
          <w:w w:val="115"/>
          <w:sz w:val="17"/>
        </w:rPr>
        <w:t>i </w:t>
      </w:r>
      <w:r>
        <w:rPr>
          <w:rFonts w:ascii="Times New Roman" w:hAnsi="Times New Roman"/>
          <w:w w:val="115"/>
          <w:position w:val="-12"/>
          <w:sz w:val="29"/>
        </w:rPr>
        <w:t>V </w:t>
      </w:r>
      <w:r>
        <w:rPr>
          <w:rFonts w:ascii="Symbol" w:hAnsi="Symbol"/>
          <w:w w:val="115"/>
          <w:position w:val="-6"/>
          <w:sz w:val="29"/>
        </w:rPr>
        <w:t></w:t>
      </w:r>
    </w:p>
    <w:p>
      <w:pPr>
        <w:spacing w:line="94" w:lineRule="exact" w:before="196"/>
        <w:ind w:left="254" w:right="0" w:firstLine="0"/>
        <w:jc w:val="left"/>
        <w:rPr>
          <w:rFonts w:ascii="Symbol" w:hAnsi="Symbol"/>
          <w:sz w:val="39"/>
        </w:rPr>
      </w:pPr>
      <w:r>
        <w:rPr/>
        <w:br w:type="column"/>
      </w:r>
      <w:r>
        <w:rPr>
          <w:rFonts w:ascii="Symbol" w:hAnsi="Symbol"/>
          <w:sz w:val="39"/>
        </w:rPr>
        <w:t></w:t>
      </w:r>
      <w:r>
        <w:rPr>
          <w:rFonts w:ascii="Times New Roman" w:hAnsi="Times New Roman"/>
          <w:sz w:val="29"/>
        </w:rPr>
        <w:t>18</w:t>
      </w:r>
      <w:r>
        <w:rPr>
          <w:rFonts w:ascii="Symbol" w:hAnsi="Symbol"/>
          <w:sz w:val="39"/>
        </w:rPr>
        <w:t></w:t>
      </w:r>
    </w:p>
    <w:p>
      <w:pPr>
        <w:spacing w:after="0" w:line="94" w:lineRule="exact"/>
        <w:jc w:val="left"/>
        <w:rPr>
          <w:rFonts w:ascii="Symbol" w:hAnsi="Symbol"/>
          <w:sz w:val="39"/>
        </w:rPr>
        <w:sectPr>
          <w:type w:val="continuous"/>
          <w:pgSz w:w="12240" w:h="15840"/>
          <w:pgMar w:top="3080" w:bottom="2780" w:left="1440" w:right="1460"/>
          <w:cols w:num="4" w:equalWidth="0">
            <w:col w:w="3938" w:space="40"/>
            <w:col w:w="1126" w:space="40"/>
            <w:col w:w="728" w:space="40"/>
            <w:col w:w="3428"/>
          </w:cols>
        </w:sectPr>
      </w:pPr>
    </w:p>
    <w:p>
      <w:pPr>
        <w:pStyle w:val="BodyText"/>
        <w:spacing w:before="4"/>
        <w:rPr>
          <w:rFonts w:ascii="Symbol" w:hAnsi="Symbol"/>
          <w:sz w:val="16"/>
        </w:rPr>
      </w:pPr>
    </w:p>
    <w:p>
      <w:pPr>
        <w:pStyle w:val="BodyText"/>
        <w:spacing w:line="20" w:lineRule="exact"/>
        <w:ind w:left="4251"/>
        <w:rPr>
          <w:rFonts w:ascii="Symbol" w:hAnsi="Symbol"/>
          <w:sz w:val="2"/>
        </w:rPr>
      </w:pPr>
      <w:r>
        <w:rPr>
          <w:rFonts w:ascii="Symbol" w:hAnsi="Symbol"/>
          <w:sz w:val="2"/>
        </w:rPr>
        <w:pict>
          <v:group style="width:16.05pt;height:.2pt;mso-position-horizontal-relative:char;mso-position-vertical-relative:line" coordorigin="0,0" coordsize="321,4">
            <v:line style="position:absolute" from="2,2" to="319,2" stroked="true" strokeweight=".167203pt" strokecolor="#000000"/>
          </v:group>
        </w:pict>
      </w:r>
      <w:r>
        <w:rPr>
          <w:rFonts w:ascii="Symbol" w:hAnsi="Symbol"/>
          <w:sz w:val="2"/>
        </w:rPr>
      </w:r>
    </w:p>
    <w:p>
      <w:pPr>
        <w:tabs>
          <w:tab w:pos="396" w:val="left" w:leader="none"/>
          <w:tab w:pos="1579" w:val="left" w:leader="none"/>
        </w:tabs>
        <w:spacing w:line="182" w:lineRule="exact" w:before="0"/>
        <w:ind w:left="0" w:right="0" w:firstLine="0"/>
        <w:jc w:val="right"/>
        <w:rPr>
          <w:rFonts w:ascii="Symbol" w:hAnsi="Symbol"/>
          <w:sz w:val="29"/>
        </w:rPr>
      </w:pPr>
      <w:r>
        <w:rPr>
          <w:rFonts w:ascii="Times New Roman" w:hAnsi="Times New Roman"/>
          <w:w w:val="115"/>
          <w:sz w:val="17"/>
        </w:rPr>
        <w:t>k</w:t>
        <w:tab/>
        <w:t>j</w:t>
        <w:tab/>
      </w:r>
      <w:r>
        <w:rPr>
          <w:rFonts w:ascii="Symbol" w:hAnsi="Symbol"/>
          <w:spacing w:val="-1"/>
          <w:w w:val="110"/>
          <w:position w:val="-8"/>
          <w:sz w:val="29"/>
        </w:rPr>
        <w:t></w:t>
      </w:r>
    </w:p>
    <w:p>
      <w:pPr>
        <w:spacing w:line="268" w:lineRule="exact" w:before="0"/>
        <w:ind w:left="0" w:right="0" w:firstLine="0"/>
        <w:jc w:val="right"/>
        <w:rPr>
          <w:rFonts w:ascii="Symbol" w:hAnsi="Symbol"/>
          <w:sz w:val="29"/>
        </w:rPr>
      </w:pPr>
      <w:r>
        <w:rPr>
          <w:rFonts w:ascii="Times New Roman" w:hAnsi="Times New Roman"/>
          <w:w w:val="115"/>
          <w:sz w:val="17"/>
        </w:rPr>
        <w:t>j </w:t>
      </w:r>
      <w:r>
        <w:rPr>
          <w:rFonts w:ascii="Symbol" w:hAnsi="Symbol"/>
          <w:w w:val="115"/>
          <w:position w:val="-4"/>
          <w:sz w:val="29"/>
        </w:rPr>
        <w:t></w:t>
      </w:r>
    </w:p>
    <w:p>
      <w:pPr>
        <w:tabs>
          <w:tab w:pos="808" w:val="left" w:leader="none"/>
        </w:tabs>
        <w:spacing w:line="404" w:lineRule="exact" w:before="0"/>
        <w:ind w:left="85" w:right="0" w:firstLine="0"/>
        <w:jc w:val="left"/>
        <w:rPr>
          <w:rFonts w:ascii="Symbol" w:hAnsi="Symbol"/>
          <w:sz w:val="29"/>
        </w:rPr>
      </w:pPr>
      <w:r>
        <w:rPr/>
        <w:br w:type="column"/>
      </w:r>
      <w:r>
        <w:rPr>
          <w:rFonts w:ascii="Symbol" w:hAnsi="Symbol"/>
          <w:w w:val="115"/>
          <w:position w:val="1"/>
          <w:sz w:val="44"/>
        </w:rPr>
        <w:t></w:t>
      </w:r>
      <w:r>
        <w:rPr>
          <w:rFonts w:ascii="Times New Roman" w:hAnsi="Times New Roman"/>
          <w:w w:val="115"/>
          <w:position w:val="1"/>
          <w:sz w:val="44"/>
        </w:rPr>
        <w:tab/>
      </w:r>
      <w:r>
        <w:rPr>
          <w:rFonts w:ascii="Times New Roman" w:hAnsi="Times New Roman"/>
          <w:w w:val="115"/>
          <w:sz w:val="17"/>
        </w:rPr>
        <w:t>k</w:t>
      </w:r>
      <w:r>
        <w:rPr>
          <w:rFonts w:ascii="Times New Roman" w:hAnsi="Times New Roman"/>
          <w:spacing w:val="15"/>
          <w:w w:val="115"/>
          <w:sz w:val="17"/>
        </w:rPr>
        <w:t> </w:t>
      </w:r>
      <w:r>
        <w:rPr>
          <w:rFonts w:ascii="Symbol" w:hAnsi="Symbol"/>
          <w:w w:val="115"/>
          <w:position w:val="-8"/>
          <w:sz w:val="29"/>
        </w:rPr>
        <w:t></w:t>
      </w:r>
    </w:p>
    <w:p>
      <w:pPr>
        <w:tabs>
          <w:tab w:pos="972" w:val="left" w:leader="none"/>
        </w:tabs>
        <w:spacing w:line="268" w:lineRule="exact" w:before="0"/>
        <w:ind w:left="-4" w:right="0" w:firstLine="0"/>
        <w:jc w:val="left"/>
        <w:rPr>
          <w:rFonts w:ascii="Symbol" w:hAnsi="Symbol"/>
          <w:sz w:val="29"/>
        </w:rPr>
      </w:pPr>
      <w:r>
        <w:rPr>
          <w:rFonts w:ascii="Times New Roman" w:hAnsi="Times New Roman"/>
          <w:w w:val="115"/>
          <w:sz w:val="17"/>
        </w:rPr>
        <w:t>m</w:t>
      </w:r>
      <w:r>
        <w:rPr>
          <w:rFonts w:ascii="Times New Roman" w:hAnsi="Times New Roman"/>
          <w:w w:val="115"/>
          <w:position w:val="-3"/>
          <w:sz w:val="12"/>
        </w:rPr>
        <w:t>i</w:t>
      </w:r>
      <w:r>
        <w:rPr>
          <w:rFonts w:ascii="Times New Roman" w:hAnsi="Times New Roman"/>
          <w:spacing w:val="-6"/>
          <w:w w:val="115"/>
          <w:position w:val="-3"/>
          <w:sz w:val="12"/>
        </w:rPr>
        <w:t> </w:t>
      </w:r>
      <w:r>
        <w:rPr>
          <w:rFonts w:ascii="Symbol" w:hAnsi="Symbol"/>
          <w:spacing w:val="8"/>
          <w:w w:val="115"/>
          <w:sz w:val="17"/>
        </w:rPr>
        <w:t></w:t>
      </w:r>
      <w:r>
        <w:rPr>
          <w:rFonts w:ascii="Times New Roman" w:hAnsi="Times New Roman"/>
          <w:spacing w:val="8"/>
          <w:w w:val="115"/>
          <w:sz w:val="17"/>
        </w:rPr>
        <w:t>c</w:t>
      </w:r>
      <w:r>
        <w:rPr>
          <w:rFonts w:ascii="Times New Roman" w:hAnsi="Times New Roman"/>
          <w:spacing w:val="8"/>
          <w:w w:val="115"/>
          <w:position w:val="-3"/>
          <w:sz w:val="12"/>
        </w:rPr>
        <w:t>j</w:t>
        <w:tab/>
      </w:r>
      <w:r>
        <w:rPr>
          <w:rFonts w:ascii="Symbol" w:hAnsi="Symbol"/>
          <w:w w:val="115"/>
          <w:position w:val="-6"/>
          <w:sz w:val="29"/>
        </w:rPr>
        <w:t></w:t>
      </w:r>
    </w:p>
    <w:p>
      <w:pPr>
        <w:spacing w:after="0" w:line="268" w:lineRule="exact"/>
        <w:jc w:val="left"/>
        <w:rPr>
          <w:rFonts w:ascii="Symbol" w:hAnsi="Symbol"/>
          <w:sz w:val="29"/>
        </w:rPr>
        <w:sectPr>
          <w:type w:val="continuous"/>
          <w:pgSz w:w="12240" w:h="15840"/>
          <w:pgMar w:top="3080" w:bottom="2780" w:left="1440" w:right="1460"/>
          <w:cols w:num="2" w:equalWidth="0">
            <w:col w:w="4733" w:space="40"/>
            <w:col w:w="4567"/>
          </w:cols>
        </w:sectPr>
      </w:pPr>
    </w:p>
    <w:p>
      <w:pPr>
        <w:pStyle w:val="BodyText"/>
        <w:rPr>
          <w:rFonts w:ascii="Symbol" w:hAnsi="Symbol"/>
          <w:sz w:val="20"/>
        </w:rPr>
      </w:pPr>
    </w:p>
    <w:p>
      <w:pPr>
        <w:pStyle w:val="BodyText"/>
        <w:spacing w:line="362" w:lineRule="auto" w:before="205"/>
        <w:ind w:left="3947" w:right="711" w:hanging="3208"/>
      </w:pPr>
      <w:r>
        <w:rPr>
          <w:b/>
          <w:position w:val="2"/>
        </w:rPr>
        <w:t>Table 2. </w:t>
      </w:r>
      <w:r>
        <w:rPr>
          <w:position w:val="2"/>
        </w:rPr>
        <w:t>Average values of input variables (&lt;V</w:t>
      </w:r>
      <w:r>
        <w:rPr>
          <w:sz w:val="16"/>
        </w:rPr>
        <w:t>k</w:t>
      </w:r>
      <w:r>
        <w:rPr>
          <w:position w:val="2"/>
        </w:rPr>
        <w:t>&gt;) for experimental boundary conditions (c</w:t>
      </w:r>
      <w:r>
        <w:rPr>
          <w:sz w:val="16"/>
        </w:rPr>
        <w:t>j</w:t>
      </w:r>
      <w:r>
        <w:rPr>
          <w:position w:val="2"/>
        </w:rPr>
        <w:t>)</w:t>
      </w:r>
    </w:p>
    <w:p>
      <w:pPr>
        <w:pStyle w:val="BodyText"/>
        <w:spacing w:before="1"/>
        <w:rPr>
          <w:sz w:val="23"/>
        </w:rPr>
      </w:pPr>
    </w:p>
    <w:p>
      <w:pPr>
        <w:pStyle w:val="BodyText"/>
        <w:spacing w:line="29" w:lineRule="exact"/>
        <w:ind w:left="480"/>
        <w:rPr>
          <w:sz w:val="2"/>
        </w:rPr>
      </w:pPr>
      <w:r>
        <w:rPr>
          <w:position w:val="0"/>
          <w:sz w:val="2"/>
        </w:rPr>
        <w:pict>
          <v:group style="width:419.95pt;height:1.45pt;mso-position-horizontal-relative:char;mso-position-vertical-relative:line" coordorigin="0,0" coordsize="8399,29">
            <v:line style="position:absolute" from="15,15" to="2684,15" stroked="true" strokeweight="1.44pt" strokecolor="#000000"/>
            <v:line style="position:absolute" from="2684,15" to="2713,15" stroked="true" strokeweight="1.44pt" strokecolor="#000000"/>
            <v:line style="position:absolute" from="2713,15" to="7155,15" stroked="true" strokeweight="1.44pt" strokecolor="#000000"/>
            <v:line style="position:absolute" from="7155,15" to="7184,15" stroked="true" strokeweight="1.44pt" strokecolor="#000000"/>
            <v:line style="position:absolute" from="7184,15" to="8384,15" stroked="true" strokeweight="1.44pt" strokecolor="#000000"/>
          </v:group>
        </w:pict>
      </w:r>
      <w:r>
        <w:rPr>
          <w:position w:val="0"/>
          <w:sz w:val="2"/>
        </w:rPr>
      </w:r>
    </w:p>
    <w:p>
      <w:pPr>
        <w:spacing w:after="0" w:line="29" w:lineRule="exact"/>
        <w:rPr>
          <w:sz w:val="2"/>
        </w:rPr>
        <w:sectPr>
          <w:type w:val="continuous"/>
          <w:pgSz w:w="12240" w:h="15840"/>
          <w:pgMar w:top="3080" w:bottom="2780" w:left="1440" w:right="1460"/>
        </w:sectPr>
      </w:pPr>
    </w:p>
    <w:p>
      <w:pPr>
        <w:spacing w:line="360" w:lineRule="auto" w:before="11"/>
        <w:ind w:left="1436" w:right="-17" w:hanging="591"/>
        <w:jc w:val="left"/>
        <w:rPr>
          <w:b/>
          <w:sz w:val="18"/>
        </w:rPr>
      </w:pPr>
      <w:r>
        <w:rPr>
          <w:b/>
          <w:sz w:val="18"/>
        </w:rPr>
        <w:t>Experimental boundary condition</w:t>
      </w:r>
    </w:p>
    <w:p>
      <w:pPr>
        <w:pStyle w:val="BodyText"/>
        <w:spacing w:before="5"/>
        <w:rPr>
          <w:b/>
          <w:sz w:val="14"/>
        </w:rPr>
      </w:pPr>
      <w:r>
        <w:rPr/>
        <w:br w:type="column"/>
      </w:r>
      <w:r>
        <w:rPr>
          <w:b/>
          <w:sz w:val="14"/>
        </w:rPr>
      </w:r>
    </w:p>
    <w:p>
      <w:pPr>
        <w:tabs>
          <w:tab w:pos="5118" w:val="left" w:leader="none"/>
        </w:tabs>
        <w:spacing w:before="0"/>
        <w:ind w:left="503" w:right="0" w:firstLine="0"/>
        <w:jc w:val="left"/>
        <w:rPr>
          <w:b/>
          <w:i/>
          <w:sz w:val="12"/>
        </w:rPr>
      </w:pPr>
      <w:r>
        <w:rPr>
          <w:b/>
          <w:position w:val="1"/>
          <w:sz w:val="18"/>
        </w:rPr>
        <w:t>Average eigenvalues of input variables</w:t>
      </w:r>
      <w:r>
        <w:rPr>
          <w:b/>
          <w:spacing w:val="-17"/>
          <w:position w:val="1"/>
          <w:sz w:val="18"/>
        </w:rPr>
        <w:t> </w:t>
      </w:r>
      <w:r>
        <w:rPr>
          <w:b/>
          <w:position w:val="1"/>
          <w:sz w:val="18"/>
        </w:rPr>
        <w:t>&lt;V</w:t>
      </w:r>
      <w:r>
        <w:rPr>
          <w:b/>
          <w:sz w:val="12"/>
        </w:rPr>
        <w:t>k</w:t>
      </w:r>
      <w:r>
        <w:rPr>
          <w:b/>
          <w:position w:val="1"/>
          <w:sz w:val="18"/>
        </w:rPr>
        <w:t>(c</w:t>
      </w:r>
      <w:r>
        <w:rPr>
          <w:b/>
          <w:sz w:val="12"/>
        </w:rPr>
        <w:t>j</w:t>
      </w:r>
      <w:r>
        <w:rPr>
          <w:b/>
          <w:position w:val="1"/>
          <w:sz w:val="18"/>
        </w:rPr>
        <w:t>)&gt; </w:t>
      </w:r>
      <w:r>
        <w:rPr>
          <w:b/>
          <w:i/>
          <w:position w:val="5"/>
          <w:sz w:val="12"/>
        </w:rPr>
        <w:t>aa</w:t>
        <w:tab/>
      </w:r>
      <w:r>
        <w:rPr>
          <w:b/>
          <w:i/>
          <w:position w:val="1"/>
          <w:sz w:val="18"/>
        </w:rPr>
        <w:t>p</w:t>
      </w:r>
      <w:r>
        <w:rPr>
          <w:b/>
          <w:position w:val="1"/>
          <w:sz w:val="18"/>
        </w:rPr>
        <w:t>(c</w:t>
      </w:r>
      <w:r>
        <w:rPr>
          <w:b/>
          <w:sz w:val="12"/>
        </w:rPr>
        <w:t>j</w:t>
      </w:r>
      <w:r>
        <w:rPr>
          <w:b/>
          <w:position w:val="1"/>
          <w:sz w:val="18"/>
        </w:rPr>
        <w:t>)</w:t>
      </w:r>
      <w:r>
        <w:rPr>
          <w:b/>
          <w:spacing w:val="-4"/>
          <w:position w:val="1"/>
          <w:sz w:val="18"/>
        </w:rPr>
        <w:t> </w:t>
      </w:r>
      <w:r>
        <w:rPr>
          <w:b/>
          <w:i/>
          <w:position w:val="5"/>
          <w:sz w:val="12"/>
        </w:rPr>
        <w:t>ab</w:t>
      </w:r>
    </w:p>
    <w:p>
      <w:pPr>
        <w:spacing w:after="0"/>
        <w:jc w:val="left"/>
        <w:rPr>
          <w:sz w:val="12"/>
        </w:rPr>
        <w:sectPr>
          <w:type w:val="continuous"/>
          <w:pgSz w:w="12240" w:h="15840"/>
          <w:pgMar w:top="3080" w:bottom="2780" w:left="1440" w:right="1460"/>
          <w:cols w:num="2" w:equalWidth="0">
            <w:col w:w="2819" w:space="40"/>
            <w:col w:w="6481"/>
          </w:cols>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3"/>
        <w:rPr>
          <w:b/>
          <w:i/>
          <w:sz w:val="21"/>
        </w:rPr>
      </w:pPr>
    </w:p>
    <w:p>
      <w:pPr>
        <w:spacing w:before="0"/>
        <w:ind w:left="500" w:right="0" w:firstLine="0"/>
        <w:jc w:val="left"/>
        <w:rPr>
          <w:i/>
          <w:sz w:val="12"/>
        </w:rPr>
      </w:pPr>
      <w:r>
        <w:rPr/>
        <w:pict>
          <v:shape style="position:absolute;margin-left:96.767998pt;margin-top:-223.118256pt;width:418.5pt;height:427.85pt;mso-position-horizontal-relative:page;mso-position-vertical-relative:paragraph;z-index:28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1"/>
                    <w:gridCol w:w="1549"/>
                    <w:gridCol w:w="766"/>
                    <w:gridCol w:w="833"/>
                    <w:gridCol w:w="783"/>
                    <w:gridCol w:w="766"/>
                    <w:gridCol w:w="672"/>
                    <w:gridCol w:w="660"/>
                    <w:gridCol w:w="1052"/>
                    <w:gridCol w:w="67"/>
                  </w:tblGrid>
                  <w:tr>
                    <w:trPr>
                      <w:trHeight w:val="337" w:hRule="exact"/>
                    </w:trPr>
                    <w:tc>
                      <w:tcPr>
                        <w:tcW w:w="1221" w:type="dxa"/>
                        <w:tcBorders>
                          <w:left w:val="nil"/>
                          <w:right w:val="nil"/>
                        </w:tcBorders>
                      </w:tcPr>
                      <w:p>
                        <w:pPr>
                          <w:pStyle w:val="TableParagraph"/>
                          <w:spacing w:before="6"/>
                          <w:ind w:left="4"/>
                          <w:rPr>
                            <w:rFonts w:ascii="Cambria"/>
                            <w:sz w:val="18"/>
                          </w:rPr>
                        </w:pPr>
                        <w:r>
                          <w:rPr>
                            <w:rFonts w:ascii="Cambria"/>
                            <w:position w:val="1"/>
                            <w:sz w:val="18"/>
                          </w:rPr>
                          <w:t>Conditions (c</w:t>
                        </w:r>
                        <w:r>
                          <w:rPr>
                            <w:rFonts w:ascii="Cambria"/>
                            <w:sz w:val="12"/>
                          </w:rPr>
                          <w:t>j</w:t>
                        </w:r>
                        <w:r>
                          <w:rPr>
                            <w:rFonts w:ascii="Cambria"/>
                            <w:position w:val="1"/>
                            <w:sz w:val="18"/>
                          </w:rPr>
                          <w:t>)</w:t>
                        </w:r>
                      </w:p>
                    </w:tc>
                    <w:tc>
                      <w:tcPr>
                        <w:tcW w:w="1549" w:type="dxa"/>
                        <w:tcBorders>
                          <w:left w:val="nil"/>
                          <w:right w:val="nil"/>
                        </w:tcBorders>
                      </w:tcPr>
                      <w:p>
                        <w:pPr>
                          <w:pStyle w:val="TableParagraph"/>
                          <w:spacing w:before="7"/>
                          <w:ind w:left="94"/>
                          <w:rPr>
                            <w:rFonts w:ascii="Cambria"/>
                            <w:sz w:val="18"/>
                          </w:rPr>
                        </w:pPr>
                        <w:r>
                          <w:rPr>
                            <w:rFonts w:ascii="Cambria"/>
                            <w:sz w:val="18"/>
                          </w:rPr>
                          <w:t>level</w:t>
                        </w:r>
                      </w:p>
                    </w:tc>
                    <w:tc>
                      <w:tcPr>
                        <w:tcW w:w="766" w:type="dxa"/>
                        <w:tcBorders>
                          <w:left w:val="nil"/>
                          <w:right w:val="nil"/>
                        </w:tcBorders>
                      </w:tcPr>
                      <w:p>
                        <w:pPr>
                          <w:pStyle w:val="TableParagraph"/>
                          <w:spacing w:before="6"/>
                          <w:ind w:left="99" w:right="186"/>
                          <w:jc w:val="center"/>
                          <w:rPr>
                            <w:rFonts w:ascii="Cambria"/>
                            <w:sz w:val="12"/>
                          </w:rPr>
                        </w:pPr>
                        <w:r>
                          <w:rPr>
                            <w:rFonts w:ascii="Cambria"/>
                            <w:position w:val="1"/>
                            <w:sz w:val="18"/>
                          </w:rPr>
                          <w:t>V</w:t>
                        </w:r>
                        <w:r>
                          <w:rPr>
                            <w:rFonts w:ascii="Cambria"/>
                            <w:sz w:val="12"/>
                          </w:rPr>
                          <w:t>1</w:t>
                        </w:r>
                      </w:p>
                    </w:tc>
                    <w:tc>
                      <w:tcPr>
                        <w:tcW w:w="833" w:type="dxa"/>
                        <w:tcBorders>
                          <w:left w:val="nil"/>
                          <w:right w:val="nil"/>
                        </w:tcBorders>
                      </w:tcPr>
                      <w:p>
                        <w:pPr>
                          <w:pStyle w:val="TableParagraph"/>
                          <w:spacing w:before="6"/>
                          <w:ind w:left="319" w:right="299"/>
                          <w:jc w:val="center"/>
                          <w:rPr>
                            <w:rFonts w:ascii="Cambria"/>
                            <w:sz w:val="12"/>
                          </w:rPr>
                        </w:pPr>
                        <w:r>
                          <w:rPr>
                            <w:rFonts w:ascii="Cambria"/>
                            <w:position w:val="1"/>
                            <w:sz w:val="18"/>
                          </w:rPr>
                          <w:t>V</w:t>
                        </w:r>
                        <w:r>
                          <w:rPr>
                            <w:rFonts w:ascii="Cambria"/>
                            <w:sz w:val="12"/>
                          </w:rPr>
                          <w:t>2</w:t>
                        </w:r>
                      </w:p>
                    </w:tc>
                    <w:tc>
                      <w:tcPr>
                        <w:tcW w:w="783" w:type="dxa"/>
                        <w:tcBorders>
                          <w:left w:val="nil"/>
                          <w:right w:val="nil"/>
                        </w:tcBorders>
                      </w:tcPr>
                      <w:p>
                        <w:pPr>
                          <w:pStyle w:val="TableParagraph"/>
                          <w:spacing w:before="6"/>
                          <w:ind w:left="165" w:right="137"/>
                          <w:jc w:val="center"/>
                          <w:rPr>
                            <w:rFonts w:ascii="Cambria"/>
                            <w:sz w:val="12"/>
                          </w:rPr>
                        </w:pPr>
                        <w:r>
                          <w:rPr>
                            <w:rFonts w:ascii="Cambria"/>
                            <w:position w:val="1"/>
                            <w:sz w:val="18"/>
                          </w:rPr>
                          <w:t>V</w:t>
                        </w:r>
                        <w:r>
                          <w:rPr>
                            <w:rFonts w:ascii="Cambria"/>
                            <w:sz w:val="12"/>
                          </w:rPr>
                          <w:t>3</w:t>
                        </w:r>
                      </w:p>
                    </w:tc>
                    <w:tc>
                      <w:tcPr>
                        <w:tcW w:w="766" w:type="dxa"/>
                        <w:tcBorders>
                          <w:left w:val="nil"/>
                          <w:right w:val="nil"/>
                        </w:tcBorders>
                      </w:tcPr>
                      <w:p>
                        <w:pPr>
                          <w:pStyle w:val="TableParagraph"/>
                          <w:spacing w:before="6"/>
                          <w:ind w:left="136" w:right="147"/>
                          <w:jc w:val="center"/>
                          <w:rPr>
                            <w:rFonts w:ascii="Cambria"/>
                            <w:sz w:val="12"/>
                          </w:rPr>
                        </w:pPr>
                        <w:r>
                          <w:rPr>
                            <w:rFonts w:ascii="Cambria"/>
                            <w:position w:val="1"/>
                            <w:sz w:val="18"/>
                          </w:rPr>
                          <w:t>V</w:t>
                        </w:r>
                        <w:r>
                          <w:rPr>
                            <w:rFonts w:ascii="Cambria"/>
                            <w:sz w:val="12"/>
                          </w:rPr>
                          <w:t>4</w:t>
                        </w:r>
                      </w:p>
                    </w:tc>
                    <w:tc>
                      <w:tcPr>
                        <w:tcW w:w="672" w:type="dxa"/>
                        <w:tcBorders>
                          <w:left w:val="nil"/>
                          <w:right w:val="nil"/>
                        </w:tcBorders>
                      </w:tcPr>
                      <w:p>
                        <w:pPr>
                          <w:pStyle w:val="TableParagraph"/>
                          <w:spacing w:before="6"/>
                          <w:ind w:left="148" w:right="148"/>
                          <w:jc w:val="center"/>
                          <w:rPr>
                            <w:rFonts w:ascii="Cambria"/>
                            <w:sz w:val="12"/>
                          </w:rPr>
                        </w:pPr>
                        <w:r>
                          <w:rPr>
                            <w:rFonts w:ascii="Cambria"/>
                            <w:position w:val="1"/>
                            <w:sz w:val="18"/>
                          </w:rPr>
                          <w:t>V</w:t>
                        </w:r>
                        <w:r>
                          <w:rPr>
                            <w:rFonts w:ascii="Cambria"/>
                            <w:sz w:val="12"/>
                          </w:rPr>
                          <w:t>5</w:t>
                        </w:r>
                      </w:p>
                    </w:tc>
                    <w:tc>
                      <w:tcPr>
                        <w:tcW w:w="660" w:type="dxa"/>
                        <w:tcBorders>
                          <w:left w:val="nil"/>
                          <w:right w:val="nil"/>
                        </w:tcBorders>
                      </w:tcPr>
                      <w:p>
                        <w:pPr>
                          <w:pStyle w:val="TableParagraph"/>
                          <w:spacing w:before="6"/>
                          <w:ind w:left="194"/>
                          <w:rPr>
                            <w:rFonts w:ascii="Cambria"/>
                            <w:sz w:val="12"/>
                          </w:rPr>
                        </w:pPr>
                        <w:r>
                          <w:rPr>
                            <w:rFonts w:ascii="Cambria"/>
                            <w:position w:val="1"/>
                            <w:sz w:val="18"/>
                          </w:rPr>
                          <w:t>V</w:t>
                        </w:r>
                        <w:r>
                          <w:rPr>
                            <w:rFonts w:ascii="Cambria"/>
                            <w:sz w:val="12"/>
                          </w:rPr>
                          <w:t>6</w:t>
                        </w:r>
                      </w:p>
                    </w:tc>
                    <w:tc>
                      <w:tcPr>
                        <w:tcW w:w="1119" w:type="dxa"/>
                        <w:gridSpan w:val="2"/>
                        <w:tcBorders>
                          <w:left w:val="nil"/>
                          <w:right w:val="nil"/>
                        </w:tcBorders>
                      </w:tcPr>
                      <w:p>
                        <w:pPr/>
                      </w:p>
                    </w:tc>
                  </w:tr>
                  <w:tr>
                    <w:trPr>
                      <w:trHeight w:val="291" w:hRule="exact"/>
                    </w:trPr>
                    <w:tc>
                      <w:tcPr>
                        <w:tcW w:w="1221" w:type="dxa"/>
                        <w:tcBorders>
                          <w:left w:val="nil"/>
                          <w:bottom w:val="nil"/>
                          <w:right w:val="nil"/>
                        </w:tcBorders>
                      </w:tcPr>
                      <w:p>
                        <w:pPr/>
                      </w:p>
                    </w:tc>
                    <w:tc>
                      <w:tcPr>
                        <w:tcW w:w="1549" w:type="dxa"/>
                        <w:tcBorders>
                          <w:left w:val="nil"/>
                          <w:bottom w:val="nil"/>
                          <w:right w:val="nil"/>
                        </w:tcBorders>
                      </w:tcPr>
                      <w:p>
                        <w:pPr>
                          <w:pStyle w:val="TableParagraph"/>
                          <w:spacing w:before="6"/>
                          <w:ind w:left="94"/>
                          <w:rPr>
                            <w:rFonts w:ascii="Cambria"/>
                            <w:sz w:val="18"/>
                          </w:rPr>
                        </w:pPr>
                        <w:r>
                          <w:rPr>
                            <w:rFonts w:ascii="Cambria"/>
                            <w:sz w:val="18"/>
                          </w:rPr>
                          <w:t>BM</w:t>
                        </w:r>
                      </w:p>
                    </w:tc>
                    <w:tc>
                      <w:tcPr>
                        <w:tcW w:w="766" w:type="dxa"/>
                        <w:tcBorders>
                          <w:left w:val="nil"/>
                          <w:bottom w:val="nil"/>
                          <w:right w:val="nil"/>
                        </w:tcBorders>
                      </w:tcPr>
                      <w:p>
                        <w:pPr>
                          <w:pStyle w:val="TableParagraph"/>
                          <w:spacing w:before="6"/>
                          <w:ind w:left="99" w:right="190"/>
                          <w:jc w:val="center"/>
                          <w:rPr>
                            <w:rFonts w:ascii="Cambria"/>
                            <w:sz w:val="18"/>
                          </w:rPr>
                        </w:pPr>
                        <w:r>
                          <w:rPr>
                            <w:rFonts w:ascii="Cambria"/>
                            <w:sz w:val="18"/>
                          </w:rPr>
                          <w:t>274.4</w:t>
                        </w:r>
                      </w:p>
                    </w:tc>
                    <w:tc>
                      <w:tcPr>
                        <w:tcW w:w="833" w:type="dxa"/>
                        <w:tcBorders>
                          <w:left w:val="nil"/>
                          <w:bottom w:val="nil"/>
                          <w:right w:val="nil"/>
                        </w:tcBorders>
                      </w:tcPr>
                      <w:p>
                        <w:pPr>
                          <w:pStyle w:val="TableParagraph"/>
                          <w:spacing w:before="6"/>
                          <w:ind w:left="208"/>
                          <w:rPr>
                            <w:rFonts w:ascii="Cambria"/>
                            <w:sz w:val="18"/>
                          </w:rPr>
                        </w:pPr>
                        <w:r>
                          <w:rPr>
                            <w:rFonts w:ascii="Cambria"/>
                            <w:sz w:val="18"/>
                          </w:rPr>
                          <w:t>258.3</w:t>
                        </w:r>
                      </w:p>
                    </w:tc>
                    <w:tc>
                      <w:tcPr>
                        <w:tcW w:w="783" w:type="dxa"/>
                        <w:tcBorders>
                          <w:left w:val="nil"/>
                          <w:bottom w:val="nil"/>
                          <w:right w:val="nil"/>
                        </w:tcBorders>
                      </w:tcPr>
                      <w:p>
                        <w:pPr>
                          <w:pStyle w:val="TableParagraph"/>
                          <w:spacing w:before="6"/>
                          <w:ind w:left="165" w:right="141"/>
                          <w:jc w:val="center"/>
                          <w:rPr>
                            <w:rFonts w:ascii="Cambria"/>
                            <w:sz w:val="18"/>
                          </w:rPr>
                        </w:pPr>
                        <w:r>
                          <w:rPr>
                            <w:rFonts w:ascii="Cambria"/>
                            <w:sz w:val="18"/>
                          </w:rPr>
                          <w:t>247.9</w:t>
                        </w:r>
                      </w:p>
                    </w:tc>
                    <w:tc>
                      <w:tcPr>
                        <w:tcW w:w="766" w:type="dxa"/>
                        <w:tcBorders>
                          <w:left w:val="nil"/>
                          <w:bottom w:val="nil"/>
                          <w:right w:val="nil"/>
                        </w:tcBorders>
                      </w:tcPr>
                      <w:p>
                        <w:pPr>
                          <w:pStyle w:val="TableParagraph"/>
                          <w:spacing w:before="6"/>
                          <w:ind w:left="142" w:right="147"/>
                          <w:jc w:val="center"/>
                          <w:rPr>
                            <w:rFonts w:ascii="Cambria"/>
                            <w:sz w:val="18"/>
                          </w:rPr>
                        </w:pPr>
                        <w:r>
                          <w:rPr>
                            <w:rFonts w:ascii="Cambria"/>
                            <w:sz w:val="18"/>
                          </w:rPr>
                          <w:t>260.5</w:t>
                        </w:r>
                      </w:p>
                    </w:tc>
                    <w:tc>
                      <w:tcPr>
                        <w:tcW w:w="672" w:type="dxa"/>
                        <w:tcBorders>
                          <w:left w:val="nil"/>
                          <w:bottom w:val="nil"/>
                          <w:right w:val="nil"/>
                        </w:tcBorders>
                      </w:tcPr>
                      <w:p>
                        <w:pPr>
                          <w:pStyle w:val="TableParagraph"/>
                          <w:spacing w:before="6"/>
                          <w:ind w:left="148" w:right="148"/>
                          <w:jc w:val="center"/>
                          <w:rPr>
                            <w:rFonts w:ascii="Cambria"/>
                            <w:sz w:val="18"/>
                          </w:rPr>
                        </w:pPr>
                        <w:r>
                          <w:rPr>
                            <w:rFonts w:ascii="Cambria"/>
                            <w:sz w:val="18"/>
                          </w:rPr>
                          <w:t>84.8</w:t>
                        </w:r>
                      </w:p>
                    </w:tc>
                    <w:tc>
                      <w:tcPr>
                        <w:tcW w:w="660" w:type="dxa"/>
                        <w:tcBorders>
                          <w:left w:val="nil"/>
                          <w:bottom w:val="nil"/>
                          <w:right w:val="nil"/>
                        </w:tcBorders>
                      </w:tcPr>
                      <w:p>
                        <w:pPr>
                          <w:pStyle w:val="TableParagraph"/>
                          <w:spacing w:before="6"/>
                          <w:ind w:left="165"/>
                          <w:rPr>
                            <w:rFonts w:ascii="Cambria"/>
                            <w:sz w:val="18"/>
                          </w:rPr>
                        </w:pPr>
                        <w:r>
                          <w:rPr>
                            <w:rFonts w:ascii="Cambria"/>
                            <w:sz w:val="18"/>
                          </w:rPr>
                          <w:t>6.6</w:t>
                        </w:r>
                      </w:p>
                    </w:tc>
                    <w:tc>
                      <w:tcPr>
                        <w:tcW w:w="1119" w:type="dxa"/>
                        <w:gridSpan w:val="2"/>
                        <w:tcBorders>
                          <w:left w:val="nil"/>
                          <w:bottom w:val="nil"/>
                          <w:right w:val="nil"/>
                        </w:tcBorders>
                      </w:tcPr>
                      <w:p>
                        <w:pPr>
                          <w:pStyle w:val="TableParagraph"/>
                          <w:spacing w:before="6"/>
                          <w:ind w:left="254"/>
                          <w:rPr>
                            <w:rFonts w:ascii="Cambria"/>
                            <w:sz w:val="18"/>
                          </w:rPr>
                        </w:pPr>
                        <w:r>
                          <w:rPr>
                            <w:rFonts w:ascii="Cambria"/>
                            <w:sz w:val="18"/>
                          </w:rPr>
                          <w:t>0.113</w:t>
                        </w:r>
                      </w:p>
                    </w:tc>
                  </w:tr>
                  <w:tr>
                    <w:trPr>
                      <w:trHeight w:val="329" w:hRule="exact"/>
                    </w:trPr>
                    <w:tc>
                      <w:tcPr>
                        <w:tcW w:w="1221" w:type="dxa"/>
                        <w:tcBorders>
                          <w:top w:val="nil"/>
                          <w:left w:val="nil"/>
                          <w:bottom w:val="nil"/>
                          <w:right w:val="nil"/>
                        </w:tcBorders>
                      </w:tcPr>
                      <w:p>
                        <w:pPr/>
                      </w:p>
                    </w:tc>
                    <w:tc>
                      <w:tcPr>
                        <w:tcW w:w="1549" w:type="dxa"/>
                        <w:tcBorders>
                          <w:top w:val="nil"/>
                          <w:left w:val="nil"/>
                          <w:bottom w:val="nil"/>
                          <w:right w:val="nil"/>
                        </w:tcBorders>
                      </w:tcPr>
                      <w:p>
                        <w:pPr>
                          <w:pStyle w:val="TableParagraph"/>
                          <w:spacing w:before="51"/>
                          <w:ind w:left="94"/>
                          <w:rPr>
                            <w:rFonts w:ascii="Cambria"/>
                            <w:sz w:val="18"/>
                          </w:rPr>
                        </w:pPr>
                        <w:r>
                          <w:rPr>
                            <w:rFonts w:ascii="Cambria"/>
                            <w:sz w:val="18"/>
                          </w:rPr>
                          <w:t>AM</w:t>
                        </w:r>
                      </w:p>
                    </w:tc>
                    <w:tc>
                      <w:tcPr>
                        <w:tcW w:w="766" w:type="dxa"/>
                        <w:tcBorders>
                          <w:top w:val="nil"/>
                          <w:left w:val="nil"/>
                          <w:bottom w:val="nil"/>
                          <w:right w:val="nil"/>
                        </w:tcBorders>
                      </w:tcPr>
                      <w:p>
                        <w:pPr>
                          <w:pStyle w:val="TableParagraph"/>
                          <w:spacing w:before="51"/>
                          <w:ind w:left="99" w:right="190"/>
                          <w:jc w:val="center"/>
                          <w:rPr>
                            <w:rFonts w:ascii="Cambria"/>
                            <w:sz w:val="18"/>
                          </w:rPr>
                        </w:pPr>
                        <w:r>
                          <w:rPr>
                            <w:rFonts w:ascii="Cambria"/>
                            <w:sz w:val="18"/>
                          </w:rPr>
                          <w:t>274.4</w:t>
                        </w:r>
                      </w:p>
                    </w:tc>
                    <w:tc>
                      <w:tcPr>
                        <w:tcW w:w="833" w:type="dxa"/>
                        <w:tcBorders>
                          <w:top w:val="nil"/>
                          <w:left w:val="nil"/>
                          <w:bottom w:val="nil"/>
                          <w:right w:val="nil"/>
                        </w:tcBorders>
                      </w:tcPr>
                      <w:p>
                        <w:pPr>
                          <w:pStyle w:val="TableParagraph"/>
                          <w:spacing w:before="51"/>
                          <w:ind w:left="208"/>
                          <w:rPr>
                            <w:rFonts w:ascii="Cambria"/>
                            <w:sz w:val="18"/>
                          </w:rPr>
                        </w:pPr>
                        <w:r>
                          <w:rPr>
                            <w:rFonts w:ascii="Cambria"/>
                            <w:sz w:val="18"/>
                          </w:rPr>
                          <w:t>258.3</w:t>
                        </w:r>
                      </w:p>
                    </w:tc>
                    <w:tc>
                      <w:tcPr>
                        <w:tcW w:w="783" w:type="dxa"/>
                        <w:tcBorders>
                          <w:top w:val="nil"/>
                          <w:left w:val="nil"/>
                          <w:bottom w:val="nil"/>
                          <w:right w:val="nil"/>
                        </w:tcBorders>
                      </w:tcPr>
                      <w:p>
                        <w:pPr>
                          <w:pStyle w:val="TableParagraph"/>
                          <w:spacing w:before="51"/>
                          <w:ind w:left="165" w:right="141"/>
                          <w:jc w:val="center"/>
                          <w:rPr>
                            <w:rFonts w:ascii="Cambria"/>
                            <w:sz w:val="18"/>
                          </w:rPr>
                        </w:pPr>
                        <w:r>
                          <w:rPr>
                            <w:rFonts w:ascii="Cambria"/>
                            <w:sz w:val="18"/>
                          </w:rPr>
                          <w:t>247.9</w:t>
                        </w:r>
                      </w:p>
                    </w:tc>
                    <w:tc>
                      <w:tcPr>
                        <w:tcW w:w="766" w:type="dxa"/>
                        <w:tcBorders>
                          <w:top w:val="nil"/>
                          <w:left w:val="nil"/>
                          <w:bottom w:val="nil"/>
                          <w:right w:val="nil"/>
                        </w:tcBorders>
                      </w:tcPr>
                      <w:p>
                        <w:pPr>
                          <w:pStyle w:val="TableParagraph"/>
                          <w:spacing w:before="51"/>
                          <w:ind w:left="142" w:right="147"/>
                          <w:jc w:val="center"/>
                          <w:rPr>
                            <w:rFonts w:ascii="Cambria"/>
                            <w:sz w:val="18"/>
                          </w:rPr>
                        </w:pPr>
                        <w:r>
                          <w:rPr>
                            <w:rFonts w:ascii="Cambria"/>
                            <w:sz w:val="18"/>
                          </w:rPr>
                          <w:t>260.5</w:t>
                        </w:r>
                      </w:p>
                    </w:tc>
                    <w:tc>
                      <w:tcPr>
                        <w:tcW w:w="672" w:type="dxa"/>
                        <w:tcBorders>
                          <w:top w:val="nil"/>
                          <w:left w:val="nil"/>
                          <w:bottom w:val="nil"/>
                          <w:right w:val="nil"/>
                        </w:tcBorders>
                      </w:tcPr>
                      <w:p>
                        <w:pPr>
                          <w:pStyle w:val="TableParagraph"/>
                          <w:spacing w:before="51"/>
                          <w:ind w:left="148" w:right="148"/>
                          <w:jc w:val="center"/>
                          <w:rPr>
                            <w:rFonts w:ascii="Cambria"/>
                            <w:sz w:val="18"/>
                          </w:rPr>
                        </w:pPr>
                        <w:r>
                          <w:rPr>
                            <w:rFonts w:ascii="Cambria"/>
                            <w:sz w:val="18"/>
                          </w:rPr>
                          <w:t>84.8</w:t>
                        </w:r>
                      </w:p>
                    </w:tc>
                    <w:tc>
                      <w:tcPr>
                        <w:tcW w:w="660" w:type="dxa"/>
                        <w:tcBorders>
                          <w:top w:val="nil"/>
                          <w:left w:val="nil"/>
                          <w:bottom w:val="nil"/>
                          <w:right w:val="nil"/>
                        </w:tcBorders>
                      </w:tcPr>
                      <w:p>
                        <w:pPr>
                          <w:pStyle w:val="TableParagraph"/>
                          <w:spacing w:before="51"/>
                          <w:ind w:left="165"/>
                          <w:rPr>
                            <w:rFonts w:ascii="Cambria"/>
                            <w:sz w:val="18"/>
                          </w:rPr>
                        </w:pPr>
                        <w:r>
                          <w:rPr>
                            <w:rFonts w:ascii="Cambria"/>
                            <w:sz w:val="18"/>
                          </w:rPr>
                          <w:t>6.6</w:t>
                        </w:r>
                      </w:p>
                    </w:tc>
                    <w:tc>
                      <w:tcPr>
                        <w:tcW w:w="1119" w:type="dxa"/>
                        <w:gridSpan w:val="2"/>
                        <w:tcBorders>
                          <w:top w:val="nil"/>
                          <w:left w:val="nil"/>
                          <w:bottom w:val="nil"/>
                          <w:right w:val="nil"/>
                        </w:tcBorders>
                      </w:tcPr>
                      <w:p>
                        <w:pPr>
                          <w:pStyle w:val="TableParagraph"/>
                          <w:spacing w:before="51"/>
                          <w:ind w:left="254"/>
                          <w:rPr>
                            <w:rFonts w:ascii="Cambria"/>
                            <w:sz w:val="18"/>
                          </w:rPr>
                        </w:pPr>
                        <w:r>
                          <w:rPr>
                            <w:rFonts w:ascii="Cambria"/>
                            <w:sz w:val="18"/>
                          </w:rPr>
                          <w:t>0.113</w:t>
                        </w:r>
                      </w:p>
                    </w:tc>
                  </w:tr>
                  <w:tr>
                    <w:trPr>
                      <w:trHeight w:val="326" w:hRule="exact"/>
                    </w:trPr>
                    <w:tc>
                      <w:tcPr>
                        <w:tcW w:w="1221" w:type="dxa"/>
                        <w:tcBorders>
                          <w:top w:val="nil"/>
                          <w:left w:val="nil"/>
                          <w:bottom w:val="nil"/>
                          <w:right w:val="nil"/>
                        </w:tcBorders>
                      </w:tcPr>
                      <w:p>
                        <w:pPr>
                          <w:pStyle w:val="TableParagraph"/>
                          <w:spacing w:before="53"/>
                          <w:ind w:left="4"/>
                          <w:rPr>
                            <w:rFonts w:ascii="Cambria"/>
                            <w:sz w:val="18"/>
                          </w:rPr>
                        </w:pPr>
                        <w:r>
                          <w:rPr>
                            <w:rFonts w:ascii="Cambria"/>
                            <w:position w:val="1"/>
                            <w:sz w:val="18"/>
                          </w:rPr>
                          <w:t>c</w:t>
                        </w:r>
                        <w:r>
                          <w:rPr>
                            <w:rFonts w:ascii="Cambria"/>
                            <w:sz w:val="12"/>
                          </w:rPr>
                          <w:t>1 </w:t>
                        </w:r>
                        <w:r>
                          <w:rPr>
                            <w:rFonts w:ascii="Cambria"/>
                            <w:position w:val="1"/>
                            <w:sz w:val="18"/>
                          </w:rPr>
                          <w:t>=&gt;</w:t>
                        </w:r>
                      </w:p>
                    </w:tc>
                    <w:tc>
                      <w:tcPr>
                        <w:tcW w:w="1549" w:type="dxa"/>
                        <w:tcBorders>
                          <w:top w:val="nil"/>
                          <w:left w:val="nil"/>
                          <w:bottom w:val="nil"/>
                          <w:right w:val="nil"/>
                        </w:tcBorders>
                      </w:tcPr>
                      <w:p>
                        <w:pPr>
                          <w:pStyle w:val="TableParagraph"/>
                          <w:spacing w:before="48"/>
                          <w:ind w:left="94"/>
                          <w:rPr>
                            <w:rFonts w:ascii="Cambria"/>
                            <w:sz w:val="18"/>
                          </w:rPr>
                        </w:pPr>
                        <w:r>
                          <w:rPr>
                            <w:rFonts w:ascii="Cambria"/>
                            <w:sz w:val="18"/>
                          </w:rPr>
                          <w:t>CM</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274.4</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258.3</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247.9</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260.5</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84.8</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6.6</w:t>
                        </w:r>
                      </w:p>
                    </w:tc>
                    <w:tc>
                      <w:tcPr>
                        <w:tcW w:w="1119" w:type="dxa"/>
                        <w:gridSpan w:val="2"/>
                        <w:tcBorders>
                          <w:top w:val="nil"/>
                          <w:left w:val="nil"/>
                          <w:bottom w:val="nil"/>
                          <w:right w:val="nil"/>
                        </w:tcBorders>
                      </w:tcPr>
                      <w:p>
                        <w:pPr>
                          <w:pStyle w:val="TableParagraph"/>
                          <w:spacing w:before="48"/>
                          <w:ind w:left="254"/>
                          <w:rPr>
                            <w:rFonts w:ascii="Cambria"/>
                            <w:sz w:val="18"/>
                          </w:rPr>
                        </w:pPr>
                        <w:r>
                          <w:rPr>
                            <w:rFonts w:ascii="Cambria"/>
                            <w:sz w:val="18"/>
                          </w:rPr>
                          <w:t>0.113</w:t>
                        </w:r>
                      </w:p>
                    </w:tc>
                  </w:tr>
                  <w:tr>
                    <w:trPr>
                      <w:trHeight w:val="327" w:hRule="exact"/>
                    </w:trPr>
                    <w:tc>
                      <w:tcPr>
                        <w:tcW w:w="1221" w:type="dxa"/>
                        <w:tcBorders>
                          <w:top w:val="nil"/>
                          <w:left w:val="nil"/>
                          <w:bottom w:val="nil"/>
                          <w:right w:val="nil"/>
                        </w:tcBorders>
                      </w:tcPr>
                      <w:p>
                        <w:pPr>
                          <w:pStyle w:val="TableParagraph"/>
                          <w:spacing w:before="44"/>
                          <w:ind w:left="4"/>
                          <w:rPr>
                            <w:rFonts w:ascii="Cambria"/>
                            <w:i/>
                            <w:sz w:val="12"/>
                          </w:rPr>
                        </w:pPr>
                        <w:r>
                          <w:rPr>
                            <w:rFonts w:ascii="Cambria"/>
                            <w:sz w:val="18"/>
                          </w:rPr>
                          <w:t>Treatments </w:t>
                        </w:r>
                        <w:r>
                          <w:rPr>
                            <w:rFonts w:ascii="Cambria"/>
                            <w:i/>
                            <w:position w:val="4"/>
                            <w:sz w:val="12"/>
                          </w:rPr>
                          <w:t>a</w:t>
                        </w:r>
                      </w:p>
                    </w:tc>
                    <w:tc>
                      <w:tcPr>
                        <w:tcW w:w="1549" w:type="dxa"/>
                        <w:tcBorders>
                          <w:top w:val="nil"/>
                          <w:left w:val="nil"/>
                          <w:bottom w:val="nil"/>
                          <w:right w:val="nil"/>
                        </w:tcBorders>
                      </w:tcPr>
                      <w:p>
                        <w:pPr>
                          <w:pStyle w:val="TableParagraph"/>
                          <w:spacing w:before="48"/>
                          <w:ind w:left="94"/>
                          <w:rPr>
                            <w:rFonts w:ascii="Cambria"/>
                            <w:sz w:val="18"/>
                          </w:rPr>
                        </w:pPr>
                        <w:r>
                          <w:rPr>
                            <w:rFonts w:ascii="Cambria"/>
                            <w:sz w:val="18"/>
                          </w:rPr>
                          <w:t>BA</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261.9</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234.6</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224.3</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236.8</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80.3</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6.2</w:t>
                        </w:r>
                      </w:p>
                    </w:tc>
                    <w:tc>
                      <w:tcPr>
                        <w:tcW w:w="1119" w:type="dxa"/>
                        <w:gridSpan w:val="2"/>
                        <w:tcBorders>
                          <w:top w:val="nil"/>
                          <w:left w:val="nil"/>
                          <w:bottom w:val="nil"/>
                          <w:right w:val="nil"/>
                        </w:tcBorders>
                      </w:tcPr>
                      <w:p>
                        <w:pPr>
                          <w:pStyle w:val="TableParagraph"/>
                          <w:spacing w:before="48"/>
                          <w:ind w:left="254"/>
                          <w:rPr>
                            <w:rFonts w:ascii="Cambria"/>
                            <w:sz w:val="18"/>
                          </w:rPr>
                        </w:pPr>
                        <w:r>
                          <w:rPr>
                            <w:rFonts w:ascii="Cambria"/>
                            <w:sz w:val="18"/>
                          </w:rPr>
                          <w:t>0.258</w:t>
                        </w:r>
                      </w:p>
                    </w:tc>
                  </w:tr>
                  <w:tr>
                    <w:trPr>
                      <w:trHeight w:val="329" w:hRule="exact"/>
                    </w:trPr>
                    <w:tc>
                      <w:tcPr>
                        <w:tcW w:w="1221" w:type="dxa"/>
                        <w:tcBorders>
                          <w:top w:val="nil"/>
                          <w:left w:val="nil"/>
                          <w:bottom w:val="nil"/>
                          <w:right w:val="nil"/>
                        </w:tcBorders>
                      </w:tcPr>
                      <w:p>
                        <w:pPr/>
                      </w:p>
                    </w:tc>
                    <w:tc>
                      <w:tcPr>
                        <w:tcW w:w="1549" w:type="dxa"/>
                        <w:tcBorders>
                          <w:top w:val="nil"/>
                          <w:left w:val="nil"/>
                          <w:bottom w:val="nil"/>
                          <w:right w:val="nil"/>
                        </w:tcBorders>
                      </w:tcPr>
                      <w:p>
                        <w:pPr>
                          <w:pStyle w:val="TableParagraph"/>
                          <w:spacing w:before="49"/>
                          <w:ind w:left="94"/>
                          <w:rPr>
                            <w:rFonts w:ascii="Cambria"/>
                            <w:sz w:val="18"/>
                          </w:rPr>
                        </w:pPr>
                        <w:r>
                          <w:rPr>
                            <w:rFonts w:ascii="Cambria"/>
                            <w:sz w:val="18"/>
                          </w:rPr>
                          <w:t>PA</w:t>
                        </w:r>
                      </w:p>
                    </w:tc>
                    <w:tc>
                      <w:tcPr>
                        <w:tcW w:w="766" w:type="dxa"/>
                        <w:tcBorders>
                          <w:top w:val="nil"/>
                          <w:left w:val="nil"/>
                          <w:bottom w:val="nil"/>
                          <w:right w:val="nil"/>
                        </w:tcBorders>
                      </w:tcPr>
                      <w:p>
                        <w:pPr>
                          <w:pStyle w:val="TableParagraph"/>
                          <w:spacing w:before="49"/>
                          <w:ind w:left="99" w:right="190"/>
                          <w:jc w:val="center"/>
                          <w:rPr>
                            <w:rFonts w:ascii="Cambria"/>
                            <w:sz w:val="18"/>
                          </w:rPr>
                        </w:pPr>
                        <w:r>
                          <w:rPr>
                            <w:rFonts w:ascii="Cambria"/>
                            <w:sz w:val="18"/>
                          </w:rPr>
                          <w:t>261.9</w:t>
                        </w:r>
                      </w:p>
                    </w:tc>
                    <w:tc>
                      <w:tcPr>
                        <w:tcW w:w="833" w:type="dxa"/>
                        <w:tcBorders>
                          <w:top w:val="nil"/>
                          <w:left w:val="nil"/>
                          <w:bottom w:val="nil"/>
                          <w:right w:val="nil"/>
                        </w:tcBorders>
                      </w:tcPr>
                      <w:p>
                        <w:pPr>
                          <w:pStyle w:val="TableParagraph"/>
                          <w:spacing w:before="49"/>
                          <w:ind w:left="208"/>
                          <w:rPr>
                            <w:rFonts w:ascii="Cambria"/>
                            <w:sz w:val="18"/>
                          </w:rPr>
                        </w:pPr>
                        <w:r>
                          <w:rPr>
                            <w:rFonts w:ascii="Cambria"/>
                            <w:sz w:val="18"/>
                          </w:rPr>
                          <w:t>234.6</w:t>
                        </w:r>
                      </w:p>
                    </w:tc>
                    <w:tc>
                      <w:tcPr>
                        <w:tcW w:w="783" w:type="dxa"/>
                        <w:tcBorders>
                          <w:top w:val="nil"/>
                          <w:left w:val="nil"/>
                          <w:bottom w:val="nil"/>
                          <w:right w:val="nil"/>
                        </w:tcBorders>
                      </w:tcPr>
                      <w:p>
                        <w:pPr>
                          <w:pStyle w:val="TableParagraph"/>
                          <w:spacing w:before="49"/>
                          <w:ind w:left="165" w:right="141"/>
                          <w:jc w:val="center"/>
                          <w:rPr>
                            <w:rFonts w:ascii="Cambria"/>
                            <w:sz w:val="18"/>
                          </w:rPr>
                        </w:pPr>
                        <w:r>
                          <w:rPr>
                            <w:rFonts w:ascii="Cambria"/>
                            <w:sz w:val="18"/>
                          </w:rPr>
                          <w:t>224.3</w:t>
                        </w:r>
                      </w:p>
                    </w:tc>
                    <w:tc>
                      <w:tcPr>
                        <w:tcW w:w="766" w:type="dxa"/>
                        <w:tcBorders>
                          <w:top w:val="nil"/>
                          <w:left w:val="nil"/>
                          <w:bottom w:val="nil"/>
                          <w:right w:val="nil"/>
                        </w:tcBorders>
                      </w:tcPr>
                      <w:p>
                        <w:pPr>
                          <w:pStyle w:val="TableParagraph"/>
                          <w:spacing w:before="49"/>
                          <w:ind w:left="142" w:right="147"/>
                          <w:jc w:val="center"/>
                          <w:rPr>
                            <w:rFonts w:ascii="Cambria"/>
                            <w:sz w:val="18"/>
                          </w:rPr>
                        </w:pPr>
                        <w:r>
                          <w:rPr>
                            <w:rFonts w:ascii="Cambria"/>
                            <w:sz w:val="18"/>
                          </w:rPr>
                          <w:t>236.8</w:t>
                        </w:r>
                      </w:p>
                    </w:tc>
                    <w:tc>
                      <w:tcPr>
                        <w:tcW w:w="672" w:type="dxa"/>
                        <w:tcBorders>
                          <w:top w:val="nil"/>
                          <w:left w:val="nil"/>
                          <w:bottom w:val="nil"/>
                          <w:right w:val="nil"/>
                        </w:tcBorders>
                      </w:tcPr>
                      <w:p>
                        <w:pPr>
                          <w:pStyle w:val="TableParagraph"/>
                          <w:spacing w:before="49"/>
                          <w:ind w:left="148" w:right="148"/>
                          <w:jc w:val="center"/>
                          <w:rPr>
                            <w:rFonts w:ascii="Cambria"/>
                            <w:sz w:val="18"/>
                          </w:rPr>
                        </w:pPr>
                        <w:r>
                          <w:rPr>
                            <w:rFonts w:ascii="Cambria"/>
                            <w:sz w:val="18"/>
                          </w:rPr>
                          <w:t>80.3</w:t>
                        </w:r>
                      </w:p>
                    </w:tc>
                    <w:tc>
                      <w:tcPr>
                        <w:tcW w:w="660" w:type="dxa"/>
                        <w:tcBorders>
                          <w:top w:val="nil"/>
                          <w:left w:val="nil"/>
                          <w:bottom w:val="nil"/>
                          <w:right w:val="nil"/>
                        </w:tcBorders>
                      </w:tcPr>
                      <w:p>
                        <w:pPr>
                          <w:pStyle w:val="TableParagraph"/>
                          <w:spacing w:before="49"/>
                          <w:ind w:left="165"/>
                          <w:rPr>
                            <w:rFonts w:ascii="Cambria"/>
                            <w:sz w:val="18"/>
                          </w:rPr>
                        </w:pPr>
                        <w:r>
                          <w:rPr>
                            <w:rFonts w:ascii="Cambria"/>
                            <w:sz w:val="18"/>
                          </w:rPr>
                          <w:t>6.2</w:t>
                        </w:r>
                      </w:p>
                    </w:tc>
                    <w:tc>
                      <w:tcPr>
                        <w:tcW w:w="1119" w:type="dxa"/>
                        <w:gridSpan w:val="2"/>
                        <w:tcBorders>
                          <w:top w:val="nil"/>
                          <w:left w:val="nil"/>
                          <w:bottom w:val="nil"/>
                          <w:right w:val="nil"/>
                        </w:tcBorders>
                      </w:tcPr>
                      <w:p>
                        <w:pPr>
                          <w:pStyle w:val="TableParagraph"/>
                          <w:spacing w:before="49"/>
                          <w:ind w:left="254"/>
                          <w:rPr>
                            <w:rFonts w:ascii="Cambria"/>
                            <w:sz w:val="18"/>
                          </w:rPr>
                        </w:pPr>
                        <w:r>
                          <w:rPr>
                            <w:rFonts w:ascii="Cambria"/>
                            <w:sz w:val="18"/>
                          </w:rPr>
                          <w:t>0.258</w:t>
                        </w:r>
                      </w:p>
                    </w:tc>
                  </w:tr>
                  <w:tr>
                    <w:trPr>
                      <w:trHeight w:val="376" w:hRule="exact"/>
                    </w:trPr>
                    <w:tc>
                      <w:tcPr>
                        <w:tcW w:w="1221" w:type="dxa"/>
                        <w:tcBorders>
                          <w:top w:val="nil"/>
                          <w:left w:val="nil"/>
                          <w:bottom w:val="dotted" w:sz="4" w:space="0" w:color="000000"/>
                          <w:right w:val="nil"/>
                        </w:tcBorders>
                      </w:tcPr>
                      <w:p>
                        <w:pPr/>
                      </w:p>
                    </w:tc>
                    <w:tc>
                      <w:tcPr>
                        <w:tcW w:w="1549" w:type="dxa"/>
                        <w:tcBorders>
                          <w:top w:val="nil"/>
                          <w:left w:val="nil"/>
                          <w:bottom w:val="dotted" w:sz="4" w:space="0" w:color="000000"/>
                          <w:right w:val="nil"/>
                        </w:tcBorders>
                      </w:tcPr>
                      <w:p>
                        <w:pPr>
                          <w:pStyle w:val="TableParagraph"/>
                          <w:spacing w:before="51"/>
                          <w:ind w:left="94"/>
                          <w:rPr>
                            <w:rFonts w:ascii="Cambria"/>
                            <w:sz w:val="18"/>
                          </w:rPr>
                        </w:pPr>
                        <w:r>
                          <w:rPr>
                            <w:rFonts w:ascii="Cambria"/>
                            <w:sz w:val="18"/>
                          </w:rPr>
                          <w:t>MA</w:t>
                        </w:r>
                      </w:p>
                    </w:tc>
                    <w:tc>
                      <w:tcPr>
                        <w:tcW w:w="766" w:type="dxa"/>
                        <w:tcBorders>
                          <w:top w:val="nil"/>
                          <w:left w:val="nil"/>
                          <w:bottom w:val="dotted" w:sz="4" w:space="0" w:color="000000"/>
                          <w:right w:val="nil"/>
                        </w:tcBorders>
                      </w:tcPr>
                      <w:p>
                        <w:pPr>
                          <w:pStyle w:val="TableParagraph"/>
                          <w:spacing w:before="51"/>
                          <w:ind w:left="99" w:right="185"/>
                          <w:jc w:val="center"/>
                          <w:rPr>
                            <w:rFonts w:ascii="Cambria"/>
                            <w:sz w:val="18"/>
                          </w:rPr>
                        </w:pPr>
                        <w:r>
                          <w:rPr>
                            <w:rFonts w:ascii="Cambria"/>
                            <w:sz w:val="18"/>
                          </w:rPr>
                          <w:t>85.8</w:t>
                        </w:r>
                      </w:p>
                    </w:tc>
                    <w:tc>
                      <w:tcPr>
                        <w:tcW w:w="833" w:type="dxa"/>
                        <w:tcBorders>
                          <w:top w:val="nil"/>
                          <w:left w:val="nil"/>
                          <w:bottom w:val="dotted" w:sz="4" w:space="0" w:color="000000"/>
                          <w:right w:val="nil"/>
                        </w:tcBorders>
                      </w:tcPr>
                      <w:p>
                        <w:pPr>
                          <w:pStyle w:val="TableParagraph"/>
                          <w:spacing w:before="51"/>
                          <w:ind w:left="256"/>
                          <w:rPr>
                            <w:rFonts w:ascii="Cambria"/>
                            <w:sz w:val="18"/>
                          </w:rPr>
                        </w:pPr>
                        <w:r>
                          <w:rPr>
                            <w:rFonts w:ascii="Cambria"/>
                            <w:sz w:val="18"/>
                          </w:rPr>
                          <w:t>25.4</w:t>
                        </w:r>
                      </w:p>
                    </w:tc>
                    <w:tc>
                      <w:tcPr>
                        <w:tcW w:w="783" w:type="dxa"/>
                        <w:tcBorders>
                          <w:top w:val="nil"/>
                          <w:left w:val="nil"/>
                          <w:bottom w:val="dotted" w:sz="4" w:space="0" w:color="000000"/>
                          <w:right w:val="nil"/>
                        </w:tcBorders>
                      </w:tcPr>
                      <w:p>
                        <w:pPr>
                          <w:pStyle w:val="TableParagraph"/>
                          <w:spacing w:before="51"/>
                          <w:ind w:left="165" w:right="137"/>
                          <w:jc w:val="center"/>
                          <w:rPr>
                            <w:rFonts w:ascii="Cambria"/>
                            <w:sz w:val="18"/>
                          </w:rPr>
                        </w:pPr>
                        <w:r>
                          <w:rPr>
                            <w:rFonts w:ascii="Cambria"/>
                            <w:sz w:val="18"/>
                          </w:rPr>
                          <w:t>17.7</w:t>
                        </w:r>
                      </w:p>
                    </w:tc>
                    <w:tc>
                      <w:tcPr>
                        <w:tcW w:w="766" w:type="dxa"/>
                        <w:tcBorders>
                          <w:top w:val="nil"/>
                          <w:left w:val="nil"/>
                          <w:bottom w:val="dotted" w:sz="4" w:space="0" w:color="000000"/>
                          <w:right w:val="nil"/>
                        </w:tcBorders>
                      </w:tcPr>
                      <w:p>
                        <w:pPr>
                          <w:pStyle w:val="TableParagraph"/>
                          <w:spacing w:before="51"/>
                          <w:ind w:left="137" w:right="147"/>
                          <w:jc w:val="center"/>
                          <w:rPr>
                            <w:rFonts w:ascii="Cambria"/>
                            <w:sz w:val="18"/>
                          </w:rPr>
                        </w:pPr>
                        <w:r>
                          <w:rPr>
                            <w:rFonts w:ascii="Cambria"/>
                            <w:sz w:val="18"/>
                          </w:rPr>
                          <w:t>27.0</w:t>
                        </w:r>
                      </w:p>
                    </w:tc>
                    <w:tc>
                      <w:tcPr>
                        <w:tcW w:w="672" w:type="dxa"/>
                        <w:tcBorders>
                          <w:top w:val="nil"/>
                          <w:left w:val="nil"/>
                          <w:bottom w:val="dotted" w:sz="4" w:space="0" w:color="000000"/>
                          <w:right w:val="nil"/>
                        </w:tcBorders>
                      </w:tcPr>
                      <w:p>
                        <w:pPr>
                          <w:pStyle w:val="TableParagraph"/>
                          <w:spacing w:before="51"/>
                          <w:ind w:left="148" w:right="148"/>
                          <w:jc w:val="center"/>
                          <w:rPr>
                            <w:rFonts w:ascii="Cambria"/>
                            <w:sz w:val="18"/>
                          </w:rPr>
                        </w:pPr>
                        <w:r>
                          <w:rPr>
                            <w:rFonts w:ascii="Cambria"/>
                            <w:sz w:val="18"/>
                          </w:rPr>
                          <w:t>21.1</w:t>
                        </w:r>
                      </w:p>
                    </w:tc>
                    <w:tc>
                      <w:tcPr>
                        <w:tcW w:w="660" w:type="dxa"/>
                        <w:tcBorders>
                          <w:top w:val="nil"/>
                          <w:left w:val="nil"/>
                          <w:bottom w:val="dotted" w:sz="4" w:space="0" w:color="000000"/>
                          <w:right w:val="nil"/>
                        </w:tcBorders>
                      </w:tcPr>
                      <w:p>
                        <w:pPr>
                          <w:pStyle w:val="TableParagraph"/>
                          <w:spacing w:before="51"/>
                          <w:ind w:left="165"/>
                          <w:rPr>
                            <w:rFonts w:ascii="Cambria"/>
                            <w:sz w:val="18"/>
                          </w:rPr>
                        </w:pPr>
                        <w:r>
                          <w:rPr>
                            <w:rFonts w:ascii="Cambria"/>
                            <w:sz w:val="18"/>
                          </w:rPr>
                          <w:t>0.7</w:t>
                        </w:r>
                      </w:p>
                    </w:tc>
                    <w:tc>
                      <w:tcPr>
                        <w:tcW w:w="1119" w:type="dxa"/>
                        <w:gridSpan w:val="2"/>
                        <w:tcBorders>
                          <w:top w:val="nil"/>
                          <w:left w:val="nil"/>
                          <w:bottom w:val="dotted" w:sz="4" w:space="0" w:color="000000"/>
                          <w:right w:val="nil"/>
                        </w:tcBorders>
                      </w:tcPr>
                      <w:p>
                        <w:pPr>
                          <w:pStyle w:val="TableParagraph"/>
                          <w:spacing w:before="51"/>
                          <w:ind w:left="254"/>
                          <w:rPr>
                            <w:rFonts w:ascii="Cambria"/>
                            <w:sz w:val="18"/>
                          </w:rPr>
                        </w:pPr>
                        <w:r>
                          <w:rPr>
                            <w:rFonts w:ascii="Cambria"/>
                            <w:sz w:val="18"/>
                          </w:rPr>
                          <w:t>0.145</w:t>
                        </w:r>
                      </w:p>
                    </w:tc>
                  </w:tr>
                  <w:tr>
                    <w:trPr>
                      <w:trHeight w:val="289" w:hRule="exact"/>
                    </w:trPr>
                    <w:tc>
                      <w:tcPr>
                        <w:tcW w:w="1221" w:type="dxa"/>
                        <w:tcBorders>
                          <w:top w:val="dotted" w:sz="4" w:space="0" w:color="000000"/>
                          <w:left w:val="nil"/>
                          <w:bottom w:val="nil"/>
                          <w:right w:val="nil"/>
                        </w:tcBorders>
                      </w:tcPr>
                      <w:p>
                        <w:pPr>
                          <w:pStyle w:val="TableParagraph"/>
                          <w:spacing w:before="11"/>
                          <w:ind w:left="4"/>
                          <w:rPr>
                            <w:rFonts w:ascii="Cambria"/>
                            <w:sz w:val="18"/>
                          </w:rPr>
                        </w:pPr>
                        <w:r>
                          <w:rPr>
                            <w:rFonts w:ascii="Cambria"/>
                            <w:position w:val="1"/>
                            <w:sz w:val="18"/>
                          </w:rPr>
                          <w:t>c</w:t>
                        </w:r>
                        <w:r>
                          <w:rPr>
                            <w:rFonts w:ascii="Cambria"/>
                            <w:sz w:val="12"/>
                          </w:rPr>
                          <w:t>2 </w:t>
                        </w:r>
                        <w:r>
                          <w:rPr>
                            <w:rFonts w:ascii="Cambria"/>
                            <w:position w:val="1"/>
                            <w:sz w:val="18"/>
                          </w:rPr>
                          <w:t>=&gt;</w:t>
                        </w:r>
                      </w:p>
                    </w:tc>
                    <w:tc>
                      <w:tcPr>
                        <w:tcW w:w="1549" w:type="dxa"/>
                        <w:tcBorders>
                          <w:top w:val="dotted" w:sz="4" w:space="0" w:color="000000"/>
                          <w:left w:val="nil"/>
                          <w:bottom w:val="nil"/>
                          <w:right w:val="nil"/>
                        </w:tcBorders>
                      </w:tcPr>
                      <w:p>
                        <w:pPr>
                          <w:pStyle w:val="TableParagraph"/>
                          <w:spacing w:before="6"/>
                          <w:ind w:left="94"/>
                          <w:rPr>
                            <w:rFonts w:ascii="Cambria"/>
                            <w:b/>
                            <w:i/>
                            <w:sz w:val="18"/>
                          </w:rPr>
                        </w:pPr>
                        <w:r>
                          <w:rPr>
                            <w:rFonts w:ascii="Cambria"/>
                            <w:b/>
                            <w:i/>
                            <w:w w:val="101"/>
                            <w:sz w:val="18"/>
                          </w:rPr>
                          <w:t>0</w:t>
                        </w:r>
                      </w:p>
                    </w:tc>
                    <w:tc>
                      <w:tcPr>
                        <w:tcW w:w="766" w:type="dxa"/>
                        <w:tcBorders>
                          <w:top w:val="dotted" w:sz="4" w:space="0" w:color="000000"/>
                          <w:left w:val="nil"/>
                          <w:bottom w:val="nil"/>
                          <w:right w:val="nil"/>
                        </w:tcBorders>
                      </w:tcPr>
                      <w:p>
                        <w:pPr>
                          <w:pStyle w:val="TableParagraph"/>
                          <w:spacing w:before="6"/>
                          <w:ind w:left="99" w:right="190"/>
                          <w:jc w:val="center"/>
                          <w:rPr>
                            <w:rFonts w:ascii="Cambria"/>
                            <w:sz w:val="18"/>
                          </w:rPr>
                        </w:pPr>
                        <w:r>
                          <w:rPr>
                            <w:rFonts w:ascii="Cambria"/>
                            <w:sz w:val="18"/>
                          </w:rPr>
                          <w:t>274.4</w:t>
                        </w:r>
                      </w:p>
                    </w:tc>
                    <w:tc>
                      <w:tcPr>
                        <w:tcW w:w="833" w:type="dxa"/>
                        <w:tcBorders>
                          <w:top w:val="dotted" w:sz="4" w:space="0" w:color="000000"/>
                          <w:left w:val="nil"/>
                          <w:bottom w:val="nil"/>
                          <w:right w:val="nil"/>
                        </w:tcBorders>
                      </w:tcPr>
                      <w:p>
                        <w:pPr>
                          <w:pStyle w:val="TableParagraph"/>
                          <w:spacing w:before="6"/>
                          <w:ind w:left="208"/>
                          <w:rPr>
                            <w:rFonts w:ascii="Cambria"/>
                            <w:sz w:val="18"/>
                          </w:rPr>
                        </w:pPr>
                        <w:r>
                          <w:rPr>
                            <w:rFonts w:ascii="Cambria"/>
                            <w:sz w:val="18"/>
                          </w:rPr>
                          <w:t>258.3</w:t>
                        </w:r>
                      </w:p>
                    </w:tc>
                    <w:tc>
                      <w:tcPr>
                        <w:tcW w:w="783" w:type="dxa"/>
                        <w:tcBorders>
                          <w:top w:val="dotted" w:sz="4" w:space="0" w:color="000000"/>
                          <w:left w:val="nil"/>
                          <w:bottom w:val="nil"/>
                          <w:right w:val="nil"/>
                        </w:tcBorders>
                      </w:tcPr>
                      <w:p>
                        <w:pPr>
                          <w:pStyle w:val="TableParagraph"/>
                          <w:spacing w:before="6"/>
                          <w:ind w:left="165" w:right="141"/>
                          <w:jc w:val="center"/>
                          <w:rPr>
                            <w:rFonts w:ascii="Cambria"/>
                            <w:sz w:val="18"/>
                          </w:rPr>
                        </w:pPr>
                        <w:r>
                          <w:rPr>
                            <w:rFonts w:ascii="Cambria"/>
                            <w:sz w:val="18"/>
                          </w:rPr>
                          <w:t>247.9</w:t>
                        </w:r>
                      </w:p>
                    </w:tc>
                    <w:tc>
                      <w:tcPr>
                        <w:tcW w:w="766" w:type="dxa"/>
                        <w:tcBorders>
                          <w:top w:val="dotted" w:sz="4" w:space="0" w:color="000000"/>
                          <w:left w:val="nil"/>
                          <w:bottom w:val="nil"/>
                          <w:right w:val="nil"/>
                        </w:tcBorders>
                      </w:tcPr>
                      <w:p>
                        <w:pPr>
                          <w:pStyle w:val="TableParagraph"/>
                          <w:spacing w:before="6"/>
                          <w:ind w:left="142" w:right="147"/>
                          <w:jc w:val="center"/>
                          <w:rPr>
                            <w:rFonts w:ascii="Cambria"/>
                            <w:sz w:val="18"/>
                          </w:rPr>
                        </w:pPr>
                        <w:r>
                          <w:rPr>
                            <w:rFonts w:ascii="Cambria"/>
                            <w:sz w:val="18"/>
                          </w:rPr>
                          <w:t>260.5</w:t>
                        </w:r>
                      </w:p>
                    </w:tc>
                    <w:tc>
                      <w:tcPr>
                        <w:tcW w:w="672" w:type="dxa"/>
                        <w:tcBorders>
                          <w:top w:val="dotted" w:sz="4" w:space="0" w:color="000000"/>
                          <w:left w:val="nil"/>
                          <w:bottom w:val="nil"/>
                          <w:right w:val="nil"/>
                        </w:tcBorders>
                      </w:tcPr>
                      <w:p>
                        <w:pPr>
                          <w:pStyle w:val="TableParagraph"/>
                          <w:spacing w:before="6"/>
                          <w:ind w:left="148" w:right="148"/>
                          <w:jc w:val="center"/>
                          <w:rPr>
                            <w:rFonts w:ascii="Cambria"/>
                            <w:sz w:val="18"/>
                          </w:rPr>
                        </w:pPr>
                        <w:r>
                          <w:rPr>
                            <w:rFonts w:ascii="Cambria"/>
                            <w:sz w:val="18"/>
                          </w:rPr>
                          <w:t>84.8</w:t>
                        </w:r>
                      </w:p>
                    </w:tc>
                    <w:tc>
                      <w:tcPr>
                        <w:tcW w:w="660" w:type="dxa"/>
                        <w:tcBorders>
                          <w:top w:val="dotted" w:sz="4" w:space="0" w:color="000000"/>
                          <w:left w:val="nil"/>
                          <w:bottom w:val="nil"/>
                          <w:right w:val="nil"/>
                        </w:tcBorders>
                      </w:tcPr>
                      <w:p>
                        <w:pPr>
                          <w:pStyle w:val="TableParagraph"/>
                          <w:spacing w:before="6"/>
                          <w:ind w:left="165"/>
                          <w:rPr>
                            <w:rFonts w:ascii="Cambria"/>
                            <w:sz w:val="18"/>
                          </w:rPr>
                        </w:pPr>
                        <w:r>
                          <w:rPr>
                            <w:rFonts w:ascii="Cambria"/>
                            <w:sz w:val="18"/>
                          </w:rPr>
                          <w:t>6.6</w:t>
                        </w:r>
                      </w:p>
                    </w:tc>
                    <w:tc>
                      <w:tcPr>
                        <w:tcW w:w="1119" w:type="dxa"/>
                        <w:gridSpan w:val="2"/>
                        <w:tcBorders>
                          <w:top w:val="dotted" w:sz="4" w:space="0" w:color="000000"/>
                          <w:left w:val="nil"/>
                          <w:bottom w:val="nil"/>
                          <w:right w:val="nil"/>
                        </w:tcBorders>
                      </w:tcPr>
                      <w:p>
                        <w:pPr>
                          <w:pStyle w:val="TableParagraph"/>
                          <w:spacing w:before="6"/>
                          <w:ind w:left="254"/>
                          <w:rPr>
                            <w:rFonts w:ascii="Cambria"/>
                            <w:sz w:val="18"/>
                          </w:rPr>
                        </w:pPr>
                        <w:r>
                          <w:rPr>
                            <w:rFonts w:ascii="Cambria"/>
                            <w:sz w:val="18"/>
                          </w:rPr>
                          <w:t>0.339</w:t>
                        </w:r>
                      </w:p>
                    </w:tc>
                  </w:tr>
                  <w:tr>
                    <w:trPr>
                      <w:trHeight w:val="373" w:hRule="exact"/>
                    </w:trPr>
                    <w:tc>
                      <w:tcPr>
                        <w:tcW w:w="1221" w:type="dxa"/>
                        <w:tcBorders>
                          <w:top w:val="nil"/>
                          <w:left w:val="nil"/>
                          <w:bottom w:val="dotted" w:sz="4" w:space="0" w:color="000000"/>
                          <w:right w:val="nil"/>
                        </w:tcBorders>
                      </w:tcPr>
                      <w:p>
                        <w:pPr>
                          <w:pStyle w:val="TableParagraph"/>
                          <w:spacing w:before="44"/>
                          <w:ind w:left="4"/>
                          <w:rPr>
                            <w:rFonts w:ascii="Cambria"/>
                            <w:sz w:val="12"/>
                          </w:rPr>
                        </w:pPr>
                        <w:r>
                          <w:rPr>
                            <w:rFonts w:ascii="Cambria"/>
                            <w:sz w:val="18"/>
                          </w:rPr>
                          <w:t>fermentation </w:t>
                        </w:r>
                        <w:r>
                          <w:rPr>
                            <w:rFonts w:ascii="Cambria"/>
                            <w:position w:val="4"/>
                            <w:sz w:val="12"/>
                          </w:rPr>
                          <w:t>b</w:t>
                        </w:r>
                      </w:p>
                    </w:tc>
                    <w:tc>
                      <w:tcPr>
                        <w:tcW w:w="1549" w:type="dxa"/>
                        <w:tcBorders>
                          <w:top w:val="nil"/>
                          <w:left w:val="nil"/>
                          <w:bottom w:val="dotted" w:sz="4" w:space="0" w:color="000000"/>
                          <w:right w:val="nil"/>
                        </w:tcBorders>
                      </w:tcPr>
                      <w:p>
                        <w:pPr>
                          <w:pStyle w:val="TableParagraph"/>
                          <w:spacing w:before="48"/>
                          <w:ind w:left="94"/>
                          <w:rPr>
                            <w:rFonts w:ascii="Cambria"/>
                            <w:b/>
                            <w:i/>
                            <w:sz w:val="18"/>
                          </w:rPr>
                        </w:pPr>
                        <w:r>
                          <w:rPr>
                            <w:rFonts w:ascii="Cambria"/>
                            <w:b/>
                            <w:i/>
                            <w:w w:val="101"/>
                            <w:sz w:val="18"/>
                          </w:rPr>
                          <w:t>1</w:t>
                        </w:r>
                      </w:p>
                    </w:tc>
                    <w:tc>
                      <w:tcPr>
                        <w:tcW w:w="766" w:type="dxa"/>
                        <w:tcBorders>
                          <w:top w:val="nil"/>
                          <w:left w:val="nil"/>
                          <w:bottom w:val="dotted" w:sz="4" w:space="0" w:color="000000"/>
                          <w:right w:val="nil"/>
                        </w:tcBorders>
                      </w:tcPr>
                      <w:p>
                        <w:pPr>
                          <w:pStyle w:val="TableParagraph"/>
                          <w:spacing w:before="48"/>
                          <w:ind w:left="99" w:right="190"/>
                          <w:jc w:val="center"/>
                          <w:rPr>
                            <w:rFonts w:ascii="Cambria"/>
                            <w:sz w:val="18"/>
                          </w:rPr>
                        </w:pPr>
                        <w:r>
                          <w:rPr>
                            <w:rFonts w:ascii="Cambria"/>
                            <w:sz w:val="18"/>
                          </w:rPr>
                          <w:t>223.2</w:t>
                        </w:r>
                      </w:p>
                    </w:tc>
                    <w:tc>
                      <w:tcPr>
                        <w:tcW w:w="833" w:type="dxa"/>
                        <w:tcBorders>
                          <w:top w:val="nil"/>
                          <w:left w:val="nil"/>
                          <w:bottom w:val="dotted" w:sz="4" w:space="0" w:color="000000"/>
                          <w:right w:val="nil"/>
                        </w:tcBorders>
                      </w:tcPr>
                      <w:p>
                        <w:pPr>
                          <w:pStyle w:val="TableParagraph"/>
                          <w:spacing w:before="48"/>
                          <w:ind w:left="208"/>
                          <w:rPr>
                            <w:rFonts w:ascii="Cambria"/>
                            <w:sz w:val="18"/>
                          </w:rPr>
                        </w:pPr>
                        <w:r>
                          <w:rPr>
                            <w:rFonts w:ascii="Cambria"/>
                            <w:sz w:val="18"/>
                          </w:rPr>
                          <w:t>188.7</w:t>
                        </w:r>
                      </w:p>
                    </w:tc>
                    <w:tc>
                      <w:tcPr>
                        <w:tcW w:w="783" w:type="dxa"/>
                        <w:tcBorders>
                          <w:top w:val="nil"/>
                          <w:left w:val="nil"/>
                          <w:bottom w:val="dotted" w:sz="4" w:space="0" w:color="000000"/>
                          <w:right w:val="nil"/>
                        </w:tcBorders>
                      </w:tcPr>
                      <w:p>
                        <w:pPr>
                          <w:pStyle w:val="TableParagraph"/>
                          <w:spacing w:before="48"/>
                          <w:ind w:left="165" w:right="141"/>
                          <w:jc w:val="center"/>
                          <w:rPr>
                            <w:rFonts w:ascii="Cambria"/>
                            <w:sz w:val="18"/>
                          </w:rPr>
                        </w:pPr>
                        <w:r>
                          <w:rPr>
                            <w:rFonts w:ascii="Cambria"/>
                            <w:sz w:val="18"/>
                          </w:rPr>
                          <w:t>178.9</w:t>
                        </w:r>
                      </w:p>
                    </w:tc>
                    <w:tc>
                      <w:tcPr>
                        <w:tcW w:w="766" w:type="dxa"/>
                        <w:tcBorders>
                          <w:top w:val="nil"/>
                          <w:left w:val="nil"/>
                          <w:bottom w:val="dotted" w:sz="4" w:space="0" w:color="000000"/>
                          <w:right w:val="nil"/>
                        </w:tcBorders>
                      </w:tcPr>
                      <w:p>
                        <w:pPr>
                          <w:pStyle w:val="TableParagraph"/>
                          <w:spacing w:before="48"/>
                          <w:ind w:left="142" w:right="147"/>
                          <w:jc w:val="center"/>
                          <w:rPr>
                            <w:rFonts w:ascii="Cambria"/>
                            <w:sz w:val="18"/>
                          </w:rPr>
                        </w:pPr>
                        <w:r>
                          <w:rPr>
                            <w:rFonts w:ascii="Cambria"/>
                            <w:sz w:val="18"/>
                          </w:rPr>
                          <w:t>190.7</w:t>
                        </w:r>
                      </w:p>
                    </w:tc>
                    <w:tc>
                      <w:tcPr>
                        <w:tcW w:w="672" w:type="dxa"/>
                        <w:tcBorders>
                          <w:top w:val="nil"/>
                          <w:left w:val="nil"/>
                          <w:bottom w:val="dotted" w:sz="4" w:space="0" w:color="000000"/>
                          <w:right w:val="nil"/>
                        </w:tcBorders>
                      </w:tcPr>
                      <w:p>
                        <w:pPr>
                          <w:pStyle w:val="TableParagraph"/>
                          <w:spacing w:before="48"/>
                          <w:ind w:left="148" w:right="148"/>
                          <w:jc w:val="center"/>
                          <w:rPr>
                            <w:rFonts w:ascii="Cambria"/>
                            <w:sz w:val="18"/>
                          </w:rPr>
                        </w:pPr>
                        <w:r>
                          <w:rPr>
                            <w:rFonts w:ascii="Cambria"/>
                            <w:sz w:val="18"/>
                          </w:rPr>
                          <w:t>67.3</w:t>
                        </w:r>
                      </w:p>
                    </w:tc>
                    <w:tc>
                      <w:tcPr>
                        <w:tcW w:w="660" w:type="dxa"/>
                        <w:tcBorders>
                          <w:top w:val="nil"/>
                          <w:left w:val="nil"/>
                          <w:bottom w:val="dotted" w:sz="4" w:space="0" w:color="000000"/>
                          <w:right w:val="nil"/>
                        </w:tcBorders>
                      </w:tcPr>
                      <w:p>
                        <w:pPr>
                          <w:pStyle w:val="TableParagraph"/>
                          <w:spacing w:before="48"/>
                          <w:ind w:left="165"/>
                          <w:rPr>
                            <w:rFonts w:ascii="Cambria"/>
                            <w:sz w:val="18"/>
                          </w:rPr>
                        </w:pPr>
                        <w:r>
                          <w:rPr>
                            <w:rFonts w:ascii="Cambria"/>
                            <w:sz w:val="18"/>
                          </w:rPr>
                          <w:t>5.0</w:t>
                        </w:r>
                      </w:p>
                    </w:tc>
                    <w:tc>
                      <w:tcPr>
                        <w:tcW w:w="1119" w:type="dxa"/>
                        <w:gridSpan w:val="2"/>
                        <w:tcBorders>
                          <w:top w:val="nil"/>
                          <w:left w:val="nil"/>
                          <w:bottom w:val="dotted" w:sz="4" w:space="0" w:color="000000"/>
                          <w:right w:val="nil"/>
                        </w:tcBorders>
                      </w:tcPr>
                      <w:p>
                        <w:pPr>
                          <w:pStyle w:val="TableParagraph"/>
                          <w:spacing w:before="48"/>
                          <w:ind w:left="254"/>
                          <w:rPr>
                            <w:rFonts w:ascii="Cambria"/>
                            <w:sz w:val="18"/>
                          </w:rPr>
                        </w:pPr>
                        <w:r>
                          <w:rPr>
                            <w:rFonts w:ascii="Cambria"/>
                            <w:sz w:val="18"/>
                          </w:rPr>
                          <w:t>0.661</w:t>
                        </w:r>
                      </w:p>
                    </w:tc>
                  </w:tr>
                  <w:tr>
                    <w:trPr>
                      <w:trHeight w:val="292" w:hRule="exact"/>
                    </w:trPr>
                    <w:tc>
                      <w:tcPr>
                        <w:tcW w:w="1221" w:type="dxa"/>
                        <w:tcBorders>
                          <w:top w:val="dotted" w:sz="4" w:space="0" w:color="000000"/>
                          <w:left w:val="nil"/>
                          <w:bottom w:val="nil"/>
                          <w:right w:val="nil"/>
                        </w:tcBorders>
                      </w:tcPr>
                      <w:p>
                        <w:pPr/>
                      </w:p>
                    </w:tc>
                    <w:tc>
                      <w:tcPr>
                        <w:tcW w:w="1549" w:type="dxa"/>
                        <w:tcBorders>
                          <w:top w:val="dotted" w:sz="4" w:space="0" w:color="000000"/>
                          <w:left w:val="nil"/>
                          <w:bottom w:val="nil"/>
                          <w:right w:val="nil"/>
                        </w:tcBorders>
                      </w:tcPr>
                      <w:p>
                        <w:pPr>
                          <w:pStyle w:val="TableParagraph"/>
                          <w:spacing w:before="6"/>
                          <w:ind w:left="94"/>
                          <w:rPr>
                            <w:rFonts w:ascii="Cambria"/>
                            <w:sz w:val="18"/>
                          </w:rPr>
                        </w:pPr>
                        <w:r>
                          <w:rPr>
                            <w:rFonts w:ascii="Cambria"/>
                            <w:sz w:val="18"/>
                          </w:rPr>
                          <w:t>Bacteria fraction</w:t>
                        </w:r>
                      </w:p>
                    </w:tc>
                    <w:tc>
                      <w:tcPr>
                        <w:tcW w:w="766" w:type="dxa"/>
                        <w:tcBorders>
                          <w:top w:val="dotted" w:sz="4" w:space="0" w:color="000000"/>
                          <w:left w:val="nil"/>
                          <w:bottom w:val="nil"/>
                          <w:right w:val="nil"/>
                        </w:tcBorders>
                      </w:tcPr>
                      <w:p>
                        <w:pPr>
                          <w:pStyle w:val="TableParagraph"/>
                          <w:spacing w:before="6"/>
                          <w:ind w:left="99" w:right="190"/>
                          <w:jc w:val="center"/>
                          <w:rPr>
                            <w:rFonts w:ascii="Cambria"/>
                            <w:sz w:val="18"/>
                          </w:rPr>
                        </w:pPr>
                        <w:r>
                          <w:rPr>
                            <w:rFonts w:ascii="Cambria"/>
                            <w:sz w:val="18"/>
                          </w:rPr>
                          <w:t>269.0</w:t>
                        </w:r>
                      </w:p>
                    </w:tc>
                    <w:tc>
                      <w:tcPr>
                        <w:tcW w:w="833" w:type="dxa"/>
                        <w:tcBorders>
                          <w:top w:val="dotted" w:sz="4" w:space="0" w:color="000000"/>
                          <w:left w:val="nil"/>
                          <w:bottom w:val="nil"/>
                          <w:right w:val="nil"/>
                        </w:tcBorders>
                      </w:tcPr>
                      <w:p>
                        <w:pPr>
                          <w:pStyle w:val="TableParagraph"/>
                          <w:spacing w:before="6"/>
                          <w:ind w:left="208"/>
                          <w:rPr>
                            <w:rFonts w:ascii="Cambria"/>
                            <w:sz w:val="18"/>
                          </w:rPr>
                        </w:pPr>
                        <w:r>
                          <w:rPr>
                            <w:rFonts w:ascii="Cambria"/>
                            <w:sz w:val="18"/>
                          </w:rPr>
                          <w:t>248.1</w:t>
                        </w:r>
                      </w:p>
                    </w:tc>
                    <w:tc>
                      <w:tcPr>
                        <w:tcW w:w="783" w:type="dxa"/>
                        <w:tcBorders>
                          <w:top w:val="dotted" w:sz="4" w:space="0" w:color="000000"/>
                          <w:left w:val="nil"/>
                          <w:bottom w:val="nil"/>
                          <w:right w:val="nil"/>
                        </w:tcBorders>
                      </w:tcPr>
                      <w:p>
                        <w:pPr>
                          <w:pStyle w:val="TableParagraph"/>
                          <w:spacing w:before="6"/>
                          <w:ind w:left="165" w:right="141"/>
                          <w:jc w:val="center"/>
                          <w:rPr>
                            <w:rFonts w:ascii="Cambria"/>
                            <w:sz w:val="18"/>
                          </w:rPr>
                        </w:pPr>
                        <w:r>
                          <w:rPr>
                            <w:rFonts w:ascii="Cambria"/>
                            <w:sz w:val="18"/>
                          </w:rPr>
                          <w:t>237.7</w:t>
                        </w:r>
                      </w:p>
                    </w:tc>
                    <w:tc>
                      <w:tcPr>
                        <w:tcW w:w="766" w:type="dxa"/>
                        <w:tcBorders>
                          <w:top w:val="dotted" w:sz="4" w:space="0" w:color="000000"/>
                          <w:left w:val="nil"/>
                          <w:bottom w:val="nil"/>
                          <w:right w:val="nil"/>
                        </w:tcBorders>
                      </w:tcPr>
                      <w:p>
                        <w:pPr>
                          <w:pStyle w:val="TableParagraph"/>
                          <w:spacing w:before="6"/>
                          <w:ind w:left="142" w:right="147"/>
                          <w:jc w:val="center"/>
                          <w:rPr>
                            <w:rFonts w:ascii="Cambria"/>
                            <w:sz w:val="18"/>
                          </w:rPr>
                        </w:pPr>
                        <w:r>
                          <w:rPr>
                            <w:rFonts w:ascii="Cambria"/>
                            <w:sz w:val="18"/>
                          </w:rPr>
                          <w:t>250.3</w:t>
                        </w:r>
                      </w:p>
                    </w:tc>
                    <w:tc>
                      <w:tcPr>
                        <w:tcW w:w="672" w:type="dxa"/>
                        <w:tcBorders>
                          <w:top w:val="dotted" w:sz="4" w:space="0" w:color="000000"/>
                          <w:left w:val="nil"/>
                          <w:bottom w:val="nil"/>
                          <w:right w:val="nil"/>
                        </w:tcBorders>
                      </w:tcPr>
                      <w:p>
                        <w:pPr>
                          <w:pStyle w:val="TableParagraph"/>
                          <w:spacing w:before="6"/>
                          <w:ind w:left="148" w:right="148"/>
                          <w:jc w:val="center"/>
                          <w:rPr>
                            <w:rFonts w:ascii="Cambria"/>
                            <w:sz w:val="18"/>
                          </w:rPr>
                        </w:pPr>
                        <w:r>
                          <w:rPr>
                            <w:rFonts w:ascii="Cambria"/>
                            <w:sz w:val="18"/>
                          </w:rPr>
                          <w:t>82.9</w:t>
                        </w:r>
                      </w:p>
                    </w:tc>
                    <w:tc>
                      <w:tcPr>
                        <w:tcW w:w="660" w:type="dxa"/>
                        <w:tcBorders>
                          <w:top w:val="dotted" w:sz="4" w:space="0" w:color="000000"/>
                          <w:left w:val="nil"/>
                          <w:bottom w:val="nil"/>
                          <w:right w:val="nil"/>
                        </w:tcBorders>
                      </w:tcPr>
                      <w:p>
                        <w:pPr>
                          <w:pStyle w:val="TableParagraph"/>
                          <w:spacing w:before="6"/>
                          <w:ind w:left="165"/>
                          <w:rPr>
                            <w:rFonts w:ascii="Cambria"/>
                            <w:sz w:val="18"/>
                          </w:rPr>
                        </w:pPr>
                        <w:r>
                          <w:rPr>
                            <w:rFonts w:ascii="Cambria"/>
                            <w:sz w:val="18"/>
                          </w:rPr>
                          <w:t>6.4</w:t>
                        </w:r>
                      </w:p>
                    </w:tc>
                    <w:tc>
                      <w:tcPr>
                        <w:tcW w:w="1119" w:type="dxa"/>
                        <w:gridSpan w:val="2"/>
                        <w:tcBorders>
                          <w:top w:val="dotted" w:sz="4" w:space="0" w:color="000000"/>
                          <w:left w:val="nil"/>
                          <w:bottom w:val="nil"/>
                          <w:right w:val="nil"/>
                        </w:tcBorders>
                      </w:tcPr>
                      <w:p>
                        <w:pPr>
                          <w:pStyle w:val="TableParagraph"/>
                          <w:spacing w:before="6"/>
                          <w:ind w:left="254"/>
                          <w:rPr>
                            <w:rFonts w:ascii="Cambria"/>
                            <w:sz w:val="18"/>
                          </w:rPr>
                        </w:pPr>
                        <w:r>
                          <w:rPr>
                            <w:rFonts w:ascii="Cambria"/>
                            <w:sz w:val="18"/>
                          </w:rPr>
                          <w:t>0.597</w:t>
                        </w:r>
                      </w:p>
                    </w:tc>
                  </w:tr>
                  <w:tr>
                    <w:trPr>
                      <w:trHeight w:val="329" w:hRule="exact"/>
                    </w:trPr>
                    <w:tc>
                      <w:tcPr>
                        <w:tcW w:w="1221" w:type="dxa"/>
                        <w:tcBorders>
                          <w:top w:val="nil"/>
                          <w:left w:val="nil"/>
                          <w:bottom w:val="nil"/>
                          <w:right w:val="nil"/>
                        </w:tcBorders>
                      </w:tcPr>
                      <w:p>
                        <w:pPr>
                          <w:pStyle w:val="TableParagraph"/>
                          <w:spacing w:before="51"/>
                          <w:ind w:left="4"/>
                          <w:rPr>
                            <w:rFonts w:ascii="Cambria"/>
                            <w:sz w:val="12"/>
                          </w:rPr>
                        </w:pPr>
                        <w:r>
                          <w:rPr>
                            <w:rFonts w:ascii="Cambria"/>
                            <w:position w:val="1"/>
                            <w:sz w:val="18"/>
                          </w:rPr>
                          <w:t>c</w:t>
                        </w:r>
                        <w:r>
                          <w:rPr>
                            <w:rFonts w:ascii="Cambria"/>
                            <w:sz w:val="12"/>
                          </w:rPr>
                          <w:t>3 </w:t>
                        </w:r>
                        <w:r>
                          <w:rPr>
                            <w:rFonts w:ascii="Cambria"/>
                            <w:position w:val="1"/>
                            <w:sz w:val="18"/>
                          </w:rPr>
                          <w:t>=&gt; Phase </w:t>
                        </w:r>
                        <w:r>
                          <w:rPr>
                            <w:rFonts w:ascii="Cambria"/>
                            <w:position w:val="5"/>
                            <w:sz w:val="12"/>
                          </w:rPr>
                          <w:t>c</w:t>
                        </w:r>
                      </w:p>
                    </w:tc>
                    <w:tc>
                      <w:tcPr>
                        <w:tcW w:w="1549" w:type="dxa"/>
                        <w:tcBorders>
                          <w:top w:val="nil"/>
                          <w:left w:val="nil"/>
                          <w:bottom w:val="nil"/>
                          <w:right w:val="nil"/>
                        </w:tcBorders>
                      </w:tcPr>
                      <w:p>
                        <w:pPr>
                          <w:pStyle w:val="TableParagraph"/>
                          <w:spacing w:before="51"/>
                          <w:ind w:left="94"/>
                          <w:rPr>
                            <w:rFonts w:ascii="Cambria"/>
                            <w:sz w:val="18"/>
                          </w:rPr>
                        </w:pPr>
                        <w:r>
                          <w:rPr>
                            <w:rFonts w:ascii="Cambria"/>
                            <w:sz w:val="18"/>
                          </w:rPr>
                          <w:t>Protozoa fraction</w:t>
                        </w:r>
                      </w:p>
                    </w:tc>
                    <w:tc>
                      <w:tcPr>
                        <w:tcW w:w="766" w:type="dxa"/>
                        <w:tcBorders>
                          <w:top w:val="nil"/>
                          <w:left w:val="nil"/>
                          <w:bottom w:val="nil"/>
                          <w:right w:val="nil"/>
                        </w:tcBorders>
                      </w:tcPr>
                      <w:p>
                        <w:pPr>
                          <w:pStyle w:val="TableParagraph"/>
                          <w:spacing w:before="51"/>
                          <w:ind w:left="99" w:right="190"/>
                          <w:jc w:val="center"/>
                          <w:rPr>
                            <w:rFonts w:ascii="Cambria"/>
                            <w:sz w:val="18"/>
                          </w:rPr>
                        </w:pPr>
                        <w:r>
                          <w:rPr>
                            <w:rFonts w:ascii="Cambria"/>
                            <w:sz w:val="18"/>
                          </w:rPr>
                          <w:t>261.9</w:t>
                        </w:r>
                      </w:p>
                    </w:tc>
                    <w:tc>
                      <w:tcPr>
                        <w:tcW w:w="833" w:type="dxa"/>
                        <w:tcBorders>
                          <w:top w:val="nil"/>
                          <w:left w:val="nil"/>
                          <w:bottom w:val="nil"/>
                          <w:right w:val="nil"/>
                        </w:tcBorders>
                      </w:tcPr>
                      <w:p>
                        <w:pPr>
                          <w:pStyle w:val="TableParagraph"/>
                          <w:spacing w:before="51"/>
                          <w:ind w:left="208"/>
                          <w:rPr>
                            <w:rFonts w:ascii="Cambria"/>
                            <w:sz w:val="18"/>
                          </w:rPr>
                        </w:pPr>
                        <w:r>
                          <w:rPr>
                            <w:rFonts w:ascii="Cambria"/>
                            <w:sz w:val="18"/>
                          </w:rPr>
                          <w:t>234.6</w:t>
                        </w:r>
                      </w:p>
                    </w:tc>
                    <w:tc>
                      <w:tcPr>
                        <w:tcW w:w="783" w:type="dxa"/>
                        <w:tcBorders>
                          <w:top w:val="nil"/>
                          <w:left w:val="nil"/>
                          <w:bottom w:val="nil"/>
                          <w:right w:val="nil"/>
                        </w:tcBorders>
                      </w:tcPr>
                      <w:p>
                        <w:pPr>
                          <w:pStyle w:val="TableParagraph"/>
                          <w:spacing w:before="51"/>
                          <w:ind w:left="165" w:right="141"/>
                          <w:jc w:val="center"/>
                          <w:rPr>
                            <w:rFonts w:ascii="Cambria"/>
                            <w:sz w:val="18"/>
                          </w:rPr>
                        </w:pPr>
                        <w:r>
                          <w:rPr>
                            <w:rFonts w:ascii="Cambria"/>
                            <w:sz w:val="18"/>
                          </w:rPr>
                          <w:t>224.3</w:t>
                        </w:r>
                      </w:p>
                    </w:tc>
                    <w:tc>
                      <w:tcPr>
                        <w:tcW w:w="766" w:type="dxa"/>
                        <w:tcBorders>
                          <w:top w:val="nil"/>
                          <w:left w:val="nil"/>
                          <w:bottom w:val="nil"/>
                          <w:right w:val="nil"/>
                        </w:tcBorders>
                      </w:tcPr>
                      <w:p>
                        <w:pPr>
                          <w:pStyle w:val="TableParagraph"/>
                          <w:spacing w:before="51"/>
                          <w:ind w:left="142" w:right="147"/>
                          <w:jc w:val="center"/>
                          <w:rPr>
                            <w:rFonts w:ascii="Cambria"/>
                            <w:sz w:val="18"/>
                          </w:rPr>
                        </w:pPr>
                        <w:r>
                          <w:rPr>
                            <w:rFonts w:ascii="Cambria"/>
                            <w:sz w:val="18"/>
                          </w:rPr>
                          <w:t>236.8</w:t>
                        </w:r>
                      </w:p>
                    </w:tc>
                    <w:tc>
                      <w:tcPr>
                        <w:tcW w:w="672" w:type="dxa"/>
                        <w:tcBorders>
                          <w:top w:val="nil"/>
                          <w:left w:val="nil"/>
                          <w:bottom w:val="nil"/>
                          <w:right w:val="nil"/>
                        </w:tcBorders>
                      </w:tcPr>
                      <w:p>
                        <w:pPr>
                          <w:pStyle w:val="TableParagraph"/>
                          <w:spacing w:before="51"/>
                          <w:ind w:left="148" w:right="148"/>
                          <w:jc w:val="center"/>
                          <w:rPr>
                            <w:rFonts w:ascii="Cambria"/>
                            <w:sz w:val="18"/>
                          </w:rPr>
                        </w:pPr>
                        <w:r>
                          <w:rPr>
                            <w:rFonts w:ascii="Cambria"/>
                            <w:sz w:val="18"/>
                          </w:rPr>
                          <w:t>80.3</w:t>
                        </w:r>
                      </w:p>
                    </w:tc>
                    <w:tc>
                      <w:tcPr>
                        <w:tcW w:w="660" w:type="dxa"/>
                        <w:tcBorders>
                          <w:top w:val="nil"/>
                          <w:left w:val="nil"/>
                          <w:bottom w:val="nil"/>
                          <w:right w:val="nil"/>
                        </w:tcBorders>
                      </w:tcPr>
                      <w:p>
                        <w:pPr>
                          <w:pStyle w:val="TableParagraph"/>
                          <w:spacing w:before="51"/>
                          <w:ind w:left="165"/>
                          <w:rPr>
                            <w:rFonts w:ascii="Cambria"/>
                            <w:sz w:val="18"/>
                          </w:rPr>
                        </w:pPr>
                        <w:r>
                          <w:rPr>
                            <w:rFonts w:ascii="Cambria"/>
                            <w:sz w:val="18"/>
                          </w:rPr>
                          <w:t>6.2</w:t>
                        </w:r>
                      </w:p>
                    </w:tc>
                    <w:tc>
                      <w:tcPr>
                        <w:tcW w:w="1119" w:type="dxa"/>
                        <w:gridSpan w:val="2"/>
                        <w:tcBorders>
                          <w:top w:val="nil"/>
                          <w:left w:val="nil"/>
                          <w:bottom w:val="nil"/>
                          <w:right w:val="nil"/>
                        </w:tcBorders>
                      </w:tcPr>
                      <w:p>
                        <w:pPr>
                          <w:pStyle w:val="TableParagraph"/>
                          <w:spacing w:before="51"/>
                          <w:ind w:left="254"/>
                          <w:rPr>
                            <w:rFonts w:ascii="Cambria"/>
                            <w:sz w:val="18"/>
                          </w:rPr>
                        </w:pPr>
                        <w:r>
                          <w:rPr>
                            <w:rFonts w:ascii="Cambria"/>
                            <w:sz w:val="18"/>
                          </w:rPr>
                          <w:t>0.258</w:t>
                        </w:r>
                      </w:p>
                    </w:tc>
                  </w:tr>
                  <w:tr>
                    <w:trPr>
                      <w:trHeight w:val="373" w:hRule="exact"/>
                    </w:trPr>
                    <w:tc>
                      <w:tcPr>
                        <w:tcW w:w="1221" w:type="dxa"/>
                        <w:tcBorders>
                          <w:top w:val="nil"/>
                          <w:left w:val="nil"/>
                          <w:bottom w:val="dotted" w:sz="4" w:space="0" w:color="000000"/>
                          <w:right w:val="nil"/>
                        </w:tcBorders>
                      </w:tcPr>
                      <w:p>
                        <w:pPr/>
                      </w:p>
                    </w:tc>
                    <w:tc>
                      <w:tcPr>
                        <w:tcW w:w="1549" w:type="dxa"/>
                        <w:tcBorders>
                          <w:top w:val="nil"/>
                          <w:left w:val="nil"/>
                          <w:bottom w:val="dotted" w:sz="4" w:space="0" w:color="000000"/>
                          <w:right w:val="nil"/>
                        </w:tcBorders>
                      </w:tcPr>
                      <w:p>
                        <w:pPr>
                          <w:pStyle w:val="TableParagraph"/>
                          <w:spacing w:before="48"/>
                          <w:ind w:left="94"/>
                          <w:rPr>
                            <w:rFonts w:ascii="Cambria"/>
                            <w:sz w:val="18"/>
                          </w:rPr>
                        </w:pPr>
                        <w:r>
                          <w:rPr>
                            <w:rFonts w:ascii="Cambria"/>
                            <w:sz w:val="18"/>
                          </w:rPr>
                          <w:t>Media fraction</w:t>
                        </w:r>
                      </w:p>
                    </w:tc>
                    <w:tc>
                      <w:tcPr>
                        <w:tcW w:w="766" w:type="dxa"/>
                        <w:tcBorders>
                          <w:top w:val="nil"/>
                          <w:left w:val="nil"/>
                          <w:bottom w:val="dotted" w:sz="4" w:space="0" w:color="000000"/>
                          <w:right w:val="nil"/>
                        </w:tcBorders>
                      </w:tcPr>
                      <w:p>
                        <w:pPr>
                          <w:pStyle w:val="TableParagraph"/>
                          <w:spacing w:before="48"/>
                          <w:ind w:left="99" w:right="185"/>
                          <w:jc w:val="center"/>
                          <w:rPr>
                            <w:rFonts w:ascii="Cambria"/>
                            <w:sz w:val="18"/>
                          </w:rPr>
                        </w:pPr>
                        <w:r>
                          <w:rPr>
                            <w:rFonts w:ascii="Cambria"/>
                            <w:sz w:val="18"/>
                          </w:rPr>
                          <w:t>85.8</w:t>
                        </w:r>
                      </w:p>
                    </w:tc>
                    <w:tc>
                      <w:tcPr>
                        <w:tcW w:w="833" w:type="dxa"/>
                        <w:tcBorders>
                          <w:top w:val="nil"/>
                          <w:left w:val="nil"/>
                          <w:bottom w:val="dotted" w:sz="4" w:space="0" w:color="000000"/>
                          <w:right w:val="nil"/>
                        </w:tcBorders>
                      </w:tcPr>
                      <w:p>
                        <w:pPr>
                          <w:pStyle w:val="TableParagraph"/>
                          <w:spacing w:before="48"/>
                          <w:ind w:left="256"/>
                          <w:rPr>
                            <w:rFonts w:ascii="Cambria"/>
                            <w:sz w:val="18"/>
                          </w:rPr>
                        </w:pPr>
                        <w:r>
                          <w:rPr>
                            <w:rFonts w:ascii="Cambria"/>
                            <w:sz w:val="18"/>
                          </w:rPr>
                          <w:t>25.4</w:t>
                        </w:r>
                      </w:p>
                    </w:tc>
                    <w:tc>
                      <w:tcPr>
                        <w:tcW w:w="783" w:type="dxa"/>
                        <w:tcBorders>
                          <w:top w:val="nil"/>
                          <w:left w:val="nil"/>
                          <w:bottom w:val="dotted" w:sz="4" w:space="0" w:color="000000"/>
                          <w:right w:val="nil"/>
                        </w:tcBorders>
                      </w:tcPr>
                      <w:p>
                        <w:pPr>
                          <w:pStyle w:val="TableParagraph"/>
                          <w:spacing w:before="48"/>
                          <w:ind w:left="165" w:right="137"/>
                          <w:jc w:val="center"/>
                          <w:rPr>
                            <w:rFonts w:ascii="Cambria"/>
                            <w:sz w:val="18"/>
                          </w:rPr>
                        </w:pPr>
                        <w:r>
                          <w:rPr>
                            <w:rFonts w:ascii="Cambria"/>
                            <w:sz w:val="18"/>
                          </w:rPr>
                          <w:t>17.7</w:t>
                        </w:r>
                      </w:p>
                    </w:tc>
                    <w:tc>
                      <w:tcPr>
                        <w:tcW w:w="766" w:type="dxa"/>
                        <w:tcBorders>
                          <w:top w:val="nil"/>
                          <w:left w:val="nil"/>
                          <w:bottom w:val="dotted" w:sz="4" w:space="0" w:color="000000"/>
                          <w:right w:val="nil"/>
                        </w:tcBorders>
                      </w:tcPr>
                      <w:p>
                        <w:pPr>
                          <w:pStyle w:val="TableParagraph"/>
                          <w:spacing w:before="48"/>
                          <w:ind w:left="137" w:right="147"/>
                          <w:jc w:val="center"/>
                          <w:rPr>
                            <w:rFonts w:ascii="Cambria"/>
                            <w:sz w:val="18"/>
                          </w:rPr>
                        </w:pPr>
                        <w:r>
                          <w:rPr>
                            <w:rFonts w:ascii="Cambria"/>
                            <w:sz w:val="18"/>
                          </w:rPr>
                          <w:t>27.0</w:t>
                        </w:r>
                      </w:p>
                    </w:tc>
                    <w:tc>
                      <w:tcPr>
                        <w:tcW w:w="672" w:type="dxa"/>
                        <w:tcBorders>
                          <w:top w:val="nil"/>
                          <w:left w:val="nil"/>
                          <w:bottom w:val="dotted" w:sz="4" w:space="0" w:color="000000"/>
                          <w:right w:val="nil"/>
                        </w:tcBorders>
                      </w:tcPr>
                      <w:p>
                        <w:pPr>
                          <w:pStyle w:val="TableParagraph"/>
                          <w:spacing w:before="48"/>
                          <w:ind w:left="148" w:right="148"/>
                          <w:jc w:val="center"/>
                          <w:rPr>
                            <w:rFonts w:ascii="Cambria"/>
                            <w:sz w:val="18"/>
                          </w:rPr>
                        </w:pPr>
                        <w:r>
                          <w:rPr>
                            <w:rFonts w:ascii="Cambria"/>
                            <w:sz w:val="18"/>
                          </w:rPr>
                          <w:t>21.1</w:t>
                        </w:r>
                      </w:p>
                    </w:tc>
                    <w:tc>
                      <w:tcPr>
                        <w:tcW w:w="660" w:type="dxa"/>
                        <w:tcBorders>
                          <w:top w:val="nil"/>
                          <w:left w:val="nil"/>
                          <w:bottom w:val="dotted" w:sz="4" w:space="0" w:color="000000"/>
                          <w:right w:val="nil"/>
                        </w:tcBorders>
                      </w:tcPr>
                      <w:p>
                        <w:pPr>
                          <w:pStyle w:val="TableParagraph"/>
                          <w:spacing w:before="48"/>
                          <w:ind w:left="165"/>
                          <w:rPr>
                            <w:rFonts w:ascii="Cambria"/>
                            <w:sz w:val="18"/>
                          </w:rPr>
                        </w:pPr>
                        <w:r>
                          <w:rPr>
                            <w:rFonts w:ascii="Cambria"/>
                            <w:sz w:val="18"/>
                          </w:rPr>
                          <w:t>0.7</w:t>
                        </w:r>
                      </w:p>
                    </w:tc>
                    <w:tc>
                      <w:tcPr>
                        <w:tcW w:w="1119" w:type="dxa"/>
                        <w:gridSpan w:val="2"/>
                        <w:tcBorders>
                          <w:top w:val="nil"/>
                          <w:left w:val="nil"/>
                          <w:bottom w:val="dotted" w:sz="4" w:space="0" w:color="000000"/>
                          <w:right w:val="nil"/>
                        </w:tcBorders>
                      </w:tcPr>
                      <w:p>
                        <w:pPr>
                          <w:pStyle w:val="TableParagraph"/>
                          <w:spacing w:before="48"/>
                          <w:ind w:left="254"/>
                          <w:rPr>
                            <w:rFonts w:ascii="Cambria"/>
                            <w:sz w:val="18"/>
                          </w:rPr>
                        </w:pPr>
                        <w:r>
                          <w:rPr>
                            <w:rFonts w:ascii="Cambria"/>
                            <w:sz w:val="18"/>
                          </w:rPr>
                          <w:t>0.145</w:t>
                        </w:r>
                      </w:p>
                    </w:tc>
                  </w:tr>
                  <w:tr>
                    <w:trPr>
                      <w:trHeight w:val="366" w:hRule="exact"/>
                    </w:trPr>
                    <w:tc>
                      <w:tcPr>
                        <w:tcW w:w="8370" w:type="dxa"/>
                        <w:gridSpan w:val="10"/>
                        <w:tcBorders>
                          <w:top w:val="nil"/>
                          <w:left w:val="nil"/>
                          <w:bottom w:val="nil"/>
                          <w:right w:val="nil"/>
                        </w:tcBorders>
                      </w:tcPr>
                      <w:p>
                        <w:pPr>
                          <w:pStyle w:val="TableParagraph"/>
                          <w:spacing w:line="187" w:lineRule="exact" w:before="11"/>
                          <w:ind w:left="1315"/>
                          <w:rPr>
                            <w:rFonts w:ascii="Cambria"/>
                            <w:sz w:val="18"/>
                          </w:rPr>
                        </w:pPr>
                        <w:r>
                          <w:rPr>
                            <w:rFonts w:ascii="Cambria"/>
                            <w:sz w:val="18"/>
                          </w:rPr>
                          <w:t>HP-88 (112-</w:t>
                        </w:r>
                      </w:p>
                      <w:p>
                        <w:pPr>
                          <w:pStyle w:val="TableParagraph"/>
                          <w:tabs>
                            <w:tab w:pos="2885" w:val="left" w:leader="none"/>
                            <w:tab w:pos="3745" w:val="left" w:leader="none"/>
                            <w:tab w:pos="4552" w:val="left" w:leader="none"/>
                            <w:tab w:pos="5310" w:val="left" w:leader="none"/>
                            <w:tab w:pos="6083" w:val="left" w:leader="none"/>
                            <w:tab w:pos="6755" w:val="left" w:leader="none"/>
                            <w:tab w:pos="7947" w:val="right" w:leader="none"/>
                          </w:tabs>
                          <w:spacing w:line="187" w:lineRule="exact"/>
                          <w:ind w:left="4"/>
                          <w:rPr>
                            <w:rFonts w:ascii="Cambria"/>
                            <w:sz w:val="18"/>
                          </w:rPr>
                        </w:pPr>
                        <w:r>
                          <w:rPr>
                            <w:rFonts w:ascii="Cambria"/>
                            <w:position w:val="1"/>
                            <w:sz w:val="18"/>
                          </w:rPr>
                          <w:t>c</w:t>
                        </w:r>
                        <w:r>
                          <w:rPr>
                            <w:rFonts w:ascii="Cambria"/>
                            <w:sz w:val="12"/>
                          </w:rPr>
                          <w:t>4 </w:t>
                        </w:r>
                        <w:r>
                          <w:rPr>
                            <w:rFonts w:ascii="Cambria"/>
                            <w:position w:val="1"/>
                            <w:sz w:val="18"/>
                          </w:rPr>
                          <w:t>=&gt;</w:t>
                        </w:r>
                        <w:r>
                          <w:rPr>
                            <w:rFonts w:ascii="Cambria"/>
                            <w:spacing w:val="11"/>
                            <w:position w:val="1"/>
                            <w:sz w:val="18"/>
                          </w:rPr>
                          <w:t> </w:t>
                        </w:r>
                        <w:r>
                          <w:rPr>
                            <w:rFonts w:ascii="Cambria"/>
                            <w:position w:val="1"/>
                            <w:sz w:val="18"/>
                          </w:rPr>
                          <w:t>Column</w:t>
                        </w:r>
                        <w:r>
                          <w:rPr>
                            <w:rFonts w:ascii="Cambria"/>
                            <w:spacing w:val="-3"/>
                            <w:position w:val="1"/>
                            <w:sz w:val="18"/>
                          </w:rPr>
                          <w:t> </w:t>
                        </w:r>
                        <w:r>
                          <w:rPr>
                            <w:rFonts w:ascii="Cambria"/>
                            <w:position w:val="1"/>
                            <w:sz w:val="18"/>
                          </w:rPr>
                          <w:t>of</w:t>
                          <w:tab/>
                          <w:t>266.8</w:t>
                          <w:tab/>
                          <w:t>244.0</w:t>
                          <w:tab/>
                          <w:t>233.6</w:t>
                          <w:tab/>
                          <w:t>246.2</w:t>
                          <w:tab/>
                          <w:t>82.1</w:t>
                          <w:tab/>
                          <w:t>6.4</w:t>
                          <w:tab/>
                          <w:t>0.855</w:t>
                        </w:r>
                      </w:p>
                    </w:tc>
                  </w:tr>
                  <w:tr>
                    <w:trPr>
                      <w:trHeight w:val="240" w:hRule="exact"/>
                    </w:trPr>
                    <w:tc>
                      <w:tcPr>
                        <w:tcW w:w="2770" w:type="dxa"/>
                        <w:gridSpan w:val="2"/>
                        <w:tcBorders>
                          <w:top w:val="nil"/>
                          <w:left w:val="nil"/>
                          <w:bottom w:val="nil"/>
                          <w:right w:val="nil"/>
                        </w:tcBorders>
                      </w:tcPr>
                      <w:p>
                        <w:pPr>
                          <w:pStyle w:val="TableParagraph"/>
                          <w:spacing w:line="188" w:lineRule="exact"/>
                          <w:ind w:left="1294" w:right="951"/>
                          <w:jc w:val="center"/>
                          <w:rPr>
                            <w:rFonts w:ascii="Cambria"/>
                            <w:sz w:val="18"/>
                          </w:rPr>
                        </w:pPr>
                        <w:r>
                          <w:rPr>
                            <w:rFonts w:ascii="Cambria"/>
                            <w:sz w:val="18"/>
                          </w:rPr>
                          <w:t>88A7)</w:t>
                        </w:r>
                      </w:p>
                    </w:tc>
                    <w:tc>
                      <w:tcPr>
                        <w:tcW w:w="766" w:type="dxa"/>
                        <w:tcBorders>
                          <w:top w:val="nil"/>
                          <w:left w:val="nil"/>
                          <w:bottom w:val="nil"/>
                          <w:right w:val="nil"/>
                        </w:tcBorders>
                      </w:tcPr>
                      <w:p>
                        <w:pPr/>
                      </w:p>
                    </w:tc>
                    <w:tc>
                      <w:tcPr>
                        <w:tcW w:w="833" w:type="dxa"/>
                        <w:tcBorders>
                          <w:top w:val="nil"/>
                          <w:left w:val="nil"/>
                          <w:bottom w:val="nil"/>
                          <w:right w:val="nil"/>
                        </w:tcBorders>
                      </w:tcPr>
                      <w:p>
                        <w:pPr/>
                      </w:p>
                    </w:tc>
                    <w:tc>
                      <w:tcPr>
                        <w:tcW w:w="783" w:type="dxa"/>
                        <w:tcBorders>
                          <w:top w:val="nil"/>
                          <w:left w:val="nil"/>
                          <w:bottom w:val="nil"/>
                          <w:right w:val="nil"/>
                        </w:tcBorders>
                      </w:tcPr>
                      <w:p>
                        <w:pPr/>
                      </w:p>
                    </w:tc>
                    <w:tc>
                      <w:tcPr>
                        <w:tcW w:w="766" w:type="dxa"/>
                        <w:tcBorders>
                          <w:top w:val="nil"/>
                          <w:left w:val="nil"/>
                          <w:bottom w:val="nil"/>
                          <w:right w:val="nil"/>
                        </w:tcBorders>
                      </w:tcPr>
                      <w:p>
                        <w:pPr/>
                      </w:p>
                    </w:tc>
                    <w:tc>
                      <w:tcPr>
                        <w:tcW w:w="672" w:type="dxa"/>
                        <w:tcBorders>
                          <w:top w:val="nil"/>
                          <w:left w:val="nil"/>
                          <w:bottom w:val="nil"/>
                          <w:right w:val="nil"/>
                        </w:tcBorders>
                      </w:tcPr>
                      <w:p>
                        <w:pPr/>
                      </w:p>
                    </w:tc>
                    <w:tc>
                      <w:tcPr>
                        <w:tcW w:w="660" w:type="dxa"/>
                        <w:tcBorders>
                          <w:top w:val="nil"/>
                          <w:left w:val="nil"/>
                          <w:bottom w:val="nil"/>
                          <w:right w:val="nil"/>
                        </w:tcBorders>
                      </w:tcPr>
                      <w:p>
                        <w:pPr/>
                      </w:p>
                    </w:tc>
                    <w:tc>
                      <w:tcPr>
                        <w:tcW w:w="1052" w:type="dxa"/>
                        <w:tcBorders>
                          <w:top w:val="nil"/>
                          <w:left w:val="nil"/>
                          <w:bottom w:val="nil"/>
                          <w:right w:val="nil"/>
                        </w:tcBorders>
                      </w:tcPr>
                      <w:p>
                        <w:pPr/>
                      </w:p>
                    </w:tc>
                    <w:tc>
                      <w:tcPr>
                        <w:tcW w:w="67" w:type="dxa"/>
                        <w:tcBorders>
                          <w:top w:val="nil"/>
                          <w:left w:val="nil"/>
                          <w:bottom w:val="nil"/>
                          <w:right w:val="nil"/>
                        </w:tcBorders>
                      </w:tcPr>
                      <w:p>
                        <w:pPr/>
                      </w:p>
                    </w:tc>
                  </w:tr>
                  <w:tr>
                    <w:trPr>
                      <w:trHeight w:val="373" w:hRule="exact"/>
                    </w:trPr>
                    <w:tc>
                      <w:tcPr>
                        <w:tcW w:w="2770" w:type="dxa"/>
                        <w:gridSpan w:val="2"/>
                        <w:tcBorders>
                          <w:top w:val="nil"/>
                          <w:left w:val="nil"/>
                          <w:bottom w:val="dotted" w:sz="4" w:space="0" w:color="000000"/>
                          <w:right w:val="nil"/>
                        </w:tcBorders>
                      </w:tcPr>
                      <w:p>
                        <w:pPr>
                          <w:pStyle w:val="TableParagraph"/>
                          <w:spacing w:before="48"/>
                          <w:ind w:left="1315"/>
                          <w:rPr>
                            <w:rFonts w:ascii="Cambria"/>
                            <w:sz w:val="18"/>
                          </w:rPr>
                        </w:pPr>
                        <w:r>
                          <w:rPr>
                            <w:rFonts w:ascii="Cambria"/>
                            <w:sz w:val="18"/>
                          </w:rPr>
                          <w:t>DB-FFAP</w:t>
                        </w:r>
                      </w:p>
                    </w:tc>
                    <w:tc>
                      <w:tcPr>
                        <w:tcW w:w="766" w:type="dxa"/>
                        <w:tcBorders>
                          <w:top w:val="nil"/>
                          <w:left w:val="nil"/>
                          <w:bottom w:val="dotted" w:sz="4" w:space="0" w:color="000000"/>
                          <w:right w:val="nil"/>
                        </w:tcBorders>
                      </w:tcPr>
                      <w:p>
                        <w:pPr>
                          <w:pStyle w:val="TableParagraph"/>
                          <w:spacing w:before="48"/>
                          <w:ind w:left="99" w:right="185"/>
                          <w:jc w:val="center"/>
                          <w:rPr>
                            <w:rFonts w:ascii="Cambria"/>
                            <w:sz w:val="18"/>
                          </w:rPr>
                        </w:pPr>
                        <w:r>
                          <w:rPr>
                            <w:rFonts w:ascii="Cambria"/>
                            <w:sz w:val="18"/>
                          </w:rPr>
                          <w:t>85.8</w:t>
                        </w:r>
                      </w:p>
                    </w:tc>
                    <w:tc>
                      <w:tcPr>
                        <w:tcW w:w="833" w:type="dxa"/>
                        <w:tcBorders>
                          <w:top w:val="nil"/>
                          <w:left w:val="nil"/>
                          <w:bottom w:val="dotted" w:sz="4" w:space="0" w:color="000000"/>
                          <w:right w:val="nil"/>
                        </w:tcBorders>
                      </w:tcPr>
                      <w:p>
                        <w:pPr>
                          <w:pStyle w:val="TableParagraph"/>
                          <w:spacing w:before="48"/>
                          <w:ind w:left="256"/>
                          <w:rPr>
                            <w:rFonts w:ascii="Cambria"/>
                            <w:sz w:val="18"/>
                          </w:rPr>
                        </w:pPr>
                        <w:r>
                          <w:rPr>
                            <w:rFonts w:ascii="Cambria"/>
                            <w:sz w:val="18"/>
                          </w:rPr>
                          <w:t>25.4</w:t>
                        </w:r>
                      </w:p>
                    </w:tc>
                    <w:tc>
                      <w:tcPr>
                        <w:tcW w:w="783" w:type="dxa"/>
                        <w:tcBorders>
                          <w:top w:val="nil"/>
                          <w:left w:val="nil"/>
                          <w:bottom w:val="dotted" w:sz="4" w:space="0" w:color="000000"/>
                          <w:right w:val="nil"/>
                        </w:tcBorders>
                      </w:tcPr>
                      <w:p>
                        <w:pPr>
                          <w:pStyle w:val="TableParagraph"/>
                          <w:spacing w:before="48"/>
                          <w:ind w:left="165" w:right="137"/>
                          <w:jc w:val="center"/>
                          <w:rPr>
                            <w:rFonts w:ascii="Cambria"/>
                            <w:sz w:val="18"/>
                          </w:rPr>
                        </w:pPr>
                        <w:r>
                          <w:rPr>
                            <w:rFonts w:ascii="Cambria"/>
                            <w:sz w:val="18"/>
                          </w:rPr>
                          <w:t>17.7</w:t>
                        </w:r>
                      </w:p>
                    </w:tc>
                    <w:tc>
                      <w:tcPr>
                        <w:tcW w:w="766" w:type="dxa"/>
                        <w:tcBorders>
                          <w:top w:val="nil"/>
                          <w:left w:val="nil"/>
                          <w:bottom w:val="dotted" w:sz="4" w:space="0" w:color="000000"/>
                          <w:right w:val="nil"/>
                        </w:tcBorders>
                      </w:tcPr>
                      <w:p>
                        <w:pPr>
                          <w:pStyle w:val="TableParagraph"/>
                          <w:spacing w:before="48"/>
                          <w:ind w:left="137" w:right="147"/>
                          <w:jc w:val="center"/>
                          <w:rPr>
                            <w:rFonts w:ascii="Cambria"/>
                            <w:sz w:val="18"/>
                          </w:rPr>
                        </w:pPr>
                        <w:r>
                          <w:rPr>
                            <w:rFonts w:ascii="Cambria"/>
                            <w:sz w:val="18"/>
                          </w:rPr>
                          <w:t>27.0</w:t>
                        </w:r>
                      </w:p>
                    </w:tc>
                    <w:tc>
                      <w:tcPr>
                        <w:tcW w:w="672" w:type="dxa"/>
                        <w:tcBorders>
                          <w:top w:val="nil"/>
                          <w:left w:val="nil"/>
                          <w:bottom w:val="dotted" w:sz="4" w:space="0" w:color="000000"/>
                          <w:right w:val="nil"/>
                        </w:tcBorders>
                      </w:tcPr>
                      <w:p>
                        <w:pPr>
                          <w:pStyle w:val="TableParagraph"/>
                          <w:spacing w:before="48"/>
                          <w:ind w:left="148" w:right="148"/>
                          <w:jc w:val="center"/>
                          <w:rPr>
                            <w:rFonts w:ascii="Cambria"/>
                            <w:sz w:val="18"/>
                          </w:rPr>
                        </w:pPr>
                        <w:r>
                          <w:rPr>
                            <w:rFonts w:ascii="Cambria"/>
                            <w:sz w:val="18"/>
                          </w:rPr>
                          <w:t>21.1</w:t>
                        </w:r>
                      </w:p>
                    </w:tc>
                    <w:tc>
                      <w:tcPr>
                        <w:tcW w:w="660" w:type="dxa"/>
                        <w:tcBorders>
                          <w:top w:val="nil"/>
                          <w:left w:val="nil"/>
                          <w:bottom w:val="dotted" w:sz="4" w:space="0" w:color="000000"/>
                          <w:right w:val="nil"/>
                        </w:tcBorders>
                      </w:tcPr>
                      <w:p>
                        <w:pPr>
                          <w:pStyle w:val="TableParagraph"/>
                          <w:spacing w:before="48"/>
                          <w:ind w:left="165"/>
                          <w:rPr>
                            <w:rFonts w:ascii="Cambria"/>
                            <w:sz w:val="18"/>
                          </w:rPr>
                        </w:pPr>
                        <w:r>
                          <w:rPr>
                            <w:rFonts w:ascii="Cambria"/>
                            <w:sz w:val="18"/>
                          </w:rPr>
                          <w:t>0.7</w:t>
                        </w:r>
                      </w:p>
                    </w:tc>
                    <w:tc>
                      <w:tcPr>
                        <w:tcW w:w="1052" w:type="dxa"/>
                        <w:tcBorders>
                          <w:top w:val="nil"/>
                          <w:left w:val="nil"/>
                          <w:bottom w:val="dotted" w:sz="4" w:space="0" w:color="000000"/>
                          <w:right w:val="nil"/>
                        </w:tcBorders>
                      </w:tcPr>
                      <w:p>
                        <w:pPr>
                          <w:pStyle w:val="TableParagraph"/>
                          <w:spacing w:before="48"/>
                          <w:ind w:left="254"/>
                          <w:rPr>
                            <w:rFonts w:ascii="Cambria"/>
                            <w:sz w:val="18"/>
                          </w:rPr>
                        </w:pPr>
                        <w:r>
                          <w:rPr>
                            <w:rFonts w:ascii="Cambria"/>
                            <w:sz w:val="18"/>
                          </w:rPr>
                          <w:t>0.145</w:t>
                        </w:r>
                      </w:p>
                    </w:tc>
                    <w:tc>
                      <w:tcPr>
                        <w:tcW w:w="67" w:type="dxa"/>
                        <w:tcBorders>
                          <w:top w:val="nil"/>
                          <w:left w:val="nil"/>
                          <w:bottom w:val="nil"/>
                          <w:right w:val="nil"/>
                        </w:tcBorders>
                      </w:tcPr>
                      <w:p>
                        <w:pPr/>
                      </w:p>
                    </w:tc>
                  </w:tr>
                  <w:tr>
                    <w:trPr>
                      <w:trHeight w:val="294" w:hRule="exact"/>
                    </w:trPr>
                    <w:tc>
                      <w:tcPr>
                        <w:tcW w:w="2770" w:type="dxa"/>
                        <w:gridSpan w:val="2"/>
                        <w:tcBorders>
                          <w:top w:val="dotted" w:sz="4" w:space="0" w:color="000000"/>
                          <w:left w:val="nil"/>
                          <w:bottom w:val="nil"/>
                          <w:right w:val="nil"/>
                        </w:tcBorders>
                      </w:tcPr>
                      <w:p>
                        <w:pPr>
                          <w:pStyle w:val="TableParagraph"/>
                          <w:spacing w:before="12"/>
                          <w:ind w:right="32"/>
                          <w:jc w:val="center"/>
                          <w:rPr>
                            <w:rFonts w:ascii="Cambria"/>
                            <w:b/>
                            <w:i/>
                            <w:sz w:val="18"/>
                          </w:rPr>
                        </w:pPr>
                        <w:r>
                          <w:rPr>
                            <w:rFonts w:ascii="Cambria"/>
                            <w:b/>
                            <w:i/>
                            <w:w w:val="101"/>
                            <w:sz w:val="18"/>
                          </w:rPr>
                          <w:t>0</w:t>
                        </w:r>
                      </w:p>
                    </w:tc>
                    <w:tc>
                      <w:tcPr>
                        <w:tcW w:w="766" w:type="dxa"/>
                        <w:tcBorders>
                          <w:top w:val="dotted" w:sz="4" w:space="0" w:color="000000"/>
                          <w:left w:val="nil"/>
                          <w:bottom w:val="nil"/>
                          <w:right w:val="nil"/>
                        </w:tcBorders>
                      </w:tcPr>
                      <w:p>
                        <w:pPr>
                          <w:pStyle w:val="TableParagraph"/>
                          <w:spacing w:before="12"/>
                          <w:ind w:left="99" w:right="190"/>
                          <w:jc w:val="center"/>
                          <w:rPr>
                            <w:rFonts w:ascii="Cambria"/>
                            <w:sz w:val="18"/>
                          </w:rPr>
                        </w:pPr>
                        <w:r>
                          <w:rPr>
                            <w:rFonts w:ascii="Cambria"/>
                            <w:sz w:val="18"/>
                          </w:rPr>
                          <w:t>242.8</w:t>
                        </w:r>
                      </w:p>
                    </w:tc>
                    <w:tc>
                      <w:tcPr>
                        <w:tcW w:w="833" w:type="dxa"/>
                        <w:tcBorders>
                          <w:top w:val="dotted" w:sz="4" w:space="0" w:color="000000"/>
                          <w:left w:val="nil"/>
                          <w:bottom w:val="nil"/>
                          <w:right w:val="nil"/>
                        </w:tcBorders>
                      </w:tcPr>
                      <w:p>
                        <w:pPr>
                          <w:pStyle w:val="TableParagraph"/>
                          <w:spacing w:before="12"/>
                          <w:ind w:left="208"/>
                          <w:rPr>
                            <w:rFonts w:ascii="Cambria"/>
                            <w:sz w:val="18"/>
                          </w:rPr>
                        </w:pPr>
                        <w:r>
                          <w:rPr>
                            <w:rFonts w:ascii="Cambria"/>
                            <w:sz w:val="18"/>
                          </w:rPr>
                          <w:t>213.9</w:t>
                        </w:r>
                      </w:p>
                    </w:tc>
                    <w:tc>
                      <w:tcPr>
                        <w:tcW w:w="783" w:type="dxa"/>
                        <w:tcBorders>
                          <w:top w:val="dotted" w:sz="4" w:space="0" w:color="000000"/>
                          <w:left w:val="nil"/>
                          <w:bottom w:val="nil"/>
                          <w:right w:val="nil"/>
                        </w:tcBorders>
                      </w:tcPr>
                      <w:p>
                        <w:pPr>
                          <w:pStyle w:val="TableParagraph"/>
                          <w:spacing w:before="12"/>
                          <w:ind w:left="165" w:right="141"/>
                          <w:jc w:val="center"/>
                          <w:rPr>
                            <w:rFonts w:ascii="Cambria"/>
                            <w:sz w:val="18"/>
                          </w:rPr>
                        </w:pPr>
                        <w:r>
                          <w:rPr>
                            <w:rFonts w:ascii="Cambria"/>
                            <w:sz w:val="18"/>
                          </w:rPr>
                          <w:t>203.8</w:t>
                        </w:r>
                      </w:p>
                    </w:tc>
                    <w:tc>
                      <w:tcPr>
                        <w:tcW w:w="766" w:type="dxa"/>
                        <w:tcBorders>
                          <w:top w:val="dotted" w:sz="4" w:space="0" w:color="000000"/>
                          <w:left w:val="nil"/>
                          <w:bottom w:val="nil"/>
                          <w:right w:val="nil"/>
                        </w:tcBorders>
                      </w:tcPr>
                      <w:p>
                        <w:pPr>
                          <w:pStyle w:val="TableParagraph"/>
                          <w:spacing w:before="12"/>
                          <w:ind w:left="142" w:right="147"/>
                          <w:jc w:val="center"/>
                          <w:rPr>
                            <w:rFonts w:ascii="Cambria"/>
                            <w:sz w:val="18"/>
                          </w:rPr>
                        </w:pPr>
                        <w:r>
                          <w:rPr>
                            <w:rFonts w:ascii="Cambria"/>
                            <w:sz w:val="18"/>
                          </w:rPr>
                          <w:t>216.0</w:t>
                        </w:r>
                      </w:p>
                    </w:tc>
                    <w:tc>
                      <w:tcPr>
                        <w:tcW w:w="672" w:type="dxa"/>
                        <w:tcBorders>
                          <w:top w:val="dotted" w:sz="4" w:space="0" w:color="000000"/>
                          <w:left w:val="nil"/>
                          <w:bottom w:val="nil"/>
                          <w:right w:val="nil"/>
                        </w:tcBorders>
                      </w:tcPr>
                      <w:p>
                        <w:pPr>
                          <w:pStyle w:val="TableParagraph"/>
                          <w:spacing w:before="12"/>
                          <w:ind w:left="148" w:right="148"/>
                          <w:jc w:val="center"/>
                          <w:rPr>
                            <w:rFonts w:ascii="Cambria"/>
                            <w:sz w:val="18"/>
                          </w:rPr>
                        </w:pPr>
                        <w:r>
                          <w:rPr>
                            <w:rFonts w:ascii="Cambria"/>
                            <w:sz w:val="18"/>
                          </w:rPr>
                          <w:t>73.9</w:t>
                        </w:r>
                      </w:p>
                    </w:tc>
                    <w:tc>
                      <w:tcPr>
                        <w:tcW w:w="660" w:type="dxa"/>
                        <w:tcBorders>
                          <w:top w:val="dotted" w:sz="4" w:space="0" w:color="000000"/>
                          <w:left w:val="nil"/>
                          <w:bottom w:val="nil"/>
                          <w:right w:val="nil"/>
                        </w:tcBorders>
                      </w:tcPr>
                      <w:p>
                        <w:pPr>
                          <w:pStyle w:val="TableParagraph"/>
                          <w:spacing w:before="12"/>
                          <w:ind w:left="165"/>
                          <w:rPr>
                            <w:rFonts w:ascii="Cambria"/>
                            <w:sz w:val="18"/>
                          </w:rPr>
                        </w:pPr>
                        <w:r>
                          <w:rPr>
                            <w:rFonts w:ascii="Cambria"/>
                            <w:sz w:val="18"/>
                          </w:rPr>
                          <w:t>5.6</w:t>
                        </w:r>
                      </w:p>
                    </w:tc>
                    <w:tc>
                      <w:tcPr>
                        <w:tcW w:w="1052" w:type="dxa"/>
                        <w:tcBorders>
                          <w:top w:val="dotted" w:sz="4" w:space="0" w:color="000000"/>
                          <w:left w:val="nil"/>
                          <w:bottom w:val="nil"/>
                          <w:right w:val="nil"/>
                        </w:tcBorders>
                      </w:tcPr>
                      <w:p>
                        <w:pPr>
                          <w:pStyle w:val="TableParagraph"/>
                          <w:spacing w:before="12"/>
                          <w:ind w:left="254"/>
                          <w:rPr>
                            <w:rFonts w:ascii="Cambria"/>
                            <w:sz w:val="18"/>
                          </w:rPr>
                        </w:pPr>
                        <w:r>
                          <w:rPr>
                            <w:rFonts w:ascii="Cambria"/>
                            <w:sz w:val="18"/>
                          </w:rPr>
                          <w:t>0.391</w:t>
                        </w:r>
                      </w:p>
                    </w:tc>
                    <w:tc>
                      <w:tcPr>
                        <w:tcW w:w="67" w:type="dxa"/>
                        <w:tcBorders>
                          <w:top w:val="nil"/>
                          <w:left w:val="nil"/>
                          <w:bottom w:val="nil"/>
                          <w:right w:val="nil"/>
                        </w:tcBorders>
                      </w:tcPr>
                      <w:p>
                        <w:pPr/>
                      </w:p>
                    </w:tc>
                  </w:tr>
                  <w:tr>
                    <w:trPr>
                      <w:trHeight w:val="326" w:hRule="exact"/>
                    </w:trPr>
                    <w:tc>
                      <w:tcPr>
                        <w:tcW w:w="2770" w:type="dxa"/>
                        <w:gridSpan w:val="2"/>
                        <w:tcBorders>
                          <w:top w:val="nil"/>
                          <w:left w:val="nil"/>
                          <w:bottom w:val="nil"/>
                          <w:right w:val="nil"/>
                        </w:tcBorders>
                      </w:tcPr>
                      <w:p>
                        <w:pPr>
                          <w:pStyle w:val="TableParagraph"/>
                          <w:spacing w:before="53"/>
                          <w:ind w:left="4"/>
                          <w:rPr>
                            <w:rFonts w:ascii="Cambria"/>
                            <w:b/>
                            <w:i/>
                            <w:sz w:val="18"/>
                          </w:rPr>
                        </w:pPr>
                        <w:r>
                          <w:rPr>
                            <w:rFonts w:ascii="Cambria"/>
                            <w:position w:val="1"/>
                            <w:sz w:val="18"/>
                          </w:rPr>
                          <w:t>c</w:t>
                        </w:r>
                        <w:r>
                          <w:rPr>
                            <w:rFonts w:ascii="Cambria"/>
                            <w:sz w:val="12"/>
                          </w:rPr>
                          <w:t>5 </w:t>
                        </w:r>
                        <w:r>
                          <w:rPr>
                            <w:rFonts w:ascii="Cambria"/>
                            <w:position w:val="1"/>
                            <w:sz w:val="18"/>
                          </w:rPr>
                          <w:t>=&gt; Replicate    </w:t>
                        </w:r>
                        <w:r>
                          <w:rPr>
                            <w:rFonts w:ascii="Cambria"/>
                            <w:b/>
                            <w:i/>
                            <w:position w:val="1"/>
                            <w:sz w:val="18"/>
                          </w:rPr>
                          <w:t>0.1</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242.8</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213.9</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203.8</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216.0</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73.9</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5.6</w:t>
                        </w:r>
                      </w:p>
                    </w:tc>
                    <w:tc>
                      <w:tcPr>
                        <w:tcW w:w="1052" w:type="dxa"/>
                        <w:tcBorders>
                          <w:top w:val="nil"/>
                          <w:left w:val="nil"/>
                          <w:bottom w:val="nil"/>
                          <w:right w:val="nil"/>
                        </w:tcBorders>
                      </w:tcPr>
                      <w:p>
                        <w:pPr>
                          <w:pStyle w:val="TableParagraph"/>
                          <w:spacing w:before="48"/>
                          <w:ind w:left="254"/>
                          <w:rPr>
                            <w:rFonts w:ascii="Cambria"/>
                            <w:sz w:val="18"/>
                          </w:rPr>
                        </w:pPr>
                        <w:r>
                          <w:rPr>
                            <w:rFonts w:ascii="Cambria"/>
                            <w:sz w:val="18"/>
                          </w:rPr>
                          <w:t>0.391</w:t>
                        </w:r>
                      </w:p>
                    </w:tc>
                    <w:tc>
                      <w:tcPr>
                        <w:tcW w:w="67" w:type="dxa"/>
                        <w:tcBorders>
                          <w:top w:val="nil"/>
                          <w:left w:val="nil"/>
                          <w:bottom w:val="nil"/>
                          <w:right w:val="nil"/>
                        </w:tcBorders>
                      </w:tcPr>
                      <w:p>
                        <w:pPr/>
                      </w:p>
                    </w:tc>
                  </w:tr>
                  <w:tr>
                    <w:trPr>
                      <w:trHeight w:val="329" w:hRule="exact"/>
                    </w:trPr>
                    <w:tc>
                      <w:tcPr>
                        <w:tcW w:w="2770" w:type="dxa"/>
                        <w:gridSpan w:val="2"/>
                        <w:tcBorders>
                          <w:top w:val="nil"/>
                          <w:left w:val="nil"/>
                          <w:bottom w:val="nil"/>
                          <w:right w:val="nil"/>
                        </w:tcBorders>
                      </w:tcPr>
                      <w:p>
                        <w:pPr>
                          <w:pStyle w:val="TableParagraph"/>
                          <w:tabs>
                            <w:tab w:pos="1563" w:val="right" w:leader="none"/>
                          </w:tabs>
                          <w:spacing w:before="48"/>
                          <w:ind w:left="4"/>
                          <w:rPr>
                            <w:rFonts w:ascii="Cambria"/>
                            <w:b/>
                            <w:i/>
                            <w:sz w:val="18"/>
                          </w:rPr>
                        </w:pPr>
                        <w:r>
                          <w:rPr>
                            <w:rFonts w:ascii="Cambria"/>
                            <w:sz w:val="18"/>
                          </w:rPr>
                          <w:t>(</w:t>
                        </w:r>
                        <w:r>
                          <w:rPr>
                            <w:rFonts w:ascii="Cambria"/>
                            <w:i/>
                            <w:sz w:val="18"/>
                          </w:rPr>
                          <w:t>r</w:t>
                        </w:r>
                        <w:r>
                          <w:rPr>
                            <w:rFonts w:ascii="Cambria"/>
                            <w:sz w:val="18"/>
                          </w:rPr>
                          <w:t>-error) </w:t>
                        </w:r>
                        <w:r>
                          <w:rPr>
                            <w:rFonts w:ascii="Cambria"/>
                            <w:i/>
                            <w:position w:val="4"/>
                            <w:sz w:val="12"/>
                          </w:rPr>
                          <w:t>e</w:t>
                        </w:r>
                        <w:r>
                          <w:rPr>
                            <w:rFonts w:ascii="Cambria"/>
                            <w:b/>
                            <w:i/>
                            <w:sz w:val="18"/>
                          </w:rPr>
                          <w:tab/>
                          <w:t>0.2</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205.8</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173.6</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164.2</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175.6</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61.6</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4.4</w:t>
                        </w:r>
                      </w:p>
                    </w:tc>
                    <w:tc>
                      <w:tcPr>
                        <w:tcW w:w="1052" w:type="dxa"/>
                        <w:tcBorders>
                          <w:top w:val="nil"/>
                          <w:left w:val="nil"/>
                          <w:bottom w:val="nil"/>
                          <w:right w:val="nil"/>
                        </w:tcBorders>
                      </w:tcPr>
                      <w:p>
                        <w:pPr>
                          <w:pStyle w:val="TableParagraph"/>
                          <w:spacing w:before="48"/>
                          <w:ind w:left="254"/>
                          <w:rPr>
                            <w:rFonts w:ascii="Cambria"/>
                            <w:sz w:val="18"/>
                          </w:rPr>
                        </w:pPr>
                        <w:r>
                          <w:rPr>
                            <w:rFonts w:ascii="Cambria"/>
                            <w:sz w:val="18"/>
                          </w:rPr>
                          <w:t>0.133</w:t>
                        </w:r>
                      </w:p>
                    </w:tc>
                    <w:tc>
                      <w:tcPr>
                        <w:tcW w:w="67" w:type="dxa"/>
                        <w:tcBorders>
                          <w:top w:val="nil"/>
                          <w:left w:val="nil"/>
                          <w:bottom w:val="nil"/>
                          <w:right w:val="nil"/>
                        </w:tcBorders>
                      </w:tcPr>
                      <w:p>
                        <w:pPr/>
                      </w:p>
                    </w:tc>
                  </w:tr>
                  <w:tr>
                    <w:trPr>
                      <w:trHeight w:val="371" w:hRule="exact"/>
                    </w:trPr>
                    <w:tc>
                      <w:tcPr>
                        <w:tcW w:w="2770" w:type="dxa"/>
                        <w:gridSpan w:val="2"/>
                        <w:tcBorders>
                          <w:top w:val="nil"/>
                          <w:left w:val="nil"/>
                          <w:bottom w:val="dotted" w:sz="4" w:space="0" w:color="000000"/>
                          <w:right w:val="nil"/>
                        </w:tcBorders>
                      </w:tcPr>
                      <w:p>
                        <w:pPr>
                          <w:pStyle w:val="TableParagraph"/>
                          <w:spacing w:before="51"/>
                          <w:ind w:left="1062" w:right="953"/>
                          <w:jc w:val="center"/>
                          <w:rPr>
                            <w:rFonts w:ascii="Cambria"/>
                            <w:b/>
                            <w:i/>
                            <w:sz w:val="18"/>
                          </w:rPr>
                        </w:pPr>
                        <w:r>
                          <w:rPr>
                            <w:rFonts w:ascii="Cambria"/>
                            <w:b/>
                            <w:i/>
                            <w:sz w:val="18"/>
                          </w:rPr>
                          <w:t>0.3</w:t>
                        </w:r>
                      </w:p>
                    </w:tc>
                    <w:tc>
                      <w:tcPr>
                        <w:tcW w:w="766" w:type="dxa"/>
                        <w:tcBorders>
                          <w:top w:val="nil"/>
                          <w:left w:val="nil"/>
                          <w:bottom w:val="dotted" w:sz="4" w:space="0" w:color="000000"/>
                          <w:right w:val="nil"/>
                        </w:tcBorders>
                      </w:tcPr>
                      <w:p>
                        <w:pPr>
                          <w:pStyle w:val="TableParagraph"/>
                          <w:spacing w:before="51"/>
                          <w:ind w:left="99" w:right="190"/>
                          <w:jc w:val="center"/>
                          <w:rPr>
                            <w:rFonts w:ascii="Cambria"/>
                            <w:sz w:val="18"/>
                          </w:rPr>
                        </w:pPr>
                        <w:r>
                          <w:rPr>
                            <w:rFonts w:ascii="Cambria"/>
                            <w:sz w:val="18"/>
                          </w:rPr>
                          <w:t>274.4</w:t>
                        </w:r>
                      </w:p>
                    </w:tc>
                    <w:tc>
                      <w:tcPr>
                        <w:tcW w:w="833" w:type="dxa"/>
                        <w:tcBorders>
                          <w:top w:val="nil"/>
                          <w:left w:val="nil"/>
                          <w:bottom w:val="dotted" w:sz="4" w:space="0" w:color="000000"/>
                          <w:right w:val="nil"/>
                        </w:tcBorders>
                      </w:tcPr>
                      <w:p>
                        <w:pPr>
                          <w:pStyle w:val="TableParagraph"/>
                          <w:spacing w:before="51"/>
                          <w:ind w:left="208"/>
                          <w:rPr>
                            <w:rFonts w:ascii="Cambria"/>
                            <w:sz w:val="18"/>
                          </w:rPr>
                        </w:pPr>
                        <w:r>
                          <w:rPr>
                            <w:rFonts w:ascii="Cambria"/>
                            <w:sz w:val="18"/>
                          </w:rPr>
                          <w:t>258.3</w:t>
                        </w:r>
                      </w:p>
                    </w:tc>
                    <w:tc>
                      <w:tcPr>
                        <w:tcW w:w="783" w:type="dxa"/>
                        <w:tcBorders>
                          <w:top w:val="nil"/>
                          <w:left w:val="nil"/>
                          <w:bottom w:val="dotted" w:sz="4" w:space="0" w:color="000000"/>
                          <w:right w:val="nil"/>
                        </w:tcBorders>
                      </w:tcPr>
                      <w:p>
                        <w:pPr>
                          <w:pStyle w:val="TableParagraph"/>
                          <w:spacing w:before="51"/>
                          <w:ind w:left="165" w:right="141"/>
                          <w:jc w:val="center"/>
                          <w:rPr>
                            <w:rFonts w:ascii="Cambria"/>
                            <w:sz w:val="18"/>
                          </w:rPr>
                        </w:pPr>
                        <w:r>
                          <w:rPr>
                            <w:rFonts w:ascii="Cambria"/>
                            <w:sz w:val="18"/>
                          </w:rPr>
                          <w:t>247.9</w:t>
                        </w:r>
                      </w:p>
                    </w:tc>
                    <w:tc>
                      <w:tcPr>
                        <w:tcW w:w="766" w:type="dxa"/>
                        <w:tcBorders>
                          <w:top w:val="nil"/>
                          <w:left w:val="nil"/>
                          <w:bottom w:val="dotted" w:sz="4" w:space="0" w:color="000000"/>
                          <w:right w:val="nil"/>
                        </w:tcBorders>
                      </w:tcPr>
                      <w:p>
                        <w:pPr>
                          <w:pStyle w:val="TableParagraph"/>
                          <w:spacing w:before="51"/>
                          <w:ind w:left="142" w:right="147"/>
                          <w:jc w:val="center"/>
                          <w:rPr>
                            <w:rFonts w:ascii="Cambria"/>
                            <w:sz w:val="18"/>
                          </w:rPr>
                        </w:pPr>
                        <w:r>
                          <w:rPr>
                            <w:rFonts w:ascii="Cambria"/>
                            <w:sz w:val="18"/>
                          </w:rPr>
                          <w:t>260.5</w:t>
                        </w:r>
                      </w:p>
                    </w:tc>
                    <w:tc>
                      <w:tcPr>
                        <w:tcW w:w="672" w:type="dxa"/>
                        <w:tcBorders>
                          <w:top w:val="nil"/>
                          <w:left w:val="nil"/>
                          <w:bottom w:val="dotted" w:sz="4" w:space="0" w:color="000000"/>
                          <w:right w:val="nil"/>
                        </w:tcBorders>
                      </w:tcPr>
                      <w:p>
                        <w:pPr>
                          <w:pStyle w:val="TableParagraph"/>
                          <w:spacing w:before="51"/>
                          <w:ind w:left="148" w:right="148"/>
                          <w:jc w:val="center"/>
                          <w:rPr>
                            <w:rFonts w:ascii="Cambria"/>
                            <w:sz w:val="18"/>
                          </w:rPr>
                        </w:pPr>
                        <w:r>
                          <w:rPr>
                            <w:rFonts w:ascii="Cambria"/>
                            <w:sz w:val="18"/>
                          </w:rPr>
                          <w:t>84.8</w:t>
                        </w:r>
                      </w:p>
                    </w:tc>
                    <w:tc>
                      <w:tcPr>
                        <w:tcW w:w="660" w:type="dxa"/>
                        <w:tcBorders>
                          <w:top w:val="nil"/>
                          <w:left w:val="nil"/>
                          <w:bottom w:val="dotted" w:sz="4" w:space="0" w:color="000000"/>
                          <w:right w:val="nil"/>
                        </w:tcBorders>
                      </w:tcPr>
                      <w:p>
                        <w:pPr>
                          <w:pStyle w:val="TableParagraph"/>
                          <w:spacing w:before="51"/>
                          <w:ind w:left="165"/>
                          <w:rPr>
                            <w:rFonts w:ascii="Cambria"/>
                            <w:sz w:val="18"/>
                          </w:rPr>
                        </w:pPr>
                        <w:r>
                          <w:rPr>
                            <w:rFonts w:ascii="Cambria"/>
                            <w:sz w:val="18"/>
                          </w:rPr>
                          <w:t>6.6</w:t>
                        </w:r>
                      </w:p>
                    </w:tc>
                    <w:tc>
                      <w:tcPr>
                        <w:tcW w:w="1052" w:type="dxa"/>
                        <w:tcBorders>
                          <w:top w:val="nil"/>
                          <w:left w:val="nil"/>
                          <w:bottom w:val="dotted" w:sz="4" w:space="0" w:color="000000"/>
                          <w:right w:val="nil"/>
                        </w:tcBorders>
                      </w:tcPr>
                      <w:p>
                        <w:pPr>
                          <w:pStyle w:val="TableParagraph"/>
                          <w:spacing w:before="51"/>
                          <w:ind w:left="254"/>
                          <w:rPr>
                            <w:rFonts w:ascii="Cambria"/>
                            <w:sz w:val="18"/>
                          </w:rPr>
                        </w:pPr>
                        <w:r>
                          <w:rPr>
                            <w:rFonts w:ascii="Cambria"/>
                            <w:sz w:val="18"/>
                          </w:rPr>
                          <w:t>0.085</w:t>
                        </w:r>
                      </w:p>
                    </w:tc>
                    <w:tc>
                      <w:tcPr>
                        <w:tcW w:w="67" w:type="dxa"/>
                        <w:tcBorders>
                          <w:top w:val="nil"/>
                          <w:left w:val="nil"/>
                          <w:bottom w:val="nil"/>
                          <w:right w:val="nil"/>
                        </w:tcBorders>
                      </w:tcPr>
                      <w:p>
                        <w:pPr/>
                      </w:p>
                    </w:tc>
                  </w:tr>
                  <w:tr>
                    <w:trPr>
                      <w:trHeight w:val="294" w:hRule="exact"/>
                    </w:trPr>
                    <w:tc>
                      <w:tcPr>
                        <w:tcW w:w="2770" w:type="dxa"/>
                        <w:gridSpan w:val="2"/>
                        <w:tcBorders>
                          <w:top w:val="dotted" w:sz="4" w:space="0" w:color="000000"/>
                          <w:left w:val="nil"/>
                          <w:bottom w:val="nil"/>
                          <w:right w:val="nil"/>
                        </w:tcBorders>
                      </w:tcPr>
                      <w:p>
                        <w:pPr>
                          <w:pStyle w:val="TableParagraph"/>
                          <w:spacing w:before="11"/>
                          <w:ind w:left="1257" w:right="953"/>
                          <w:jc w:val="center"/>
                          <w:rPr>
                            <w:rFonts w:ascii="Cambria"/>
                            <w:i/>
                            <w:sz w:val="18"/>
                          </w:rPr>
                        </w:pPr>
                        <w:r>
                          <w:rPr>
                            <w:rFonts w:ascii="Cambria"/>
                            <w:i/>
                            <w:sz w:val="18"/>
                          </w:rPr>
                          <w:t>linear</w:t>
                        </w:r>
                      </w:p>
                    </w:tc>
                    <w:tc>
                      <w:tcPr>
                        <w:tcW w:w="766" w:type="dxa"/>
                        <w:tcBorders>
                          <w:top w:val="dotted" w:sz="4" w:space="0" w:color="000000"/>
                          <w:left w:val="nil"/>
                          <w:bottom w:val="nil"/>
                          <w:right w:val="nil"/>
                        </w:tcBorders>
                      </w:tcPr>
                      <w:p>
                        <w:pPr>
                          <w:pStyle w:val="TableParagraph"/>
                          <w:spacing w:before="11"/>
                          <w:ind w:left="99" w:right="190"/>
                          <w:jc w:val="center"/>
                          <w:rPr>
                            <w:rFonts w:ascii="Cambria"/>
                            <w:sz w:val="18"/>
                          </w:rPr>
                        </w:pPr>
                        <w:r>
                          <w:rPr>
                            <w:rFonts w:ascii="Cambria"/>
                            <w:sz w:val="18"/>
                          </w:rPr>
                          <w:t>203.2</w:t>
                        </w:r>
                      </w:p>
                    </w:tc>
                    <w:tc>
                      <w:tcPr>
                        <w:tcW w:w="833" w:type="dxa"/>
                        <w:tcBorders>
                          <w:top w:val="dotted" w:sz="4" w:space="0" w:color="000000"/>
                          <w:left w:val="nil"/>
                          <w:bottom w:val="nil"/>
                          <w:right w:val="nil"/>
                        </w:tcBorders>
                      </w:tcPr>
                      <w:p>
                        <w:pPr>
                          <w:pStyle w:val="TableParagraph"/>
                          <w:spacing w:before="11"/>
                          <w:ind w:left="208"/>
                          <w:rPr>
                            <w:rFonts w:ascii="Cambria"/>
                            <w:sz w:val="18"/>
                          </w:rPr>
                        </w:pPr>
                        <w:r>
                          <w:rPr>
                            <w:rFonts w:ascii="Cambria"/>
                            <w:sz w:val="18"/>
                          </w:rPr>
                          <w:t>180.8</w:t>
                        </w:r>
                      </w:p>
                    </w:tc>
                    <w:tc>
                      <w:tcPr>
                        <w:tcW w:w="783" w:type="dxa"/>
                        <w:tcBorders>
                          <w:top w:val="dotted" w:sz="4" w:space="0" w:color="000000"/>
                          <w:left w:val="nil"/>
                          <w:bottom w:val="nil"/>
                          <w:right w:val="nil"/>
                        </w:tcBorders>
                      </w:tcPr>
                      <w:p>
                        <w:pPr>
                          <w:pStyle w:val="TableParagraph"/>
                          <w:spacing w:before="11"/>
                          <w:ind w:left="165" w:right="141"/>
                          <w:jc w:val="center"/>
                          <w:rPr>
                            <w:rFonts w:ascii="Cambria"/>
                            <w:sz w:val="18"/>
                          </w:rPr>
                        </w:pPr>
                        <w:r>
                          <w:rPr>
                            <w:rFonts w:ascii="Cambria"/>
                            <w:sz w:val="18"/>
                          </w:rPr>
                          <w:t>171.5</w:t>
                        </w:r>
                      </w:p>
                    </w:tc>
                    <w:tc>
                      <w:tcPr>
                        <w:tcW w:w="766" w:type="dxa"/>
                        <w:tcBorders>
                          <w:top w:val="dotted" w:sz="4" w:space="0" w:color="000000"/>
                          <w:left w:val="nil"/>
                          <w:bottom w:val="nil"/>
                          <w:right w:val="nil"/>
                        </w:tcBorders>
                      </w:tcPr>
                      <w:p>
                        <w:pPr>
                          <w:pStyle w:val="TableParagraph"/>
                          <w:spacing w:before="11"/>
                          <w:ind w:left="142" w:right="147"/>
                          <w:jc w:val="center"/>
                          <w:rPr>
                            <w:rFonts w:ascii="Cambria"/>
                            <w:sz w:val="18"/>
                          </w:rPr>
                        </w:pPr>
                        <w:r>
                          <w:rPr>
                            <w:rFonts w:ascii="Cambria"/>
                            <w:sz w:val="18"/>
                          </w:rPr>
                          <w:t>182.8</w:t>
                        </w:r>
                      </w:p>
                    </w:tc>
                    <w:tc>
                      <w:tcPr>
                        <w:tcW w:w="672" w:type="dxa"/>
                        <w:tcBorders>
                          <w:top w:val="dotted" w:sz="4" w:space="0" w:color="000000"/>
                          <w:left w:val="nil"/>
                          <w:bottom w:val="nil"/>
                          <w:right w:val="nil"/>
                        </w:tcBorders>
                      </w:tcPr>
                      <w:p>
                        <w:pPr>
                          <w:pStyle w:val="TableParagraph"/>
                          <w:spacing w:before="11"/>
                          <w:ind w:left="148" w:right="148"/>
                          <w:jc w:val="center"/>
                          <w:rPr>
                            <w:rFonts w:ascii="Cambria"/>
                            <w:sz w:val="18"/>
                          </w:rPr>
                        </w:pPr>
                        <w:r>
                          <w:rPr>
                            <w:rFonts w:ascii="Cambria"/>
                            <w:sz w:val="18"/>
                          </w:rPr>
                          <w:t>59.6</w:t>
                        </w:r>
                      </w:p>
                    </w:tc>
                    <w:tc>
                      <w:tcPr>
                        <w:tcW w:w="660" w:type="dxa"/>
                        <w:tcBorders>
                          <w:top w:val="dotted" w:sz="4" w:space="0" w:color="000000"/>
                          <w:left w:val="nil"/>
                          <w:bottom w:val="nil"/>
                          <w:right w:val="nil"/>
                        </w:tcBorders>
                      </w:tcPr>
                      <w:p>
                        <w:pPr>
                          <w:pStyle w:val="TableParagraph"/>
                          <w:spacing w:before="11"/>
                          <w:ind w:left="165"/>
                          <w:rPr>
                            <w:rFonts w:ascii="Cambria"/>
                            <w:sz w:val="18"/>
                          </w:rPr>
                        </w:pPr>
                        <w:r>
                          <w:rPr>
                            <w:rFonts w:ascii="Cambria"/>
                            <w:sz w:val="18"/>
                          </w:rPr>
                          <w:t>4.6</w:t>
                        </w:r>
                      </w:p>
                    </w:tc>
                    <w:tc>
                      <w:tcPr>
                        <w:tcW w:w="1052" w:type="dxa"/>
                        <w:tcBorders>
                          <w:top w:val="dotted" w:sz="4" w:space="0" w:color="000000"/>
                          <w:left w:val="nil"/>
                          <w:bottom w:val="nil"/>
                          <w:right w:val="nil"/>
                        </w:tcBorders>
                      </w:tcPr>
                      <w:p>
                        <w:pPr>
                          <w:pStyle w:val="TableParagraph"/>
                          <w:spacing w:before="11"/>
                          <w:ind w:left="254"/>
                          <w:rPr>
                            <w:rFonts w:ascii="Cambria"/>
                            <w:sz w:val="18"/>
                          </w:rPr>
                        </w:pPr>
                        <w:r>
                          <w:rPr>
                            <w:rFonts w:ascii="Cambria"/>
                            <w:sz w:val="18"/>
                          </w:rPr>
                          <w:t>0.238</w:t>
                        </w:r>
                      </w:p>
                    </w:tc>
                    <w:tc>
                      <w:tcPr>
                        <w:tcW w:w="67" w:type="dxa"/>
                        <w:tcBorders>
                          <w:top w:val="nil"/>
                          <w:left w:val="nil"/>
                          <w:bottom w:val="nil"/>
                          <w:right w:val="nil"/>
                        </w:tcBorders>
                      </w:tcPr>
                      <w:p>
                        <w:pPr/>
                      </w:p>
                    </w:tc>
                  </w:tr>
                  <w:tr>
                    <w:trPr>
                      <w:trHeight w:val="327" w:hRule="exact"/>
                    </w:trPr>
                    <w:tc>
                      <w:tcPr>
                        <w:tcW w:w="2770" w:type="dxa"/>
                        <w:gridSpan w:val="2"/>
                        <w:tcBorders>
                          <w:top w:val="nil"/>
                          <w:left w:val="nil"/>
                          <w:bottom w:val="nil"/>
                          <w:right w:val="nil"/>
                        </w:tcBorders>
                      </w:tcPr>
                      <w:p>
                        <w:pPr>
                          <w:pStyle w:val="TableParagraph"/>
                          <w:spacing w:before="49"/>
                          <w:ind w:left="1008" w:right="953"/>
                          <w:jc w:val="center"/>
                          <w:rPr>
                            <w:rFonts w:ascii="Cambria"/>
                            <w:i/>
                            <w:sz w:val="18"/>
                          </w:rPr>
                        </w:pPr>
                        <w:r>
                          <w:rPr>
                            <w:rFonts w:ascii="Cambria"/>
                            <w:i/>
                            <w:sz w:val="18"/>
                          </w:rPr>
                          <w:t>cis</w:t>
                        </w:r>
                      </w:p>
                    </w:tc>
                    <w:tc>
                      <w:tcPr>
                        <w:tcW w:w="766" w:type="dxa"/>
                        <w:tcBorders>
                          <w:top w:val="nil"/>
                          <w:left w:val="nil"/>
                          <w:bottom w:val="nil"/>
                          <w:right w:val="nil"/>
                        </w:tcBorders>
                      </w:tcPr>
                      <w:p>
                        <w:pPr>
                          <w:pStyle w:val="TableParagraph"/>
                          <w:spacing w:before="49"/>
                          <w:ind w:left="99" w:right="190"/>
                          <w:jc w:val="center"/>
                          <w:rPr>
                            <w:rFonts w:ascii="Cambria"/>
                            <w:sz w:val="18"/>
                          </w:rPr>
                        </w:pPr>
                        <w:r>
                          <w:rPr>
                            <w:rFonts w:ascii="Cambria"/>
                            <w:sz w:val="18"/>
                          </w:rPr>
                          <w:t>278.5</w:t>
                        </w:r>
                      </w:p>
                    </w:tc>
                    <w:tc>
                      <w:tcPr>
                        <w:tcW w:w="833" w:type="dxa"/>
                        <w:tcBorders>
                          <w:top w:val="nil"/>
                          <w:left w:val="nil"/>
                          <w:bottom w:val="nil"/>
                          <w:right w:val="nil"/>
                        </w:tcBorders>
                      </w:tcPr>
                      <w:p>
                        <w:pPr>
                          <w:pStyle w:val="TableParagraph"/>
                          <w:spacing w:before="49"/>
                          <w:ind w:left="208"/>
                          <w:rPr>
                            <w:rFonts w:ascii="Cambria"/>
                            <w:sz w:val="18"/>
                          </w:rPr>
                        </w:pPr>
                        <w:r>
                          <w:rPr>
                            <w:rFonts w:ascii="Cambria"/>
                            <w:sz w:val="18"/>
                          </w:rPr>
                          <w:t>269.1</w:t>
                        </w:r>
                      </w:p>
                    </w:tc>
                    <w:tc>
                      <w:tcPr>
                        <w:tcW w:w="783" w:type="dxa"/>
                        <w:tcBorders>
                          <w:top w:val="nil"/>
                          <w:left w:val="nil"/>
                          <w:bottom w:val="nil"/>
                          <w:right w:val="nil"/>
                        </w:tcBorders>
                      </w:tcPr>
                      <w:p>
                        <w:pPr>
                          <w:pStyle w:val="TableParagraph"/>
                          <w:spacing w:before="49"/>
                          <w:ind w:left="165" w:right="141"/>
                          <w:jc w:val="center"/>
                          <w:rPr>
                            <w:rFonts w:ascii="Cambria"/>
                            <w:sz w:val="18"/>
                          </w:rPr>
                        </w:pPr>
                        <w:r>
                          <w:rPr>
                            <w:rFonts w:ascii="Cambria"/>
                            <w:sz w:val="18"/>
                          </w:rPr>
                          <w:t>258.6</w:t>
                        </w:r>
                      </w:p>
                    </w:tc>
                    <w:tc>
                      <w:tcPr>
                        <w:tcW w:w="766" w:type="dxa"/>
                        <w:tcBorders>
                          <w:top w:val="nil"/>
                          <w:left w:val="nil"/>
                          <w:bottom w:val="nil"/>
                          <w:right w:val="nil"/>
                        </w:tcBorders>
                      </w:tcPr>
                      <w:p>
                        <w:pPr>
                          <w:pStyle w:val="TableParagraph"/>
                          <w:spacing w:before="49"/>
                          <w:ind w:left="142" w:right="147"/>
                          <w:jc w:val="center"/>
                          <w:rPr>
                            <w:rFonts w:ascii="Cambria"/>
                            <w:sz w:val="18"/>
                          </w:rPr>
                        </w:pPr>
                        <w:r>
                          <w:rPr>
                            <w:rFonts w:ascii="Cambria"/>
                            <w:sz w:val="18"/>
                          </w:rPr>
                          <w:t>271.3</w:t>
                        </w:r>
                      </w:p>
                    </w:tc>
                    <w:tc>
                      <w:tcPr>
                        <w:tcW w:w="672" w:type="dxa"/>
                        <w:tcBorders>
                          <w:top w:val="nil"/>
                          <w:left w:val="nil"/>
                          <w:bottom w:val="nil"/>
                          <w:right w:val="nil"/>
                        </w:tcBorders>
                      </w:tcPr>
                      <w:p>
                        <w:pPr>
                          <w:pStyle w:val="TableParagraph"/>
                          <w:spacing w:before="49"/>
                          <w:ind w:left="148" w:right="148"/>
                          <w:jc w:val="center"/>
                          <w:rPr>
                            <w:rFonts w:ascii="Cambria"/>
                            <w:sz w:val="18"/>
                          </w:rPr>
                        </w:pPr>
                        <w:r>
                          <w:rPr>
                            <w:rFonts w:ascii="Cambria"/>
                            <w:sz w:val="18"/>
                          </w:rPr>
                          <w:t>86.1</w:t>
                        </w:r>
                      </w:p>
                    </w:tc>
                    <w:tc>
                      <w:tcPr>
                        <w:tcW w:w="660" w:type="dxa"/>
                        <w:tcBorders>
                          <w:top w:val="nil"/>
                          <w:left w:val="nil"/>
                          <w:bottom w:val="nil"/>
                          <w:right w:val="nil"/>
                        </w:tcBorders>
                      </w:tcPr>
                      <w:p>
                        <w:pPr>
                          <w:pStyle w:val="TableParagraph"/>
                          <w:spacing w:before="49"/>
                          <w:ind w:left="165"/>
                          <w:rPr>
                            <w:rFonts w:ascii="Cambria"/>
                            <w:sz w:val="18"/>
                          </w:rPr>
                        </w:pPr>
                        <w:r>
                          <w:rPr>
                            <w:rFonts w:ascii="Cambria"/>
                            <w:sz w:val="18"/>
                          </w:rPr>
                          <w:t>6.7</w:t>
                        </w:r>
                      </w:p>
                    </w:tc>
                    <w:tc>
                      <w:tcPr>
                        <w:tcW w:w="1052" w:type="dxa"/>
                        <w:tcBorders>
                          <w:top w:val="nil"/>
                          <w:left w:val="nil"/>
                          <w:bottom w:val="nil"/>
                          <w:right w:val="nil"/>
                        </w:tcBorders>
                      </w:tcPr>
                      <w:p>
                        <w:pPr>
                          <w:pStyle w:val="TableParagraph"/>
                          <w:spacing w:before="49"/>
                          <w:ind w:left="254"/>
                          <w:rPr>
                            <w:rFonts w:ascii="Cambria"/>
                            <w:sz w:val="18"/>
                          </w:rPr>
                        </w:pPr>
                        <w:r>
                          <w:rPr>
                            <w:rFonts w:ascii="Cambria"/>
                            <w:sz w:val="18"/>
                          </w:rPr>
                          <w:t>0.111</w:t>
                        </w:r>
                      </w:p>
                    </w:tc>
                    <w:tc>
                      <w:tcPr>
                        <w:tcW w:w="67" w:type="dxa"/>
                        <w:tcBorders>
                          <w:top w:val="nil"/>
                          <w:left w:val="nil"/>
                          <w:bottom w:val="nil"/>
                          <w:right w:val="nil"/>
                        </w:tcBorders>
                      </w:tcPr>
                      <w:p>
                        <w:pPr/>
                      </w:p>
                    </w:tc>
                  </w:tr>
                  <w:tr>
                    <w:trPr>
                      <w:trHeight w:val="329" w:hRule="exact"/>
                    </w:trPr>
                    <w:tc>
                      <w:tcPr>
                        <w:tcW w:w="2770" w:type="dxa"/>
                        <w:gridSpan w:val="2"/>
                        <w:tcBorders>
                          <w:top w:val="nil"/>
                          <w:left w:val="nil"/>
                          <w:bottom w:val="nil"/>
                          <w:right w:val="nil"/>
                        </w:tcBorders>
                      </w:tcPr>
                      <w:p>
                        <w:pPr>
                          <w:pStyle w:val="TableParagraph"/>
                          <w:spacing w:before="48"/>
                          <w:ind w:left="1210" w:right="953"/>
                          <w:jc w:val="center"/>
                          <w:rPr>
                            <w:rFonts w:ascii="Cambria"/>
                            <w:i/>
                            <w:sz w:val="18"/>
                          </w:rPr>
                        </w:pPr>
                        <w:r>
                          <w:rPr>
                            <w:rFonts w:ascii="Cambria"/>
                            <w:i/>
                            <w:sz w:val="18"/>
                          </w:rPr>
                          <w:t>trans</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310.6</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329.8</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319.2</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332.1</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96.6</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7.7</w:t>
                        </w:r>
                      </w:p>
                    </w:tc>
                    <w:tc>
                      <w:tcPr>
                        <w:tcW w:w="1052" w:type="dxa"/>
                        <w:tcBorders>
                          <w:top w:val="nil"/>
                          <w:left w:val="nil"/>
                          <w:bottom w:val="nil"/>
                          <w:right w:val="nil"/>
                        </w:tcBorders>
                      </w:tcPr>
                      <w:p>
                        <w:pPr>
                          <w:pStyle w:val="TableParagraph"/>
                          <w:spacing w:before="48"/>
                          <w:ind w:left="254"/>
                          <w:rPr>
                            <w:rFonts w:ascii="Cambria"/>
                            <w:sz w:val="18"/>
                          </w:rPr>
                        </w:pPr>
                        <w:r>
                          <w:rPr>
                            <w:rFonts w:ascii="Cambria"/>
                            <w:sz w:val="18"/>
                          </w:rPr>
                          <w:t>0.032</w:t>
                        </w:r>
                      </w:p>
                    </w:tc>
                    <w:tc>
                      <w:tcPr>
                        <w:tcW w:w="67" w:type="dxa"/>
                        <w:tcBorders>
                          <w:top w:val="nil"/>
                          <w:left w:val="nil"/>
                          <w:bottom w:val="nil"/>
                          <w:right w:val="nil"/>
                        </w:tcBorders>
                      </w:tcPr>
                      <w:p>
                        <w:pPr/>
                      </w:p>
                    </w:tc>
                  </w:tr>
                  <w:tr>
                    <w:trPr>
                      <w:trHeight w:val="329" w:hRule="exact"/>
                    </w:trPr>
                    <w:tc>
                      <w:tcPr>
                        <w:tcW w:w="2770" w:type="dxa"/>
                        <w:gridSpan w:val="2"/>
                        <w:tcBorders>
                          <w:top w:val="nil"/>
                          <w:left w:val="nil"/>
                          <w:bottom w:val="nil"/>
                          <w:right w:val="nil"/>
                        </w:tcBorders>
                      </w:tcPr>
                      <w:p>
                        <w:pPr>
                          <w:pStyle w:val="TableParagraph"/>
                          <w:spacing w:before="51"/>
                          <w:ind w:left="1315"/>
                          <w:rPr>
                            <w:rFonts w:ascii="Cambria"/>
                            <w:i/>
                            <w:sz w:val="18"/>
                          </w:rPr>
                        </w:pPr>
                        <w:r>
                          <w:rPr>
                            <w:rFonts w:ascii="Cambria"/>
                            <w:i/>
                            <w:sz w:val="18"/>
                          </w:rPr>
                          <w:t>trans, trans</w:t>
                        </w:r>
                      </w:p>
                    </w:tc>
                    <w:tc>
                      <w:tcPr>
                        <w:tcW w:w="766" w:type="dxa"/>
                        <w:tcBorders>
                          <w:top w:val="nil"/>
                          <w:left w:val="nil"/>
                          <w:bottom w:val="nil"/>
                          <w:right w:val="nil"/>
                        </w:tcBorders>
                      </w:tcPr>
                      <w:p>
                        <w:pPr>
                          <w:pStyle w:val="TableParagraph"/>
                          <w:spacing w:before="51"/>
                          <w:ind w:left="99" w:right="190"/>
                          <w:jc w:val="center"/>
                          <w:rPr>
                            <w:rFonts w:ascii="Cambria"/>
                            <w:sz w:val="18"/>
                          </w:rPr>
                        </w:pPr>
                        <w:r>
                          <w:rPr>
                            <w:rFonts w:ascii="Cambria"/>
                            <w:sz w:val="18"/>
                          </w:rPr>
                          <w:t>280.5</w:t>
                        </w:r>
                      </w:p>
                    </w:tc>
                    <w:tc>
                      <w:tcPr>
                        <w:tcW w:w="833" w:type="dxa"/>
                        <w:tcBorders>
                          <w:top w:val="nil"/>
                          <w:left w:val="nil"/>
                          <w:bottom w:val="nil"/>
                          <w:right w:val="nil"/>
                        </w:tcBorders>
                      </w:tcPr>
                      <w:p>
                        <w:pPr>
                          <w:pStyle w:val="TableParagraph"/>
                          <w:spacing w:before="51"/>
                          <w:ind w:left="208"/>
                          <w:rPr>
                            <w:rFonts w:ascii="Cambria"/>
                            <w:sz w:val="18"/>
                          </w:rPr>
                        </w:pPr>
                        <w:r>
                          <w:rPr>
                            <w:rFonts w:ascii="Cambria"/>
                            <w:sz w:val="18"/>
                          </w:rPr>
                          <w:t>260.9</w:t>
                        </w:r>
                      </w:p>
                    </w:tc>
                    <w:tc>
                      <w:tcPr>
                        <w:tcW w:w="783" w:type="dxa"/>
                        <w:tcBorders>
                          <w:top w:val="nil"/>
                          <w:left w:val="nil"/>
                          <w:bottom w:val="nil"/>
                          <w:right w:val="nil"/>
                        </w:tcBorders>
                      </w:tcPr>
                      <w:p>
                        <w:pPr>
                          <w:pStyle w:val="TableParagraph"/>
                          <w:spacing w:before="51"/>
                          <w:ind w:left="165" w:right="141"/>
                          <w:jc w:val="center"/>
                          <w:rPr>
                            <w:rFonts w:ascii="Cambria"/>
                            <w:sz w:val="18"/>
                          </w:rPr>
                        </w:pPr>
                        <w:r>
                          <w:rPr>
                            <w:rFonts w:ascii="Cambria"/>
                            <w:sz w:val="18"/>
                          </w:rPr>
                          <w:t>250.4</w:t>
                        </w:r>
                      </w:p>
                    </w:tc>
                    <w:tc>
                      <w:tcPr>
                        <w:tcW w:w="766" w:type="dxa"/>
                        <w:tcBorders>
                          <w:top w:val="nil"/>
                          <w:left w:val="nil"/>
                          <w:bottom w:val="nil"/>
                          <w:right w:val="nil"/>
                        </w:tcBorders>
                      </w:tcPr>
                      <w:p>
                        <w:pPr>
                          <w:pStyle w:val="TableParagraph"/>
                          <w:spacing w:before="51"/>
                          <w:ind w:left="142" w:right="147"/>
                          <w:jc w:val="center"/>
                          <w:rPr>
                            <w:rFonts w:ascii="Cambria"/>
                            <w:sz w:val="18"/>
                          </w:rPr>
                        </w:pPr>
                        <w:r>
                          <w:rPr>
                            <w:rFonts w:ascii="Cambria"/>
                            <w:sz w:val="18"/>
                          </w:rPr>
                          <w:t>263.1</w:t>
                        </w:r>
                      </w:p>
                    </w:tc>
                    <w:tc>
                      <w:tcPr>
                        <w:tcW w:w="672" w:type="dxa"/>
                        <w:tcBorders>
                          <w:top w:val="nil"/>
                          <w:left w:val="nil"/>
                          <w:bottom w:val="nil"/>
                          <w:right w:val="nil"/>
                        </w:tcBorders>
                      </w:tcPr>
                      <w:p>
                        <w:pPr>
                          <w:pStyle w:val="TableParagraph"/>
                          <w:spacing w:before="51"/>
                          <w:ind w:left="148" w:right="148"/>
                          <w:jc w:val="center"/>
                          <w:rPr>
                            <w:rFonts w:ascii="Cambria"/>
                            <w:sz w:val="18"/>
                          </w:rPr>
                        </w:pPr>
                        <w:r>
                          <w:rPr>
                            <w:rFonts w:ascii="Cambria"/>
                            <w:sz w:val="18"/>
                          </w:rPr>
                          <w:t>88.5</w:t>
                        </w:r>
                      </w:p>
                    </w:tc>
                    <w:tc>
                      <w:tcPr>
                        <w:tcW w:w="660" w:type="dxa"/>
                        <w:tcBorders>
                          <w:top w:val="nil"/>
                          <w:left w:val="nil"/>
                          <w:bottom w:val="nil"/>
                          <w:right w:val="nil"/>
                        </w:tcBorders>
                      </w:tcPr>
                      <w:p>
                        <w:pPr>
                          <w:pStyle w:val="TableParagraph"/>
                          <w:spacing w:before="51"/>
                          <w:ind w:left="165"/>
                          <w:rPr>
                            <w:rFonts w:ascii="Cambria"/>
                            <w:sz w:val="18"/>
                          </w:rPr>
                        </w:pPr>
                        <w:r>
                          <w:rPr>
                            <w:rFonts w:ascii="Cambria"/>
                            <w:sz w:val="18"/>
                          </w:rPr>
                          <w:t>6.4</w:t>
                        </w:r>
                      </w:p>
                    </w:tc>
                    <w:tc>
                      <w:tcPr>
                        <w:tcW w:w="1052" w:type="dxa"/>
                        <w:tcBorders>
                          <w:top w:val="nil"/>
                          <w:left w:val="nil"/>
                          <w:bottom w:val="nil"/>
                          <w:right w:val="nil"/>
                        </w:tcBorders>
                      </w:tcPr>
                      <w:p>
                        <w:pPr>
                          <w:pStyle w:val="TableParagraph"/>
                          <w:spacing w:before="51"/>
                          <w:ind w:left="254"/>
                          <w:rPr>
                            <w:rFonts w:ascii="Cambria"/>
                            <w:sz w:val="18"/>
                          </w:rPr>
                        </w:pPr>
                        <w:r>
                          <w:rPr>
                            <w:rFonts w:ascii="Cambria"/>
                            <w:sz w:val="18"/>
                          </w:rPr>
                          <w:t>0.016</w:t>
                        </w:r>
                      </w:p>
                    </w:tc>
                    <w:tc>
                      <w:tcPr>
                        <w:tcW w:w="67" w:type="dxa"/>
                        <w:tcBorders>
                          <w:top w:val="nil"/>
                          <w:left w:val="nil"/>
                          <w:bottom w:val="nil"/>
                          <w:right w:val="nil"/>
                        </w:tcBorders>
                      </w:tcPr>
                      <w:p>
                        <w:pPr/>
                      </w:p>
                    </w:tc>
                  </w:tr>
                  <w:tr>
                    <w:trPr>
                      <w:trHeight w:val="326" w:hRule="exact"/>
                    </w:trPr>
                    <w:tc>
                      <w:tcPr>
                        <w:tcW w:w="2770" w:type="dxa"/>
                        <w:gridSpan w:val="2"/>
                        <w:tcBorders>
                          <w:top w:val="nil"/>
                          <w:left w:val="nil"/>
                          <w:bottom w:val="nil"/>
                          <w:right w:val="nil"/>
                        </w:tcBorders>
                      </w:tcPr>
                      <w:p>
                        <w:pPr>
                          <w:pStyle w:val="TableParagraph"/>
                          <w:spacing w:before="48"/>
                          <w:ind w:left="1282" w:right="953"/>
                          <w:jc w:val="center"/>
                          <w:rPr>
                            <w:rFonts w:ascii="Cambria"/>
                            <w:i/>
                            <w:sz w:val="18"/>
                          </w:rPr>
                        </w:pPr>
                        <w:r>
                          <w:rPr>
                            <w:rFonts w:ascii="Cambria"/>
                            <w:i/>
                            <w:sz w:val="18"/>
                          </w:rPr>
                          <w:t>cis, cis</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308.6</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320.8</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310.1</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323.0</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97.7</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7.3</w:t>
                        </w:r>
                      </w:p>
                    </w:tc>
                    <w:tc>
                      <w:tcPr>
                        <w:tcW w:w="1052" w:type="dxa"/>
                        <w:tcBorders>
                          <w:top w:val="nil"/>
                          <w:left w:val="nil"/>
                          <w:bottom w:val="nil"/>
                          <w:right w:val="nil"/>
                        </w:tcBorders>
                      </w:tcPr>
                      <w:p>
                        <w:pPr>
                          <w:pStyle w:val="TableParagraph"/>
                          <w:spacing w:before="48"/>
                          <w:ind w:left="254"/>
                          <w:rPr>
                            <w:rFonts w:ascii="Cambria"/>
                            <w:sz w:val="18"/>
                          </w:rPr>
                        </w:pPr>
                        <w:r>
                          <w:rPr>
                            <w:rFonts w:ascii="Cambria"/>
                            <w:sz w:val="18"/>
                          </w:rPr>
                          <w:t>0.032</w:t>
                        </w:r>
                      </w:p>
                    </w:tc>
                    <w:tc>
                      <w:tcPr>
                        <w:tcW w:w="67" w:type="dxa"/>
                        <w:tcBorders>
                          <w:top w:val="nil"/>
                          <w:left w:val="nil"/>
                          <w:bottom w:val="nil"/>
                          <w:right w:val="nil"/>
                        </w:tcBorders>
                      </w:tcPr>
                      <w:p>
                        <w:pPr/>
                      </w:p>
                    </w:tc>
                  </w:tr>
                  <w:tr>
                    <w:trPr>
                      <w:trHeight w:val="326" w:hRule="exact"/>
                    </w:trPr>
                    <w:tc>
                      <w:tcPr>
                        <w:tcW w:w="2770" w:type="dxa"/>
                        <w:gridSpan w:val="2"/>
                        <w:tcBorders>
                          <w:top w:val="nil"/>
                          <w:left w:val="nil"/>
                          <w:bottom w:val="nil"/>
                          <w:right w:val="nil"/>
                        </w:tcBorders>
                      </w:tcPr>
                      <w:p>
                        <w:pPr>
                          <w:pStyle w:val="TableParagraph"/>
                          <w:spacing w:before="49"/>
                          <w:ind w:left="1315"/>
                          <w:rPr>
                            <w:rFonts w:ascii="Cambria"/>
                            <w:i/>
                            <w:sz w:val="18"/>
                          </w:rPr>
                        </w:pPr>
                        <w:r>
                          <w:rPr>
                            <w:rFonts w:ascii="Cambria"/>
                            <w:i/>
                            <w:sz w:val="18"/>
                          </w:rPr>
                          <w:t>cis, trans</w:t>
                        </w:r>
                      </w:p>
                    </w:tc>
                    <w:tc>
                      <w:tcPr>
                        <w:tcW w:w="766" w:type="dxa"/>
                        <w:tcBorders>
                          <w:top w:val="nil"/>
                          <w:left w:val="nil"/>
                          <w:bottom w:val="nil"/>
                          <w:right w:val="nil"/>
                        </w:tcBorders>
                      </w:tcPr>
                      <w:p>
                        <w:pPr>
                          <w:pStyle w:val="TableParagraph"/>
                          <w:spacing w:before="49"/>
                          <w:ind w:left="99" w:right="190"/>
                          <w:jc w:val="center"/>
                          <w:rPr>
                            <w:rFonts w:ascii="Cambria"/>
                            <w:sz w:val="18"/>
                          </w:rPr>
                        </w:pPr>
                        <w:r>
                          <w:rPr>
                            <w:rFonts w:ascii="Cambria"/>
                            <w:sz w:val="18"/>
                          </w:rPr>
                          <w:t>289.9</w:t>
                        </w:r>
                      </w:p>
                    </w:tc>
                    <w:tc>
                      <w:tcPr>
                        <w:tcW w:w="833" w:type="dxa"/>
                        <w:tcBorders>
                          <w:top w:val="nil"/>
                          <w:left w:val="nil"/>
                          <w:bottom w:val="nil"/>
                          <w:right w:val="nil"/>
                        </w:tcBorders>
                      </w:tcPr>
                      <w:p>
                        <w:pPr>
                          <w:pStyle w:val="TableParagraph"/>
                          <w:spacing w:before="49"/>
                          <w:ind w:left="208"/>
                          <w:rPr>
                            <w:rFonts w:ascii="Cambria"/>
                            <w:sz w:val="18"/>
                          </w:rPr>
                        </w:pPr>
                        <w:r>
                          <w:rPr>
                            <w:rFonts w:ascii="Cambria"/>
                            <w:sz w:val="18"/>
                          </w:rPr>
                          <w:t>279.6</w:t>
                        </w:r>
                      </w:p>
                    </w:tc>
                    <w:tc>
                      <w:tcPr>
                        <w:tcW w:w="783" w:type="dxa"/>
                        <w:tcBorders>
                          <w:top w:val="nil"/>
                          <w:left w:val="nil"/>
                          <w:bottom w:val="nil"/>
                          <w:right w:val="nil"/>
                        </w:tcBorders>
                      </w:tcPr>
                      <w:p>
                        <w:pPr>
                          <w:pStyle w:val="TableParagraph"/>
                          <w:spacing w:before="49"/>
                          <w:ind w:left="165" w:right="141"/>
                          <w:jc w:val="center"/>
                          <w:rPr>
                            <w:rFonts w:ascii="Cambria"/>
                            <w:sz w:val="18"/>
                          </w:rPr>
                        </w:pPr>
                        <w:r>
                          <w:rPr>
                            <w:rFonts w:ascii="Cambria"/>
                            <w:sz w:val="18"/>
                          </w:rPr>
                          <w:t>269.0</w:t>
                        </w:r>
                      </w:p>
                    </w:tc>
                    <w:tc>
                      <w:tcPr>
                        <w:tcW w:w="766" w:type="dxa"/>
                        <w:tcBorders>
                          <w:top w:val="nil"/>
                          <w:left w:val="nil"/>
                          <w:bottom w:val="nil"/>
                          <w:right w:val="nil"/>
                        </w:tcBorders>
                      </w:tcPr>
                      <w:p>
                        <w:pPr>
                          <w:pStyle w:val="TableParagraph"/>
                          <w:spacing w:before="49"/>
                          <w:ind w:left="142" w:right="147"/>
                          <w:jc w:val="center"/>
                          <w:rPr>
                            <w:rFonts w:ascii="Cambria"/>
                            <w:sz w:val="18"/>
                          </w:rPr>
                        </w:pPr>
                        <w:r>
                          <w:rPr>
                            <w:rFonts w:ascii="Cambria"/>
                            <w:sz w:val="18"/>
                          </w:rPr>
                          <w:t>281.8</w:t>
                        </w:r>
                      </w:p>
                    </w:tc>
                    <w:tc>
                      <w:tcPr>
                        <w:tcW w:w="672" w:type="dxa"/>
                        <w:tcBorders>
                          <w:top w:val="nil"/>
                          <w:left w:val="nil"/>
                          <w:bottom w:val="nil"/>
                          <w:right w:val="nil"/>
                        </w:tcBorders>
                      </w:tcPr>
                      <w:p>
                        <w:pPr>
                          <w:pStyle w:val="TableParagraph"/>
                          <w:spacing w:before="49"/>
                          <w:ind w:left="148" w:right="148"/>
                          <w:jc w:val="center"/>
                          <w:rPr>
                            <w:rFonts w:ascii="Cambria"/>
                            <w:sz w:val="18"/>
                          </w:rPr>
                        </w:pPr>
                        <w:r>
                          <w:rPr>
                            <w:rFonts w:ascii="Cambria"/>
                            <w:sz w:val="18"/>
                          </w:rPr>
                          <w:t>91.6</w:t>
                        </w:r>
                      </w:p>
                    </w:tc>
                    <w:tc>
                      <w:tcPr>
                        <w:tcW w:w="660" w:type="dxa"/>
                        <w:tcBorders>
                          <w:top w:val="nil"/>
                          <w:left w:val="nil"/>
                          <w:bottom w:val="nil"/>
                          <w:right w:val="nil"/>
                        </w:tcBorders>
                      </w:tcPr>
                      <w:p>
                        <w:pPr>
                          <w:pStyle w:val="TableParagraph"/>
                          <w:spacing w:before="49"/>
                          <w:ind w:left="165"/>
                          <w:rPr>
                            <w:rFonts w:ascii="Cambria"/>
                            <w:sz w:val="18"/>
                          </w:rPr>
                        </w:pPr>
                        <w:r>
                          <w:rPr>
                            <w:rFonts w:ascii="Cambria"/>
                            <w:sz w:val="18"/>
                          </w:rPr>
                          <w:t>6.7</w:t>
                        </w:r>
                      </w:p>
                    </w:tc>
                    <w:tc>
                      <w:tcPr>
                        <w:tcW w:w="1052" w:type="dxa"/>
                        <w:tcBorders>
                          <w:top w:val="nil"/>
                          <w:left w:val="nil"/>
                          <w:bottom w:val="nil"/>
                          <w:right w:val="nil"/>
                        </w:tcBorders>
                      </w:tcPr>
                      <w:p>
                        <w:pPr>
                          <w:pStyle w:val="TableParagraph"/>
                          <w:spacing w:before="49"/>
                          <w:ind w:left="254"/>
                          <w:rPr>
                            <w:rFonts w:ascii="Cambria"/>
                            <w:sz w:val="18"/>
                          </w:rPr>
                        </w:pPr>
                        <w:r>
                          <w:rPr>
                            <w:rFonts w:ascii="Cambria"/>
                            <w:sz w:val="18"/>
                          </w:rPr>
                          <w:t>0.048</w:t>
                        </w:r>
                      </w:p>
                    </w:tc>
                    <w:tc>
                      <w:tcPr>
                        <w:tcW w:w="67" w:type="dxa"/>
                        <w:tcBorders>
                          <w:top w:val="nil"/>
                          <w:left w:val="nil"/>
                          <w:bottom w:val="nil"/>
                          <w:right w:val="nil"/>
                        </w:tcBorders>
                      </w:tcPr>
                      <w:p>
                        <w:pPr/>
                      </w:p>
                    </w:tc>
                  </w:tr>
                  <w:tr>
                    <w:trPr>
                      <w:trHeight w:val="354" w:hRule="exact"/>
                    </w:trPr>
                    <w:tc>
                      <w:tcPr>
                        <w:tcW w:w="2770" w:type="dxa"/>
                        <w:gridSpan w:val="2"/>
                        <w:tcBorders>
                          <w:top w:val="nil"/>
                          <w:left w:val="nil"/>
                          <w:bottom w:val="nil"/>
                          <w:right w:val="nil"/>
                        </w:tcBorders>
                      </w:tcPr>
                      <w:p>
                        <w:pPr>
                          <w:pStyle w:val="TableParagraph"/>
                          <w:spacing w:before="48"/>
                          <w:ind w:left="1315"/>
                          <w:rPr>
                            <w:rFonts w:ascii="Cambria"/>
                            <w:i/>
                            <w:sz w:val="18"/>
                          </w:rPr>
                        </w:pPr>
                        <w:r>
                          <w:rPr>
                            <w:rFonts w:ascii="Cambria"/>
                            <w:i/>
                            <w:sz w:val="18"/>
                          </w:rPr>
                          <w:t>trans, cis</w:t>
                        </w:r>
                      </w:p>
                    </w:tc>
                    <w:tc>
                      <w:tcPr>
                        <w:tcW w:w="766" w:type="dxa"/>
                        <w:tcBorders>
                          <w:top w:val="nil"/>
                          <w:left w:val="nil"/>
                          <w:bottom w:val="nil"/>
                          <w:right w:val="nil"/>
                        </w:tcBorders>
                      </w:tcPr>
                      <w:p>
                        <w:pPr>
                          <w:pStyle w:val="TableParagraph"/>
                          <w:spacing w:before="48"/>
                          <w:ind w:left="99" w:right="190"/>
                          <w:jc w:val="center"/>
                          <w:rPr>
                            <w:rFonts w:ascii="Cambria"/>
                            <w:sz w:val="18"/>
                          </w:rPr>
                        </w:pPr>
                        <w:r>
                          <w:rPr>
                            <w:rFonts w:ascii="Cambria"/>
                            <w:sz w:val="18"/>
                          </w:rPr>
                          <w:t>280.5</w:t>
                        </w:r>
                      </w:p>
                    </w:tc>
                    <w:tc>
                      <w:tcPr>
                        <w:tcW w:w="833" w:type="dxa"/>
                        <w:tcBorders>
                          <w:top w:val="nil"/>
                          <w:left w:val="nil"/>
                          <w:bottom w:val="nil"/>
                          <w:right w:val="nil"/>
                        </w:tcBorders>
                      </w:tcPr>
                      <w:p>
                        <w:pPr>
                          <w:pStyle w:val="TableParagraph"/>
                          <w:spacing w:before="48"/>
                          <w:ind w:left="208"/>
                          <w:rPr>
                            <w:rFonts w:ascii="Cambria"/>
                            <w:sz w:val="18"/>
                          </w:rPr>
                        </w:pPr>
                        <w:r>
                          <w:rPr>
                            <w:rFonts w:ascii="Cambria"/>
                            <w:sz w:val="18"/>
                          </w:rPr>
                          <w:t>261.1</w:t>
                        </w:r>
                      </w:p>
                    </w:tc>
                    <w:tc>
                      <w:tcPr>
                        <w:tcW w:w="783" w:type="dxa"/>
                        <w:tcBorders>
                          <w:top w:val="nil"/>
                          <w:left w:val="nil"/>
                          <w:bottom w:val="nil"/>
                          <w:right w:val="nil"/>
                        </w:tcBorders>
                      </w:tcPr>
                      <w:p>
                        <w:pPr>
                          <w:pStyle w:val="TableParagraph"/>
                          <w:spacing w:before="48"/>
                          <w:ind w:left="165" w:right="141"/>
                          <w:jc w:val="center"/>
                          <w:rPr>
                            <w:rFonts w:ascii="Cambria"/>
                            <w:sz w:val="18"/>
                          </w:rPr>
                        </w:pPr>
                        <w:r>
                          <w:rPr>
                            <w:rFonts w:ascii="Cambria"/>
                            <w:sz w:val="18"/>
                          </w:rPr>
                          <w:t>250.5</w:t>
                        </w:r>
                      </w:p>
                    </w:tc>
                    <w:tc>
                      <w:tcPr>
                        <w:tcW w:w="766" w:type="dxa"/>
                        <w:tcBorders>
                          <w:top w:val="nil"/>
                          <w:left w:val="nil"/>
                          <w:bottom w:val="nil"/>
                          <w:right w:val="nil"/>
                        </w:tcBorders>
                      </w:tcPr>
                      <w:p>
                        <w:pPr>
                          <w:pStyle w:val="TableParagraph"/>
                          <w:spacing w:before="48"/>
                          <w:ind w:left="142" w:right="147"/>
                          <w:jc w:val="center"/>
                          <w:rPr>
                            <w:rFonts w:ascii="Cambria"/>
                            <w:sz w:val="18"/>
                          </w:rPr>
                        </w:pPr>
                        <w:r>
                          <w:rPr>
                            <w:rFonts w:ascii="Cambria"/>
                            <w:sz w:val="18"/>
                          </w:rPr>
                          <w:t>263.3</w:t>
                        </w:r>
                      </w:p>
                    </w:tc>
                    <w:tc>
                      <w:tcPr>
                        <w:tcW w:w="672" w:type="dxa"/>
                        <w:tcBorders>
                          <w:top w:val="nil"/>
                          <w:left w:val="nil"/>
                          <w:bottom w:val="nil"/>
                          <w:right w:val="nil"/>
                        </w:tcBorders>
                      </w:tcPr>
                      <w:p>
                        <w:pPr>
                          <w:pStyle w:val="TableParagraph"/>
                          <w:spacing w:before="48"/>
                          <w:ind w:left="148" w:right="148"/>
                          <w:jc w:val="center"/>
                          <w:rPr>
                            <w:rFonts w:ascii="Cambria"/>
                            <w:sz w:val="18"/>
                          </w:rPr>
                        </w:pPr>
                        <w:r>
                          <w:rPr>
                            <w:rFonts w:ascii="Cambria"/>
                            <w:sz w:val="18"/>
                          </w:rPr>
                          <w:t>88.5</w:t>
                        </w:r>
                      </w:p>
                    </w:tc>
                    <w:tc>
                      <w:tcPr>
                        <w:tcW w:w="660" w:type="dxa"/>
                        <w:tcBorders>
                          <w:top w:val="nil"/>
                          <w:left w:val="nil"/>
                          <w:bottom w:val="nil"/>
                          <w:right w:val="nil"/>
                        </w:tcBorders>
                      </w:tcPr>
                      <w:p>
                        <w:pPr>
                          <w:pStyle w:val="TableParagraph"/>
                          <w:spacing w:before="48"/>
                          <w:ind w:left="165"/>
                          <w:rPr>
                            <w:rFonts w:ascii="Cambria"/>
                            <w:sz w:val="18"/>
                          </w:rPr>
                        </w:pPr>
                        <w:r>
                          <w:rPr>
                            <w:rFonts w:ascii="Cambria"/>
                            <w:sz w:val="18"/>
                          </w:rPr>
                          <w:t>6.4</w:t>
                        </w:r>
                      </w:p>
                    </w:tc>
                    <w:tc>
                      <w:tcPr>
                        <w:tcW w:w="1052" w:type="dxa"/>
                        <w:tcBorders>
                          <w:top w:val="nil"/>
                          <w:left w:val="nil"/>
                          <w:bottom w:val="nil"/>
                          <w:right w:val="nil"/>
                        </w:tcBorders>
                      </w:tcPr>
                      <w:p>
                        <w:pPr>
                          <w:pStyle w:val="TableParagraph"/>
                          <w:spacing w:before="48"/>
                          <w:ind w:left="254"/>
                          <w:rPr>
                            <w:rFonts w:ascii="Cambria"/>
                            <w:sz w:val="18"/>
                          </w:rPr>
                        </w:pPr>
                        <w:r>
                          <w:rPr>
                            <w:rFonts w:ascii="Cambria"/>
                            <w:sz w:val="18"/>
                          </w:rPr>
                          <w:t>0.016</w:t>
                        </w:r>
                      </w:p>
                    </w:tc>
                    <w:tc>
                      <w:tcPr>
                        <w:tcW w:w="67" w:type="dxa"/>
                        <w:tcBorders>
                          <w:top w:val="nil"/>
                          <w:left w:val="nil"/>
                          <w:bottom w:val="nil"/>
                          <w:right w:val="nil"/>
                        </w:tcBorders>
                      </w:tcPr>
                      <w:p>
                        <w:pPr/>
                      </w:p>
                    </w:tc>
                  </w:tr>
                </w:tbl>
                <w:p>
                  <w:pPr>
                    <w:pStyle w:val="BodyText"/>
                  </w:pPr>
                </w:p>
              </w:txbxContent>
            </v:textbox>
            <w10:wrap type="none"/>
          </v:shape>
        </w:pict>
      </w:r>
      <w:r>
        <w:rPr>
          <w:sz w:val="18"/>
        </w:rPr>
        <w:t>GC </w:t>
      </w:r>
      <w:r>
        <w:rPr>
          <w:i/>
          <w:position w:val="4"/>
          <w:sz w:val="12"/>
        </w:rPr>
        <w:t>d</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21"/>
        </w:rPr>
      </w:pPr>
    </w:p>
    <w:p>
      <w:pPr>
        <w:spacing w:before="76"/>
        <w:ind w:left="500" w:right="0" w:firstLine="0"/>
        <w:jc w:val="left"/>
        <w:rPr>
          <w:i/>
          <w:sz w:val="18"/>
        </w:rPr>
      </w:pPr>
      <w:r>
        <w:rPr>
          <w:position w:val="1"/>
          <w:sz w:val="18"/>
        </w:rPr>
        <w:t>c</w:t>
      </w:r>
      <w:r>
        <w:rPr>
          <w:sz w:val="12"/>
        </w:rPr>
        <w:t>6 </w:t>
      </w:r>
      <w:r>
        <w:rPr>
          <w:position w:val="1"/>
          <w:sz w:val="18"/>
        </w:rPr>
        <w:t>=&gt; </w:t>
      </w:r>
      <w:r>
        <w:rPr>
          <w:i/>
          <w:position w:val="1"/>
          <w:sz w:val="18"/>
        </w:rPr>
        <w:t>cis</w:t>
      </w:r>
      <w:r>
        <w:rPr>
          <w:position w:val="1"/>
          <w:sz w:val="18"/>
        </w:rPr>
        <w:t>/</w:t>
      </w:r>
      <w:r>
        <w:rPr>
          <w:i/>
          <w:position w:val="1"/>
          <w:sz w:val="18"/>
        </w:rPr>
        <w:t>trans</w:t>
      </w:r>
    </w:p>
    <w:p>
      <w:pPr>
        <w:spacing w:before="106"/>
        <w:ind w:left="500" w:right="0" w:firstLine="0"/>
        <w:jc w:val="left"/>
        <w:rPr>
          <w:i/>
          <w:sz w:val="12"/>
        </w:rPr>
      </w:pPr>
      <w:r>
        <w:rPr>
          <w:sz w:val="18"/>
        </w:rPr>
        <w:t>pattern </w:t>
      </w:r>
      <w:r>
        <w:rPr>
          <w:i/>
          <w:position w:val="4"/>
          <w:sz w:val="12"/>
        </w:rPr>
        <w:t>f</w:t>
      </w:r>
    </w:p>
    <w:p>
      <w:pPr>
        <w:spacing w:after="0"/>
        <w:jc w:val="left"/>
        <w:rPr>
          <w:sz w:val="12"/>
        </w:rPr>
        <w:sectPr>
          <w:type w:val="continuous"/>
          <w:pgSz w:w="12240" w:h="15840"/>
          <w:pgMar w:top="3080" w:bottom="2780" w:left="1440" w:right="1460"/>
        </w:sectPr>
      </w:pPr>
    </w:p>
    <w:p>
      <w:pPr>
        <w:pStyle w:val="BodyText"/>
        <w:spacing w:before="5" w:after="1"/>
        <w:rPr>
          <w:i/>
          <w:sz w:val="15"/>
        </w:rPr>
      </w:pPr>
    </w:p>
    <w:tbl>
      <w:tblPr>
        <w:tblW w:w="0" w:type="auto"/>
        <w:jc w:val="left"/>
        <w:tblInd w:w="4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9"/>
        <w:gridCol w:w="767"/>
        <w:gridCol w:w="833"/>
        <w:gridCol w:w="783"/>
        <w:gridCol w:w="766"/>
        <w:gridCol w:w="672"/>
        <w:gridCol w:w="660"/>
        <w:gridCol w:w="1052"/>
      </w:tblGrid>
      <w:tr>
        <w:trPr>
          <w:trHeight w:val="357" w:hRule="exact"/>
        </w:trPr>
        <w:tc>
          <w:tcPr>
            <w:tcW w:w="2769" w:type="dxa"/>
          </w:tcPr>
          <w:p>
            <w:pPr>
              <w:pStyle w:val="TableParagraph"/>
              <w:spacing w:before="76"/>
              <w:ind w:left="1315"/>
              <w:rPr>
                <w:rFonts w:ascii="Cambria"/>
                <w:i/>
                <w:sz w:val="18"/>
              </w:rPr>
            </w:pPr>
            <w:r>
              <w:rPr>
                <w:rFonts w:ascii="Cambria"/>
                <w:i/>
                <w:sz w:val="18"/>
              </w:rPr>
              <w:t>cis, cis, cis</w:t>
            </w:r>
          </w:p>
        </w:tc>
        <w:tc>
          <w:tcPr>
            <w:tcW w:w="767" w:type="dxa"/>
          </w:tcPr>
          <w:p>
            <w:pPr>
              <w:pStyle w:val="TableParagraph"/>
              <w:spacing w:before="76"/>
              <w:ind w:left="116"/>
              <w:rPr>
                <w:rFonts w:ascii="Cambria"/>
                <w:sz w:val="18"/>
              </w:rPr>
            </w:pPr>
            <w:r>
              <w:rPr>
                <w:rFonts w:ascii="Cambria"/>
                <w:sz w:val="18"/>
              </w:rPr>
              <w:t>286.5</w:t>
            </w:r>
          </w:p>
        </w:tc>
        <w:tc>
          <w:tcPr>
            <w:tcW w:w="833" w:type="dxa"/>
          </w:tcPr>
          <w:p>
            <w:pPr>
              <w:pStyle w:val="TableParagraph"/>
              <w:spacing w:before="76"/>
              <w:ind w:right="180"/>
              <w:jc w:val="right"/>
              <w:rPr>
                <w:rFonts w:ascii="Cambria"/>
                <w:sz w:val="18"/>
              </w:rPr>
            </w:pPr>
            <w:r>
              <w:rPr>
                <w:rFonts w:ascii="Cambria"/>
                <w:sz w:val="18"/>
              </w:rPr>
              <w:t>269.9</w:t>
            </w:r>
          </w:p>
        </w:tc>
        <w:tc>
          <w:tcPr>
            <w:tcW w:w="783" w:type="dxa"/>
          </w:tcPr>
          <w:p>
            <w:pPr>
              <w:pStyle w:val="TableParagraph"/>
              <w:spacing w:before="76"/>
              <w:ind w:left="165" w:right="141"/>
              <w:jc w:val="center"/>
              <w:rPr>
                <w:rFonts w:ascii="Cambria"/>
                <w:sz w:val="18"/>
              </w:rPr>
            </w:pPr>
            <w:r>
              <w:rPr>
                <w:rFonts w:ascii="Cambria"/>
                <w:sz w:val="18"/>
              </w:rPr>
              <w:t>259.3</w:t>
            </w:r>
          </w:p>
        </w:tc>
        <w:tc>
          <w:tcPr>
            <w:tcW w:w="766" w:type="dxa"/>
          </w:tcPr>
          <w:p>
            <w:pPr>
              <w:pStyle w:val="TableParagraph"/>
              <w:spacing w:before="76"/>
              <w:ind w:left="142" w:right="147"/>
              <w:jc w:val="center"/>
              <w:rPr>
                <w:rFonts w:ascii="Cambria"/>
                <w:sz w:val="18"/>
              </w:rPr>
            </w:pPr>
            <w:r>
              <w:rPr>
                <w:rFonts w:ascii="Cambria"/>
                <w:sz w:val="18"/>
              </w:rPr>
              <w:t>272.1</w:t>
            </w:r>
          </w:p>
        </w:tc>
        <w:tc>
          <w:tcPr>
            <w:tcW w:w="672" w:type="dxa"/>
          </w:tcPr>
          <w:p>
            <w:pPr>
              <w:pStyle w:val="TableParagraph"/>
              <w:spacing w:before="76"/>
              <w:ind w:left="148" w:right="148"/>
              <w:jc w:val="center"/>
              <w:rPr>
                <w:rFonts w:ascii="Cambria"/>
                <w:sz w:val="18"/>
              </w:rPr>
            </w:pPr>
            <w:r>
              <w:rPr>
                <w:rFonts w:ascii="Cambria"/>
                <w:sz w:val="18"/>
              </w:rPr>
              <w:t>92.3</w:t>
            </w:r>
          </w:p>
        </w:tc>
        <w:tc>
          <w:tcPr>
            <w:tcW w:w="660" w:type="dxa"/>
          </w:tcPr>
          <w:p>
            <w:pPr>
              <w:pStyle w:val="TableParagraph"/>
              <w:spacing w:before="76"/>
              <w:ind w:left="165"/>
              <w:rPr>
                <w:rFonts w:ascii="Cambria"/>
                <w:sz w:val="18"/>
              </w:rPr>
            </w:pPr>
            <w:r>
              <w:rPr>
                <w:rFonts w:ascii="Cambria"/>
                <w:sz w:val="18"/>
              </w:rPr>
              <w:t>6.2</w:t>
            </w:r>
          </w:p>
        </w:tc>
        <w:tc>
          <w:tcPr>
            <w:tcW w:w="1052" w:type="dxa"/>
          </w:tcPr>
          <w:p>
            <w:pPr>
              <w:pStyle w:val="TableParagraph"/>
              <w:spacing w:before="76"/>
              <w:ind w:left="254"/>
              <w:rPr>
                <w:rFonts w:ascii="Cambria"/>
                <w:sz w:val="18"/>
              </w:rPr>
            </w:pPr>
            <w:r>
              <w:rPr>
                <w:rFonts w:ascii="Cambria"/>
                <w:sz w:val="18"/>
              </w:rPr>
              <w:t>0.111</w:t>
            </w:r>
          </w:p>
        </w:tc>
      </w:tr>
      <w:tr>
        <w:trPr>
          <w:trHeight w:val="329" w:hRule="exact"/>
        </w:trPr>
        <w:tc>
          <w:tcPr>
            <w:tcW w:w="2769" w:type="dxa"/>
          </w:tcPr>
          <w:p>
            <w:pPr>
              <w:pStyle w:val="TableParagraph"/>
              <w:spacing w:before="51"/>
              <w:ind w:left="1315"/>
              <w:rPr>
                <w:rFonts w:ascii="Cambria"/>
                <w:i/>
                <w:sz w:val="18"/>
              </w:rPr>
            </w:pPr>
            <w:r>
              <w:rPr>
                <w:rFonts w:ascii="Cambria"/>
                <w:i/>
                <w:sz w:val="18"/>
              </w:rPr>
              <w:t>cis, trans, trans</w:t>
            </w:r>
          </w:p>
        </w:tc>
        <w:tc>
          <w:tcPr>
            <w:tcW w:w="767" w:type="dxa"/>
          </w:tcPr>
          <w:p>
            <w:pPr>
              <w:pStyle w:val="TableParagraph"/>
              <w:spacing w:before="51"/>
              <w:ind w:left="116"/>
              <w:rPr>
                <w:rFonts w:ascii="Cambria"/>
                <w:sz w:val="18"/>
              </w:rPr>
            </w:pPr>
            <w:r>
              <w:rPr>
                <w:rFonts w:ascii="Cambria"/>
                <w:sz w:val="18"/>
              </w:rPr>
              <w:t>292.5</w:t>
            </w:r>
          </w:p>
        </w:tc>
        <w:tc>
          <w:tcPr>
            <w:tcW w:w="833" w:type="dxa"/>
          </w:tcPr>
          <w:p>
            <w:pPr>
              <w:pStyle w:val="TableParagraph"/>
              <w:spacing w:before="51"/>
              <w:ind w:right="180"/>
              <w:jc w:val="right"/>
              <w:rPr>
                <w:rFonts w:ascii="Cambria"/>
                <w:sz w:val="18"/>
              </w:rPr>
            </w:pPr>
            <w:r>
              <w:rPr>
                <w:rFonts w:ascii="Cambria"/>
                <w:sz w:val="18"/>
              </w:rPr>
              <w:t>280.0</w:t>
            </w:r>
          </w:p>
        </w:tc>
        <w:tc>
          <w:tcPr>
            <w:tcW w:w="783" w:type="dxa"/>
          </w:tcPr>
          <w:p>
            <w:pPr>
              <w:pStyle w:val="TableParagraph"/>
              <w:spacing w:before="51"/>
              <w:ind w:left="165" w:right="141"/>
              <w:jc w:val="center"/>
              <w:rPr>
                <w:rFonts w:ascii="Cambria"/>
                <w:sz w:val="18"/>
              </w:rPr>
            </w:pPr>
            <w:r>
              <w:rPr>
                <w:rFonts w:ascii="Cambria"/>
                <w:sz w:val="18"/>
              </w:rPr>
              <w:t>269.3</w:t>
            </w:r>
          </w:p>
        </w:tc>
        <w:tc>
          <w:tcPr>
            <w:tcW w:w="766" w:type="dxa"/>
          </w:tcPr>
          <w:p>
            <w:pPr>
              <w:pStyle w:val="TableParagraph"/>
              <w:spacing w:before="51"/>
              <w:ind w:left="142" w:right="147"/>
              <w:jc w:val="center"/>
              <w:rPr>
                <w:rFonts w:ascii="Cambria"/>
                <w:sz w:val="18"/>
              </w:rPr>
            </w:pPr>
            <w:r>
              <w:rPr>
                <w:rFonts w:ascii="Cambria"/>
                <w:sz w:val="18"/>
              </w:rPr>
              <w:t>282.2</w:t>
            </w:r>
          </w:p>
        </w:tc>
        <w:tc>
          <w:tcPr>
            <w:tcW w:w="672" w:type="dxa"/>
          </w:tcPr>
          <w:p>
            <w:pPr>
              <w:pStyle w:val="TableParagraph"/>
              <w:spacing w:before="51"/>
              <w:ind w:left="148" w:right="148"/>
              <w:jc w:val="center"/>
              <w:rPr>
                <w:rFonts w:ascii="Cambria"/>
                <w:sz w:val="18"/>
              </w:rPr>
            </w:pPr>
            <w:r>
              <w:rPr>
                <w:rFonts w:ascii="Cambria"/>
                <w:sz w:val="18"/>
              </w:rPr>
              <w:t>94.2</w:t>
            </w:r>
          </w:p>
        </w:tc>
        <w:tc>
          <w:tcPr>
            <w:tcW w:w="660" w:type="dxa"/>
          </w:tcPr>
          <w:p>
            <w:pPr>
              <w:pStyle w:val="TableParagraph"/>
              <w:spacing w:before="51"/>
              <w:ind w:left="165"/>
              <w:rPr>
                <w:rFonts w:ascii="Cambria"/>
                <w:sz w:val="18"/>
              </w:rPr>
            </w:pPr>
            <w:r>
              <w:rPr>
                <w:rFonts w:ascii="Cambria"/>
                <w:sz w:val="18"/>
              </w:rPr>
              <w:t>6.4</w:t>
            </w:r>
          </w:p>
        </w:tc>
        <w:tc>
          <w:tcPr>
            <w:tcW w:w="1052" w:type="dxa"/>
          </w:tcPr>
          <w:p>
            <w:pPr>
              <w:pStyle w:val="TableParagraph"/>
              <w:spacing w:before="51"/>
              <w:ind w:left="254"/>
              <w:rPr>
                <w:rFonts w:ascii="Cambria"/>
                <w:sz w:val="18"/>
              </w:rPr>
            </w:pPr>
            <w:r>
              <w:rPr>
                <w:rFonts w:ascii="Cambria"/>
                <w:sz w:val="18"/>
              </w:rPr>
              <w:t>0.032</w:t>
            </w:r>
          </w:p>
        </w:tc>
      </w:tr>
      <w:tr>
        <w:trPr>
          <w:trHeight w:val="327" w:hRule="exact"/>
        </w:trPr>
        <w:tc>
          <w:tcPr>
            <w:tcW w:w="2769" w:type="dxa"/>
          </w:tcPr>
          <w:p>
            <w:pPr>
              <w:pStyle w:val="TableParagraph"/>
              <w:spacing w:before="49"/>
              <w:ind w:left="1315"/>
              <w:rPr>
                <w:rFonts w:ascii="Cambria"/>
                <w:i/>
                <w:sz w:val="18"/>
              </w:rPr>
            </w:pPr>
            <w:r>
              <w:rPr>
                <w:rFonts w:ascii="Cambria"/>
                <w:i/>
                <w:sz w:val="18"/>
              </w:rPr>
              <w:t>trans, cis, trans</w:t>
            </w:r>
          </w:p>
        </w:tc>
        <w:tc>
          <w:tcPr>
            <w:tcW w:w="767" w:type="dxa"/>
          </w:tcPr>
          <w:p>
            <w:pPr>
              <w:pStyle w:val="TableParagraph"/>
              <w:spacing w:before="49"/>
              <w:ind w:left="116"/>
              <w:rPr>
                <w:rFonts w:ascii="Cambria"/>
                <w:sz w:val="18"/>
              </w:rPr>
            </w:pPr>
            <w:r>
              <w:rPr>
                <w:rFonts w:ascii="Cambria"/>
                <w:sz w:val="18"/>
              </w:rPr>
              <w:t>278.5</w:t>
            </w:r>
          </w:p>
        </w:tc>
        <w:tc>
          <w:tcPr>
            <w:tcW w:w="833" w:type="dxa"/>
          </w:tcPr>
          <w:p>
            <w:pPr>
              <w:pStyle w:val="TableParagraph"/>
              <w:spacing w:before="49"/>
              <w:ind w:right="180"/>
              <w:jc w:val="right"/>
              <w:rPr>
                <w:rFonts w:ascii="Cambria"/>
                <w:sz w:val="18"/>
              </w:rPr>
            </w:pPr>
            <w:r>
              <w:rPr>
                <w:rFonts w:ascii="Cambria"/>
                <w:sz w:val="18"/>
              </w:rPr>
              <w:t>254.6</w:t>
            </w:r>
          </w:p>
        </w:tc>
        <w:tc>
          <w:tcPr>
            <w:tcW w:w="783" w:type="dxa"/>
          </w:tcPr>
          <w:p>
            <w:pPr>
              <w:pStyle w:val="TableParagraph"/>
              <w:spacing w:before="49"/>
              <w:ind w:left="165" w:right="141"/>
              <w:jc w:val="center"/>
              <w:rPr>
                <w:rFonts w:ascii="Cambria"/>
                <w:sz w:val="18"/>
              </w:rPr>
            </w:pPr>
            <w:r>
              <w:rPr>
                <w:rFonts w:ascii="Cambria"/>
                <w:sz w:val="18"/>
              </w:rPr>
              <w:t>244.0</w:t>
            </w:r>
          </w:p>
        </w:tc>
        <w:tc>
          <w:tcPr>
            <w:tcW w:w="766" w:type="dxa"/>
          </w:tcPr>
          <w:p>
            <w:pPr>
              <w:pStyle w:val="TableParagraph"/>
              <w:spacing w:before="49"/>
              <w:ind w:left="142" w:right="147"/>
              <w:jc w:val="center"/>
              <w:rPr>
                <w:rFonts w:ascii="Cambria"/>
                <w:sz w:val="18"/>
              </w:rPr>
            </w:pPr>
            <w:r>
              <w:rPr>
                <w:rFonts w:ascii="Cambria"/>
                <w:sz w:val="18"/>
              </w:rPr>
              <w:t>256.8</w:t>
            </w:r>
          </w:p>
        </w:tc>
        <w:tc>
          <w:tcPr>
            <w:tcW w:w="672" w:type="dxa"/>
          </w:tcPr>
          <w:p>
            <w:pPr>
              <w:pStyle w:val="TableParagraph"/>
              <w:spacing w:before="49"/>
              <w:ind w:left="148" w:right="148"/>
              <w:jc w:val="center"/>
              <w:rPr>
                <w:rFonts w:ascii="Cambria"/>
                <w:sz w:val="18"/>
              </w:rPr>
            </w:pPr>
            <w:r>
              <w:rPr>
                <w:rFonts w:ascii="Cambria"/>
                <w:sz w:val="18"/>
              </w:rPr>
              <w:t>89.6</w:t>
            </w:r>
          </w:p>
        </w:tc>
        <w:tc>
          <w:tcPr>
            <w:tcW w:w="660" w:type="dxa"/>
          </w:tcPr>
          <w:p>
            <w:pPr>
              <w:pStyle w:val="TableParagraph"/>
              <w:spacing w:before="49"/>
              <w:ind w:left="165"/>
              <w:rPr>
                <w:rFonts w:ascii="Cambria"/>
                <w:sz w:val="18"/>
              </w:rPr>
            </w:pPr>
            <w:r>
              <w:rPr>
                <w:rFonts w:ascii="Cambria"/>
                <w:sz w:val="18"/>
              </w:rPr>
              <w:t>5.9</w:t>
            </w:r>
          </w:p>
        </w:tc>
        <w:tc>
          <w:tcPr>
            <w:tcW w:w="1052" w:type="dxa"/>
          </w:tcPr>
          <w:p>
            <w:pPr>
              <w:pStyle w:val="TableParagraph"/>
              <w:spacing w:before="49"/>
              <w:ind w:left="254"/>
              <w:rPr>
                <w:rFonts w:ascii="Cambria"/>
                <w:sz w:val="18"/>
              </w:rPr>
            </w:pPr>
            <w:r>
              <w:rPr>
                <w:rFonts w:ascii="Cambria"/>
                <w:sz w:val="18"/>
              </w:rPr>
              <w:t>0.016</w:t>
            </w:r>
          </w:p>
        </w:tc>
      </w:tr>
      <w:tr>
        <w:trPr>
          <w:trHeight w:val="326" w:hRule="exact"/>
        </w:trPr>
        <w:tc>
          <w:tcPr>
            <w:tcW w:w="2769" w:type="dxa"/>
          </w:tcPr>
          <w:p>
            <w:pPr>
              <w:pStyle w:val="TableParagraph"/>
              <w:spacing w:before="48"/>
              <w:ind w:left="1315"/>
              <w:rPr>
                <w:rFonts w:ascii="Cambria"/>
                <w:i/>
                <w:sz w:val="18"/>
              </w:rPr>
            </w:pPr>
            <w:r>
              <w:rPr>
                <w:rFonts w:ascii="Cambria"/>
                <w:i/>
                <w:sz w:val="18"/>
              </w:rPr>
              <w:t>trans, trans, trans</w:t>
            </w:r>
          </w:p>
        </w:tc>
        <w:tc>
          <w:tcPr>
            <w:tcW w:w="767" w:type="dxa"/>
          </w:tcPr>
          <w:p>
            <w:pPr>
              <w:pStyle w:val="TableParagraph"/>
              <w:spacing w:before="48"/>
              <w:ind w:left="116"/>
              <w:rPr>
                <w:rFonts w:ascii="Cambria"/>
                <w:sz w:val="18"/>
              </w:rPr>
            </w:pPr>
            <w:r>
              <w:rPr>
                <w:rFonts w:ascii="Cambria"/>
                <w:sz w:val="18"/>
              </w:rPr>
              <w:t>278.5</w:t>
            </w:r>
          </w:p>
        </w:tc>
        <w:tc>
          <w:tcPr>
            <w:tcW w:w="833" w:type="dxa"/>
          </w:tcPr>
          <w:p>
            <w:pPr>
              <w:pStyle w:val="TableParagraph"/>
              <w:spacing w:before="48"/>
              <w:ind w:right="180"/>
              <w:jc w:val="right"/>
              <w:rPr>
                <w:rFonts w:ascii="Cambria"/>
                <w:sz w:val="18"/>
              </w:rPr>
            </w:pPr>
            <w:r>
              <w:rPr>
                <w:rFonts w:ascii="Cambria"/>
                <w:sz w:val="18"/>
              </w:rPr>
              <w:t>252.0</w:t>
            </w:r>
          </w:p>
        </w:tc>
        <w:tc>
          <w:tcPr>
            <w:tcW w:w="783" w:type="dxa"/>
          </w:tcPr>
          <w:p>
            <w:pPr>
              <w:pStyle w:val="TableParagraph"/>
              <w:spacing w:before="48"/>
              <w:ind w:left="165" w:right="141"/>
              <w:jc w:val="center"/>
              <w:rPr>
                <w:rFonts w:ascii="Cambria"/>
                <w:sz w:val="18"/>
              </w:rPr>
            </w:pPr>
            <w:r>
              <w:rPr>
                <w:rFonts w:ascii="Cambria"/>
                <w:sz w:val="18"/>
              </w:rPr>
              <w:t>241.4</w:t>
            </w:r>
          </w:p>
        </w:tc>
        <w:tc>
          <w:tcPr>
            <w:tcW w:w="766" w:type="dxa"/>
          </w:tcPr>
          <w:p>
            <w:pPr>
              <w:pStyle w:val="TableParagraph"/>
              <w:spacing w:before="48"/>
              <w:ind w:left="142" w:right="147"/>
              <w:jc w:val="center"/>
              <w:rPr>
                <w:rFonts w:ascii="Cambria"/>
                <w:sz w:val="18"/>
              </w:rPr>
            </w:pPr>
            <w:r>
              <w:rPr>
                <w:rFonts w:ascii="Cambria"/>
                <w:sz w:val="18"/>
              </w:rPr>
              <w:t>254.2</w:t>
            </w:r>
          </w:p>
        </w:tc>
        <w:tc>
          <w:tcPr>
            <w:tcW w:w="672" w:type="dxa"/>
          </w:tcPr>
          <w:p>
            <w:pPr>
              <w:pStyle w:val="TableParagraph"/>
              <w:spacing w:before="48"/>
              <w:ind w:left="148" w:right="148"/>
              <w:jc w:val="center"/>
              <w:rPr>
                <w:rFonts w:ascii="Cambria"/>
                <w:sz w:val="18"/>
              </w:rPr>
            </w:pPr>
            <w:r>
              <w:rPr>
                <w:rFonts w:ascii="Cambria"/>
                <w:sz w:val="18"/>
              </w:rPr>
              <w:t>89.6</w:t>
            </w:r>
          </w:p>
        </w:tc>
        <w:tc>
          <w:tcPr>
            <w:tcW w:w="660" w:type="dxa"/>
          </w:tcPr>
          <w:p>
            <w:pPr>
              <w:pStyle w:val="TableParagraph"/>
              <w:spacing w:before="48"/>
              <w:ind w:left="165"/>
              <w:rPr>
                <w:rFonts w:ascii="Cambria"/>
                <w:sz w:val="18"/>
              </w:rPr>
            </w:pPr>
            <w:r>
              <w:rPr>
                <w:rFonts w:ascii="Cambria"/>
                <w:sz w:val="18"/>
              </w:rPr>
              <w:t>5.9</w:t>
            </w:r>
          </w:p>
        </w:tc>
        <w:tc>
          <w:tcPr>
            <w:tcW w:w="1052" w:type="dxa"/>
          </w:tcPr>
          <w:p>
            <w:pPr>
              <w:pStyle w:val="TableParagraph"/>
              <w:spacing w:before="48"/>
              <w:ind w:left="254"/>
              <w:rPr>
                <w:rFonts w:ascii="Cambria"/>
                <w:sz w:val="18"/>
              </w:rPr>
            </w:pPr>
            <w:r>
              <w:rPr>
                <w:rFonts w:ascii="Cambria"/>
                <w:sz w:val="18"/>
              </w:rPr>
              <w:t>0.032</w:t>
            </w:r>
          </w:p>
        </w:tc>
      </w:tr>
      <w:tr>
        <w:trPr>
          <w:trHeight w:val="329" w:hRule="exact"/>
        </w:trPr>
        <w:tc>
          <w:tcPr>
            <w:tcW w:w="2769" w:type="dxa"/>
          </w:tcPr>
          <w:p>
            <w:pPr>
              <w:pStyle w:val="TableParagraph"/>
              <w:spacing w:before="48"/>
              <w:ind w:left="1315"/>
              <w:rPr>
                <w:rFonts w:ascii="Cambria"/>
                <w:i/>
                <w:sz w:val="18"/>
              </w:rPr>
            </w:pPr>
            <w:r>
              <w:rPr>
                <w:rFonts w:ascii="Cambria"/>
                <w:i/>
                <w:sz w:val="18"/>
              </w:rPr>
              <w:t>cis, cis, trans</w:t>
            </w:r>
          </w:p>
        </w:tc>
        <w:tc>
          <w:tcPr>
            <w:tcW w:w="767" w:type="dxa"/>
          </w:tcPr>
          <w:p>
            <w:pPr>
              <w:pStyle w:val="TableParagraph"/>
              <w:spacing w:before="48"/>
              <w:ind w:left="116"/>
              <w:rPr>
                <w:rFonts w:ascii="Cambria"/>
                <w:sz w:val="18"/>
              </w:rPr>
            </w:pPr>
            <w:r>
              <w:rPr>
                <w:rFonts w:ascii="Cambria"/>
                <w:sz w:val="18"/>
              </w:rPr>
              <w:t>278.5</w:t>
            </w:r>
          </w:p>
        </w:tc>
        <w:tc>
          <w:tcPr>
            <w:tcW w:w="833" w:type="dxa"/>
          </w:tcPr>
          <w:p>
            <w:pPr>
              <w:pStyle w:val="TableParagraph"/>
              <w:spacing w:before="48"/>
              <w:ind w:right="180"/>
              <w:jc w:val="right"/>
              <w:rPr>
                <w:rFonts w:ascii="Cambria"/>
                <w:sz w:val="18"/>
              </w:rPr>
            </w:pPr>
            <w:r>
              <w:rPr>
                <w:rFonts w:ascii="Cambria"/>
                <w:sz w:val="18"/>
              </w:rPr>
              <w:t>252.5</w:t>
            </w:r>
          </w:p>
        </w:tc>
        <w:tc>
          <w:tcPr>
            <w:tcW w:w="783" w:type="dxa"/>
          </w:tcPr>
          <w:p>
            <w:pPr>
              <w:pStyle w:val="TableParagraph"/>
              <w:spacing w:before="48"/>
              <w:ind w:left="165" w:right="141"/>
              <w:jc w:val="center"/>
              <w:rPr>
                <w:rFonts w:ascii="Cambria"/>
                <w:sz w:val="18"/>
              </w:rPr>
            </w:pPr>
            <w:r>
              <w:rPr>
                <w:rFonts w:ascii="Cambria"/>
                <w:sz w:val="18"/>
              </w:rPr>
              <w:t>241.9</w:t>
            </w:r>
          </w:p>
        </w:tc>
        <w:tc>
          <w:tcPr>
            <w:tcW w:w="766" w:type="dxa"/>
          </w:tcPr>
          <w:p>
            <w:pPr>
              <w:pStyle w:val="TableParagraph"/>
              <w:spacing w:before="48"/>
              <w:ind w:left="142" w:right="147"/>
              <w:jc w:val="center"/>
              <w:rPr>
                <w:rFonts w:ascii="Cambria"/>
                <w:sz w:val="18"/>
              </w:rPr>
            </w:pPr>
            <w:r>
              <w:rPr>
                <w:rFonts w:ascii="Cambria"/>
                <w:sz w:val="18"/>
              </w:rPr>
              <w:t>254.8</w:t>
            </w:r>
          </w:p>
        </w:tc>
        <w:tc>
          <w:tcPr>
            <w:tcW w:w="672" w:type="dxa"/>
          </w:tcPr>
          <w:p>
            <w:pPr>
              <w:pStyle w:val="TableParagraph"/>
              <w:spacing w:before="48"/>
              <w:ind w:left="148" w:right="148"/>
              <w:jc w:val="center"/>
              <w:rPr>
                <w:rFonts w:ascii="Cambria"/>
                <w:sz w:val="18"/>
              </w:rPr>
            </w:pPr>
            <w:r>
              <w:rPr>
                <w:rFonts w:ascii="Cambria"/>
                <w:sz w:val="18"/>
              </w:rPr>
              <w:t>89.6</w:t>
            </w:r>
          </w:p>
        </w:tc>
        <w:tc>
          <w:tcPr>
            <w:tcW w:w="660" w:type="dxa"/>
          </w:tcPr>
          <w:p>
            <w:pPr>
              <w:pStyle w:val="TableParagraph"/>
              <w:spacing w:before="48"/>
              <w:ind w:left="165"/>
              <w:rPr>
                <w:rFonts w:ascii="Cambria"/>
                <w:sz w:val="18"/>
              </w:rPr>
            </w:pPr>
            <w:r>
              <w:rPr>
                <w:rFonts w:ascii="Cambria"/>
                <w:sz w:val="18"/>
              </w:rPr>
              <w:t>5.9</w:t>
            </w:r>
          </w:p>
        </w:tc>
        <w:tc>
          <w:tcPr>
            <w:tcW w:w="1052" w:type="dxa"/>
          </w:tcPr>
          <w:p>
            <w:pPr>
              <w:pStyle w:val="TableParagraph"/>
              <w:spacing w:before="48"/>
              <w:ind w:left="254"/>
              <w:rPr>
                <w:rFonts w:ascii="Cambria"/>
                <w:sz w:val="18"/>
              </w:rPr>
            </w:pPr>
            <w:r>
              <w:rPr>
                <w:rFonts w:ascii="Cambria"/>
                <w:sz w:val="18"/>
              </w:rPr>
              <w:t>0.016</w:t>
            </w:r>
          </w:p>
        </w:tc>
      </w:tr>
      <w:tr>
        <w:trPr>
          <w:trHeight w:val="385" w:hRule="exact"/>
        </w:trPr>
        <w:tc>
          <w:tcPr>
            <w:tcW w:w="2769" w:type="dxa"/>
            <w:tcBorders>
              <w:bottom w:val="single" w:sz="12" w:space="0" w:color="000000"/>
            </w:tcBorders>
          </w:tcPr>
          <w:p>
            <w:pPr>
              <w:pStyle w:val="TableParagraph"/>
              <w:spacing w:before="51"/>
              <w:ind w:left="1315"/>
              <w:rPr>
                <w:rFonts w:ascii="Cambria"/>
                <w:i/>
                <w:sz w:val="18"/>
              </w:rPr>
            </w:pPr>
            <w:r>
              <w:rPr>
                <w:rFonts w:ascii="Cambria"/>
                <w:i/>
                <w:sz w:val="18"/>
              </w:rPr>
              <w:t>cis, trans, cis</w:t>
            </w:r>
          </w:p>
        </w:tc>
        <w:tc>
          <w:tcPr>
            <w:tcW w:w="767" w:type="dxa"/>
            <w:tcBorders>
              <w:bottom w:val="single" w:sz="12" w:space="0" w:color="000000"/>
            </w:tcBorders>
          </w:tcPr>
          <w:p>
            <w:pPr>
              <w:pStyle w:val="TableParagraph"/>
              <w:spacing w:before="51"/>
              <w:ind w:left="116"/>
              <w:rPr>
                <w:rFonts w:ascii="Cambria"/>
                <w:sz w:val="18"/>
              </w:rPr>
            </w:pPr>
            <w:r>
              <w:rPr>
                <w:rFonts w:ascii="Cambria"/>
                <w:sz w:val="18"/>
              </w:rPr>
              <w:t>278.5</w:t>
            </w:r>
          </w:p>
        </w:tc>
        <w:tc>
          <w:tcPr>
            <w:tcW w:w="833" w:type="dxa"/>
            <w:tcBorders>
              <w:bottom w:val="single" w:sz="12" w:space="0" w:color="000000"/>
            </w:tcBorders>
          </w:tcPr>
          <w:p>
            <w:pPr>
              <w:pStyle w:val="TableParagraph"/>
              <w:spacing w:before="51"/>
              <w:ind w:right="180"/>
              <w:jc w:val="right"/>
              <w:rPr>
                <w:rFonts w:ascii="Cambria"/>
                <w:sz w:val="18"/>
              </w:rPr>
            </w:pPr>
            <w:r>
              <w:rPr>
                <w:rFonts w:ascii="Cambria"/>
                <w:sz w:val="18"/>
              </w:rPr>
              <w:t>252.0</w:t>
            </w:r>
          </w:p>
        </w:tc>
        <w:tc>
          <w:tcPr>
            <w:tcW w:w="783" w:type="dxa"/>
            <w:tcBorders>
              <w:bottom w:val="single" w:sz="12" w:space="0" w:color="000000"/>
            </w:tcBorders>
          </w:tcPr>
          <w:p>
            <w:pPr>
              <w:pStyle w:val="TableParagraph"/>
              <w:spacing w:before="51"/>
              <w:ind w:left="165" w:right="141"/>
              <w:jc w:val="center"/>
              <w:rPr>
                <w:rFonts w:ascii="Cambria"/>
                <w:sz w:val="18"/>
              </w:rPr>
            </w:pPr>
            <w:r>
              <w:rPr>
                <w:rFonts w:ascii="Cambria"/>
                <w:sz w:val="18"/>
              </w:rPr>
              <w:t>241.4</w:t>
            </w:r>
          </w:p>
        </w:tc>
        <w:tc>
          <w:tcPr>
            <w:tcW w:w="766" w:type="dxa"/>
            <w:tcBorders>
              <w:bottom w:val="single" w:sz="12" w:space="0" w:color="000000"/>
            </w:tcBorders>
          </w:tcPr>
          <w:p>
            <w:pPr>
              <w:pStyle w:val="TableParagraph"/>
              <w:spacing w:before="51"/>
              <w:ind w:left="142" w:right="147"/>
              <w:jc w:val="center"/>
              <w:rPr>
                <w:rFonts w:ascii="Cambria"/>
                <w:sz w:val="18"/>
              </w:rPr>
            </w:pPr>
            <w:r>
              <w:rPr>
                <w:rFonts w:ascii="Cambria"/>
                <w:sz w:val="18"/>
              </w:rPr>
              <w:t>254.2</w:t>
            </w:r>
          </w:p>
        </w:tc>
        <w:tc>
          <w:tcPr>
            <w:tcW w:w="672" w:type="dxa"/>
            <w:tcBorders>
              <w:bottom w:val="single" w:sz="12" w:space="0" w:color="000000"/>
            </w:tcBorders>
          </w:tcPr>
          <w:p>
            <w:pPr>
              <w:pStyle w:val="TableParagraph"/>
              <w:spacing w:before="51"/>
              <w:ind w:left="148" w:right="148"/>
              <w:jc w:val="center"/>
              <w:rPr>
                <w:rFonts w:ascii="Cambria"/>
                <w:sz w:val="18"/>
              </w:rPr>
            </w:pPr>
            <w:r>
              <w:rPr>
                <w:rFonts w:ascii="Cambria"/>
                <w:sz w:val="18"/>
              </w:rPr>
              <w:t>89.6</w:t>
            </w:r>
          </w:p>
        </w:tc>
        <w:tc>
          <w:tcPr>
            <w:tcW w:w="660" w:type="dxa"/>
            <w:tcBorders>
              <w:bottom w:val="single" w:sz="12" w:space="0" w:color="000000"/>
            </w:tcBorders>
          </w:tcPr>
          <w:p>
            <w:pPr>
              <w:pStyle w:val="TableParagraph"/>
              <w:spacing w:before="51"/>
              <w:ind w:left="165"/>
              <w:rPr>
                <w:rFonts w:ascii="Cambria"/>
                <w:sz w:val="18"/>
              </w:rPr>
            </w:pPr>
            <w:r>
              <w:rPr>
                <w:rFonts w:ascii="Cambria"/>
                <w:sz w:val="18"/>
              </w:rPr>
              <w:t>5.9</w:t>
            </w:r>
          </w:p>
        </w:tc>
        <w:tc>
          <w:tcPr>
            <w:tcW w:w="1052" w:type="dxa"/>
            <w:tcBorders>
              <w:bottom w:val="single" w:sz="12" w:space="0" w:color="000000"/>
            </w:tcBorders>
          </w:tcPr>
          <w:p>
            <w:pPr>
              <w:pStyle w:val="TableParagraph"/>
              <w:spacing w:before="51"/>
              <w:ind w:left="254"/>
              <w:rPr>
                <w:rFonts w:ascii="Cambria"/>
                <w:sz w:val="18"/>
              </w:rPr>
            </w:pPr>
            <w:r>
              <w:rPr>
                <w:rFonts w:ascii="Cambria"/>
                <w:sz w:val="18"/>
              </w:rPr>
              <w:t>0.032</w:t>
            </w:r>
          </w:p>
        </w:tc>
      </w:tr>
    </w:tbl>
    <w:p>
      <w:pPr>
        <w:spacing w:line="194" w:lineRule="exact" w:before="0"/>
        <w:ind w:left="259" w:right="0" w:firstLine="283"/>
        <w:jc w:val="both"/>
        <w:rPr>
          <w:sz w:val="18"/>
        </w:rPr>
      </w:pPr>
      <w:r>
        <w:rPr>
          <w:i/>
          <w:position w:val="4"/>
          <w:sz w:val="12"/>
        </w:rPr>
        <w:t>a   </w:t>
      </w:r>
      <w:r>
        <w:rPr>
          <w:sz w:val="18"/>
        </w:rPr>
        <w:t>“BM” means base methylation  without  fermentation; “AM” means acid methylation  without     fermentation;</w:t>
      </w:r>
    </w:p>
    <w:p>
      <w:pPr>
        <w:spacing w:line="360" w:lineRule="auto" w:before="105"/>
        <w:ind w:left="259" w:right="242" w:firstLine="0"/>
        <w:jc w:val="both"/>
        <w:rPr>
          <w:sz w:val="18"/>
        </w:rPr>
      </w:pPr>
      <w:r>
        <w:rPr>
          <w:sz w:val="18"/>
        </w:rPr>
        <w:t>“CM” means acid- and base-combined methylation; “BA” means fatty acids from bacterial fraction after 48h fermentation; “PA” means fatty acids from protozoan fraction after 48h fermentation; “MA” means volatile fatty acids from media fraction after 48h fermentation.</w:t>
      </w:r>
    </w:p>
    <w:p>
      <w:pPr>
        <w:spacing w:before="0"/>
        <w:ind w:left="543" w:right="0" w:firstLine="0"/>
        <w:jc w:val="left"/>
        <w:rPr>
          <w:sz w:val="18"/>
        </w:rPr>
      </w:pPr>
      <w:r>
        <w:rPr>
          <w:i/>
          <w:position w:val="4"/>
          <w:sz w:val="12"/>
        </w:rPr>
        <w:t>b  </w:t>
      </w:r>
      <w:r>
        <w:rPr>
          <w:sz w:val="18"/>
        </w:rPr>
        <w:t>“</w:t>
      </w:r>
      <w:r>
        <w:rPr>
          <w:b/>
          <w:i/>
          <w:sz w:val="18"/>
        </w:rPr>
        <w:t>0</w:t>
      </w:r>
      <w:r>
        <w:rPr>
          <w:sz w:val="18"/>
        </w:rPr>
        <w:t>” means the dataset from experiment 1 without fermentation; “</w:t>
      </w:r>
      <w:r>
        <w:rPr>
          <w:b/>
          <w:i/>
          <w:sz w:val="18"/>
        </w:rPr>
        <w:t>1</w:t>
      </w:r>
      <w:r>
        <w:rPr>
          <w:sz w:val="18"/>
        </w:rPr>
        <w:t>” means the dataset from experiment 2</w:t>
      </w:r>
    </w:p>
    <w:p>
      <w:pPr>
        <w:spacing w:before="105"/>
        <w:ind w:left="259" w:right="0" w:firstLine="0"/>
        <w:jc w:val="both"/>
        <w:rPr>
          <w:sz w:val="18"/>
        </w:rPr>
      </w:pPr>
      <w:r>
        <w:rPr>
          <w:sz w:val="18"/>
        </w:rPr>
        <w:t>with fermentation of omega 6 and omega 3.</w:t>
      </w:r>
    </w:p>
    <w:p>
      <w:pPr>
        <w:spacing w:line="355" w:lineRule="auto" w:before="105"/>
        <w:ind w:left="259" w:right="234" w:firstLine="283"/>
        <w:jc w:val="both"/>
        <w:rPr>
          <w:sz w:val="18"/>
        </w:rPr>
      </w:pPr>
      <w:r>
        <w:rPr>
          <w:i/>
          <w:position w:val="4"/>
          <w:sz w:val="12"/>
        </w:rPr>
        <w:t>c </w:t>
      </w:r>
      <w:r>
        <w:rPr>
          <w:sz w:val="18"/>
        </w:rPr>
        <w:t>“phase”, means the dataset: long chain fatty acids including from the bacterial membrane (bacterial fraction), protozoan membrane (protozoan fraction), volatile fatty acids from fermentation media (media fraction).</w:t>
      </w:r>
    </w:p>
    <w:p>
      <w:pPr>
        <w:spacing w:before="4"/>
        <w:ind w:left="543" w:right="0" w:firstLine="0"/>
        <w:jc w:val="left"/>
        <w:rPr>
          <w:sz w:val="18"/>
        </w:rPr>
      </w:pPr>
      <w:r>
        <w:rPr>
          <w:i/>
          <w:position w:val="4"/>
          <w:sz w:val="12"/>
        </w:rPr>
        <w:t>d  </w:t>
      </w:r>
      <w:r>
        <w:rPr>
          <w:sz w:val="18"/>
        </w:rPr>
        <w:t>Column of GC, “HP-88 (112-88A7)” means the column of GC for determining long chain fatty acids; “DB-FFAP”</w:t>
      </w:r>
    </w:p>
    <w:p>
      <w:pPr>
        <w:spacing w:before="105"/>
        <w:ind w:left="259" w:right="0" w:firstLine="0"/>
        <w:jc w:val="both"/>
        <w:rPr>
          <w:sz w:val="18"/>
        </w:rPr>
      </w:pPr>
      <w:r>
        <w:rPr>
          <w:sz w:val="18"/>
        </w:rPr>
        <w:t>means the column for determining volatile fatty acids.</w:t>
      </w:r>
    </w:p>
    <w:p>
      <w:pPr>
        <w:spacing w:before="105"/>
        <w:ind w:left="543" w:right="0" w:firstLine="0"/>
        <w:jc w:val="left"/>
        <w:rPr>
          <w:sz w:val="18"/>
        </w:rPr>
      </w:pPr>
      <w:r>
        <w:rPr>
          <w:i/>
          <w:position w:val="4"/>
          <w:sz w:val="12"/>
        </w:rPr>
        <w:t>e </w:t>
      </w:r>
      <w:r>
        <w:rPr>
          <w:sz w:val="18"/>
        </w:rPr>
        <w:t>“</w:t>
      </w:r>
      <w:r>
        <w:rPr>
          <w:b/>
          <w:i/>
          <w:sz w:val="18"/>
        </w:rPr>
        <w:t>0</w:t>
      </w:r>
      <w:r>
        <w:rPr>
          <w:sz w:val="18"/>
        </w:rPr>
        <w:t>” means the original data, “</w:t>
      </w:r>
      <w:r>
        <w:rPr>
          <w:b/>
          <w:i/>
          <w:sz w:val="18"/>
        </w:rPr>
        <w:t>0.1</w:t>
      </w:r>
      <w:r>
        <w:rPr>
          <w:sz w:val="18"/>
        </w:rPr>
        <w:t>, </w:t>
      </w:r>
      <w:r>
        <w:rPr>
          <w:b/>
          <w:i/>
          <w:sz w:val="18"/>
        </w:rPr>
        <w:t>0.2</w:t>
      </w:r>
      <w:r>
        <w:rPr>
          <w:sz w:val="18"/>
        </w:rPr>
        <w:t>, or </w:t>
      </w:r>
      <w:r>
        <w:rPr>
          <w:b/>
          <w:i/>
          <w:sz w:val="18"/>
        </w:rPr>
        <w:t>0.3</w:t>
      </w:r>
      <w:r>
        <w:rPr>
          <w:sz w:val="18"/>
        </w:rPr>
        <w:t>” means the 1, 2, or 3 replicates, respectively.</w:t>
      </w:r>
    </w:p>
    <w:p>
      <w:pPr>
        <w:spacing w:line="360" w:lineRule="auto" w:before="105"/>
        <w:ind w:left="259" w:right="231" w:firstLine="283"/>
        <w:jc w:val="both"/>
        <w:rPr>
          <w:sz w:val="18"/>
        </w:rPr>
      </w:pPr>
      <w:r>
        <w:rPr>
          <w:i/>
          <w:position w:val="4"/>
          <w:sz w:val="12"/>
        </w:rPr>
        <w:t>f </w:t>
      </w:r>
      <w:r>
        <w:rPr>
          <w:i/>
          <w:sz w:val="18"/>
        </w:rPr>
        <w:t>cis</w:t>
      </w:r>
      <w:r>
        <w:rPr>
          <w:sz w:val="18"/>
        </w:rPr>
        <w:t>/</w:t>
      </w:r>
      <w:r>
        <w:rPr>
          <w:i/>
          <w:sz w:val="18"/>
        </w:rPr>
        <w:t>trans </w:t>
      </w:r>
      <w:r>
        <w:rPr>
          <w:sz w:val="18"/>
        </w:rPr>
        <w:t>pattern: “</w:t>
      </w:r>
      <w:r>
        <w:rPr>
          <w:i/>
          <w:sz w:val="18"/>
        </w:rPr>
        <w:t>linear</w:t>
      </w:r>
      <w:r>
        <w:rPr>
          <w:sz w:val="18"/>
        </w:rPr>
        <w:t>” means LCFA without double bonds; “</w:t>
      </w:r>
      <w:r>
        <w:rPr>
          <w:i/>
          <w:sz w:val="18"/>
        </w:rPr>
        <w:t>cis</w:t>
      </w:r>
      <w:r>
        <w:rPr>
          <w:sz w:val="18"/>
        </w:rPr>
        <w:t>” means LCFA with </w:t>
      </w:r>
      <w:r>
        <w:rPr>
          <w:i/>
          <w:sz w:val="18"/>
        </w:rPr>
        <w:t>cis </w:t>
      </w:r>
      <w:r>
        <w:rPr>
          <w:sz w:val="18"/>
        </w:rPr>
        <w:t>isomerization; “</w:t>
      </w:r>
      <w:r>
        <w:rPr>
          <w:i/>
          <w:sz w:val="18"/>
        </w:rPr>
        <w:t>trans</w:t>
      </w:r>
      <w:r>
        <w:rPr>
          <w:sz w:val="18"/>
        </w:rPr>
        <w:t>” means LCFA with </w:t>
      </w:r>
      <w:r>
        <w:rPr>
          <w:i/>
          <w:sz w:val="18"/>
        </w:rPr>
        <w:t>trans </w:t>
      </w:r>
      <w:r>
        <w:rPr>
          <w:sz w:val="18"/>
        </w:rPr>
        <w:t>isomerization; and the number of cis or trans means LCFA with the same number of </w:t>
      </w:r>
      <w:r>
        <w:rPr>
          <w:i/>
          <w:sz w:val="18"/>
        </w:rPr>
        <w:t>cis </w:t>
      </w:r>
      <w:r>
        <w:rPr>
          <w:sz w:val="18"/>
        </w:rPr>
        <w:t>or </w:t>
      </w:r>
      <w:r>
        <w:rPr>
          <w:i/>
          <w:sz w:val="18"/>
        </w:rPr>
        <w:t>trans </w:t>
      </w:r>
      <w:r>
        <w:rPr>
          <w:sz w:val="18"/>
        </w:rPr>
        <w:t>double bonds.</w:t>
      </w:r>
    </w:p>
    <w:p>
      <w:pPr>
        <w:spacing w:line="360" w:lineRule="auto" w:before="0"/>
        <w:ind w:left="259" w:right="237" w:firstLine="283"/>
        <w:jc w:val="both"/>
        <w:rPr>
          <w:sz w:val="18"/>
        </w:rPr>
      </w:pPr>
      <w:r>
        <w:rPr>
          <w:i/>
          <w:position w:val="5"/>
          <w:sz w:val="12"/>
        </w:rPr>
        <w:t>aa </w:t>
      </w:r>
      <w:r>
        <w:rPr>
          <w:position w:val="1"/>
          <w:sz w:val="18"/>
        </w:rPr>
        <w:t>&lt;V</w:t>
      </w:r>
      <w:r>
        <w:rPr>
          <w:sz w:val="12"/>
        </w:rPr>
        <w:t>k</w:t>
      </w:r>
      <w:r>
        <w:rPr>
          <w:position w:val="1"/>
          <w:sz w:val="18"/>
        </w:rPr>
        <w:t>(c</w:t>
      </w:r>
      <w:r>
        <w:rPr>
          <w:sz w:val="12"/>
        </w:rPr>
        <w:t>j</w:t>
      </w:r>
      <w:r>
        <w:rPr>
          <w:position w:val="1"/>
          <w:sz w:val="18"/>
        </w:rPr>
        <w:t>)&gt; means the average of Molecular descriptors (V</w:t>
      </w:r>
      <w:r>
        <w:rPr>
          <w:sz w:val="12"/>
        </w:rPr>
        <w:t>k</w:t>
      </w:r>
      <w:r>
        <w:rPr>
          <w:position w:val="1"/>
          <w:sz w:val="18"/>
        </w:rPr>
        <w:t>) for different conditions (c</w:t>
      </w:r>
      <w:r>
        <w:rPr>
          <w:sz w:val="12"/>
        </w:rPr>
        <w:t>j</w:t>
      </w:r>
      <w:r>
        <w:rPr>
          <w:position w:val="1"/>
          <w:sz w:val="18"/>
        </w:rPr>
        <w:t>); the descriptors are V</w:t>
      </w:r>
      <w:r>
        <w:rPr>
          <w:sz w:val="12"/>
        </w:rPr>
        <w:t>1 </w:t>
      </w:r>
      <w:r>
        <w:rPr>
          <w:position w:val="1"/>
          <w:sz w:val="18"/>
        </w:rPr>
        <w:t>= Mw, V</w:t>
      </w:r>
      <w:r>
        <w:rPr>
          <w:sz w:val="12"/>
        </w:rPr>
        <w:t>2 </w:t>
      </w:r>
      <w:r>
        <w:rPr>
          <w:position w:val="1"/>
          <w:sz w:val="18"/>
        </w:rPr>
        <w:t>= Aeigv, V</w:t>
      </w:r>
      <w:r>
        <w:rPr>
          <w:sz w:val="12"/>
        </w:rPr>
        <w:t>3 </w:t>
      </w:r>
      <w:r>
        <w:rPr>
          <w:position w:val="1"/>
          <w:sz w:val="18"/>
        </w:rPr>
        <w:t>= Aeige, V</w:t>
      </w:r>
      <w:r>
        <w:rPr>
          <w:sz w:val="12"/>
        </w:rPr>
        <w:t>4 </w:t>
      </w:r>
      <w:r>
        <w:rPr>
          <w:position w:val="1"/>
          <w:sz w:val="18"/>
        </w:rPr>
        <w:t>= Aeigp, V</w:t>
      </w:r>
      <w:r>
        <w:rPr>
          <w:sz w:val="12"/>
        </w:rPr>
        <w:t>5 </w:t>
      </w:r>
      <w:r>
        <w:rPr>
          <w:position w:val="1"/>
          <w:sz w:val="18"/>
        </w:rPr>
        <w:t>= AMR, and V</w:t>
      </w:r>
      <w:r>
        <w:rPr>
          <w:sz w:val="12"/>
        </w:rPr>
        <w:t>6 </w:t>
      </w:r>
      <w:r>
        <w:rPr>
          <w:position w:val="1"/>
          <w:sz w:val="18"/>
        </w:rPr>
        <w:t>=  LogP.</w:t>
      </w:r>
    </w:p>
    <w:p>
      <w:pPr>
        <w:spacing w:line="360" w:lineRule="auto" w:before="0"/>
        <w:ind w:left="259" w:right="238" w:firstLine="283"/>
        <w:jc w:val="both"/>
        <w:rPr>
          <w:sz w:val="18"/>
        </w:rPr>
      </w:pPr>
      <w:r>
        <w:rPr>
          <w:i/>
          <w:position w:val="5"/>
          <w:sz w:val="12"/>
        </w:rPr>
        <w:t>ab </w:t>
      </w:r>
      <w:r>
        <w:rPr>
          <w:i/>
          <w:position w:val="1"/>
          <w:sz w:val="18"/>
        </w:rPr>
        <w:t>p</w:t>
      </w:r>
      <w:r>
        <w:rPr>
          <w:position w:val="1"/>
          <w:sz w:val="18"/>
        </w:rPr>
        <w:t>(c</w:t>
      </w:r>
      <w:r>
        <w:rPr>
          <w:sz w:val="12"/>
        </w:rPr>
        <w:t>j</w:t>
      </w:r>
      <w:r>
        <w:rPr>
          <w:position w:val="1"/>
          <w:sz w:val="18"/>
        </w:rPr>
        <w:t>) = n</w:t>
      </w:r>
      <w:r>
        <w:rPr>
          <w:sz w:val="12"/>
        </w:rPr>
        <w:t>j</w:t>
      </w:r>
      <w:r>
        <w:rPr>
          <w:position w:val="1"/>
          <w:sz w:val="18"/>
        </w:rPr>
        <w:t>/ n</w:t>
      </w:r>
      <w:r>
        <w:rPr>
          <w:sz w:val="12"/>
        </w:rPr>
        <w:t>total</w:t>
      </w:r>
      <w:r>
        <w:rPr>
          <w:position w:val="1"/>
          <w:sz w:val="18"/>
        </w:rPr>
        <w:t>; n</w:t>
      </w:r>
      <w:r>
        <w:rPr>
          <w:sz w:val="12"/>
        </w:rPr>
        <w:t>j </w:t>
      </w:r>
      <w:r>
        <w:rPr>
          <w:position w:val="1"/>
          <w:sz w:val="18"/>
        </w:rPr>
        <w:t>number of experimental entries for condition c</w:t>
      </w:r>
      <w:r>
        <w:rPr>
          <w:sz w:val="12"/>
        </w:rPr>
        <w:t>j </w:t>
      </w:r>
      <w:r>
        <w:rPr>
          <w:position w:val="1"/>
          <w:sz w:val="18"/>
        </w:rPr>
        <w:t>and n</w:t>
      </w:r>
      <w:r>
        <w:rPr>
          <w:sz w:val="12"/>
        </w:rPr>
        <w:t>total </w:t>
      </w:r>
      <w:r>
        <w:rPr>
          <w:position w:val="1"/>
          <w:sz w:val="18"/>
        </w:rPr>
        <w:t>= 744 total number of </w:t>
      </w:r>
      <w:r>
        <w:rPr>
          <w:sz w:val="18"/>
        </w:rPr>
        <w:t>experimental entries.</w:t>
      </w:r>
    </w:p>
    <w:p>
      <w:pPr>
        <w:pStyle w:val="BodyText"/>
        <w:spacing w:before="3"/>
      </w:pPr>
    </w:p>
    <w:p>
      <w:pPr>
        <w:pStyle w:val="ListParagraph"/>
        <w:numPr>
          <w:ilvl w:val="2"/>
          <w:numId w:val="13"/>
        </w:numPr>
        <w:tabs>
          <w:tab w:pos="909" w:val="left" w:leader="none"/>
        </w:tabs>
        <w:spacing w:line="240" w:lineRule="auto" w:before="0" w:after="0"/>
        <w:ind w:left="908" w:right="0" w:hanging="649"/>
        <w:jc w:val="both"/>
        <w:rPr>
          <w:sz w:val="24"/>
        </w:rPr>
      </w:pPr>
      <w:r>
        <w:rPr>
          <w:b/>
          <w:sz w:val="24"/>
        </w:rPr>
        <w:t>Clasificación de</w:t>
      </w:r>
      <w:r>
        <w:rPr>
          <w:b/>
          <w:spacing w:val="-11"/>
          <w:sz w:val="24"/>
        </w:rPr>
        <w:t> </w:t>
      </w:r>
      <w:r>
        <w:rPr>
          <w:b/>
          <w:sz w:val="24"/>
        </w:rPr>
        <w:t>modelos</w:t>
      </w:r>
      <w:r>
        <w:rPr>
          <w:sz w:val="24"/>
        </w:rPr>
        <w:t>.</w:t>
      </w:r>
    </w:p>
    <w:p>
      <w:pPr>
        <w:pStyle w:val="BodyText"/>
        <w:spacing w:before="4"/>
        <w:rPr>
          <w:sz w:val="35"/>
        </w:rPr>
      </w:pPr>
    </w:p>
    <w:p>
      <w:pPr>
        <w:pStyle w:val="BodyText"/>
        <w:spacing w:line="360" w:lineRule="auto"/>
        <w:ind w:left="259" w:right="238" w:firstLine="283"/>
        <w:jc w:val="both"/>
      </w:pPr>
      <w:r>
        <w:rPr/>
        <w:t>El análisis discriminante lineal (LDA) (Hill y Lewicki, 2006) se utilizó el algoritmo implementado en el software STATISTICA para encontrar el mejor modelo PT-LFER. A veces la relación entre las variables de entrada y la salida es más compleja y la linealidad no puede resolver el problema. Por lo tanto, los modelos no lineales  podrían proporcionar una mejor solución, pero con el inconveniente de no ser capaz de interpretar el modelo y las relaciones entre las variables. De este modo, las redes neuronales artificiales (RNAs) (Haykin, 1998) se pusieron a prueba: Redes Neuronales lineales (LNNs), que son similares a los modelos de LDA, y no lineales Multi-Layer Perceptron   (MLP)   (Hill   y   Lewicki,   2006)   .   Los   datos   completos   se</w:t>
      </w:r>
      <w:r>
        <w:rPr>
          <w:spacing w:val="14"/>
        </w:rPr>
        <w:t> </w:t>
      </w:r>
      <w:r>
        <w:rPr/>
        <w:t>dividieron</w:t>
      </w:r>
    </w:p>
    <w:p>
      <w:pPr>
        <w:pStyle w:val="BodyText"/>
        <w:spacing w:before="1"/>
        <w:ind w:left="259"/>
        <w:jc w:val="both"/>
      </w:pPr>
      <w:r>
        <w:rPr/>
        <w:t>aleatoriamente  en   serie   de   entrenamiento   ("t",  el   75%)  que   se   utiliza  para  la</w:t>
      </w:r>
    </w:p>
    <w:p>
      <w:pPr>
        <w:spacing w:after="0"/>
        <w:jc w:val="both"/>
        <w:sectPr>
          <w:pgSz w:w="12240" w:h="15840"/>
          <w:pgMar w:header="684" w:footer="1164" w:top="1380" w:bottom="1380" w:left="1440" w:right="1460"/>
        </w:sectPr>
      </w:pPr>
    </w:p>
    <w:p>
      <w:pPr>
        <w:pStyle w:val="BodyText"/>
        <w:spacing w:before="7"/>
        <w:rPr>
          <w:sz w:val="15"/>
        </w:rPr>
      </w:pPr>
    </w:p>
    <w:p>
      <w:pPr>
        <w:pStyle w:val="BodyText"/>
        <w:spacing w:line="362" w:lineRule="auto" w:before="66"/>
        <w:ind w:left="259" w:right="247"/>
        <w:jc w:val="both"/>
      </w:pPr>
      <w:r>
        <w:rPr/>
        <w:t>construcción de modelo y serie de validación ("v", el 25%) que se utiliza para la validación del modelo. Además, se añadió una variable validación cruzada para el conjunto de datos con los valores de la prueba de "t" y "v". Todas las variables independientes fueron unificados y estandarizados con el software STATISTICA, antes de la construcción del modelo.</w:t>
      </w:r>
    </w:p>
    <w:p>
      <w:pPr>
        <w:pStyle w:val="BodyText"/>
        <w:spacing w:before="6"/>
        <w:rPr>
          <w:sz w:val="23"/>
        </w:rPr>
      </w:pPr>
    </w:p>
    <w:p>
      <w:pPr>
        <w:pStyle w:val="ListParagraph"/>
        <w:numPr>
          <w:ilvl w:val="2"/>
          <w:numId w:val="13"/>
        </w:numPr>
        <w:tabs>
          <w:tab w:pos="909" w:val="left" w:leader="none"/>
        </w:tabs>
        <w:spacing w:line="240" w:lineRule="auto" w:before="0" w:after="0"/>
        <w:ind w:left="908" w:right="0" w:hanging="649"/>
        <w:jc w:val="both"/>
        <w:rPr>
          <w:sz w:val="24"/>
        </w:rPr>
      </w:pPr>
      <w:r>
        <w:rPr>
          <w:b/>
          <w:sz w:val="24"/>
        </w:rPr>
        <w:t>Estudio de complejo de</w:t>
      </w:r>
      <w:r>
        <w:rPr>
          <w:b/>
          <w:spacing w:val="-11"/>
          <w:sz w:val="24"/>
        </w:rPr>
        <w:t> </w:t>
      </w:r>
      <w:r>
        <w:rPr>
          <w:b/>
          <w:sz w:val="24"/>
        </w:rPr>
        <w:t>redes</w:t>
      </w:r>
      <w:r>
        <w:rPr>
          <w:sz w:val="24"/>
        </w:rPr>
        <w:t>.</w:t>
      </w:r>
    </w:p>
    <w:p>
      <w:pPr>
        <w:pStyle w:val="BodyText"/>
        <w:spacing w:before="4"/>
        <w:rPr>
          <w:sz w:val="35"/>
        </w:rPr>
      </w:pPr>
    </w:p>
    <w:p>
      <w:pPr>
        <w:pStyle w:val="BodyText"/>
        <w:ind w:left="543"/>
      </w:pPr>
      <w:r>
        <w:rPr/>
        <w:t>Tanto las redes observadas y predichas se construyeron en Excel y se guardan en el</w:t>
      </w:r>
    </w:p>
    <w:p>
      <w:pPr>
        <w:pStyle w:val="BodyText"/>
        <w:spacing w:line="360" w:lineRule="auto" w:before="141"/>
        <w:ind w:left="259" w:right="231"/>
        <w:jc w:val="both"/>
      </w:pPr>
      <w:r>
        <w:rPr/>
        <w:t>.net (listas de pares de nodos) formato de archivo. Los enlaces de la red observada coinciden con las clases para ser predichos por el modelo anterior LDA. La existencia de un enlace correspondiente a la condición Lnr = 1, si IPA (%) obs&gt; IPA (%) ref para cada ácido graso en ambos los estados inicial y final, Lnr = 0 en caso contrario. Se generó una serie de pares de estados lo más alto posible, el cálculo de la existencia de vínculos observados con la regla anterior, y que también estaba previsto con el modelo. Estas archivos se procesaron con el software CentiBiN descrito por Junker et al. (Junker et al., 2006), para calcular los índices promedio de la topología de la red.  Los índices calculados eran los valores medios de la distancia topológica-vértice vértice (Newman et al., 2001), el grado de nodo, y la cercanía del componente gigante de lo observado, predijeron y los dos más aleatorias similares. También se construyeron dos modelos de redes aleatorias (red aleatoria 1 y 2). El modelo de la  red aleatoria seleccionada fue la gráfica Erdös-Rényi (ER), que a menudo se utiliza como un modelo de red</w:t>
      </w:r>
      <w:r>
        <w:rPr>
          <w:spacing w:val="-7"/>
        </w:rPr>
        <w:t> </w:t>
      </w:r>
      <w:r>
        <w:rPr/>
        <w:t>aleatoria.</w:t>
      </w:r>
    </w:p>
    <w:p>
      <w:pPr>
        <w:pStyle w:val="BodyText"/>
      </w:pPr>
    </w:p>
    <w:p>
      <w:pPr>
        <w:pStyle w:val="BodyText"/>
      </w:pPr>
    </w:p>
    <w:p>
      <w:pPr>
        <w:pStyle w:val="BodyText"/>
        <w:spacing w:before="11"/>
        <w:rPr>
          <w:sz w:val="35"/>
        </w:rPr>
      </w:pPr>
    </w:p>
    <w:p>
      <w:pPr>
        <w:spacing w:before="0"/>
        <w:ind w:left="259" w:right="0" w:firstLine="0"/>
        <w:jc w:val="both"/>
        <w:rPr>
          <w:b/>
          <w:sz w:val="24"/>
        </w:rPr>
      </w:pPr>
      <w:r>
        <w:rPr>
          <w:b/>
          <w:sz w:val="24"/>
        </w:rPr>
        <w:t>2.2. Métodos quimioinformáticos 2</w:t>
      </w:r>
    </w:p>
    <w:p>
      <w:pPr>
        <w:pStyle w:val="BodyText"/>
        <w:spacing w:before="9"/>
        <w:rPr>
          <w:b/>
          <w:sz w:val="35"/>
        </w:rPr>
      </w:pPr>
    </w:p>
    <w:p>
      <w:pPr>
        <w:pStyle w:val="ListParagraph"/>
        <w:numPr>
          <w:ilvl w:val="1"/>
          <w:numId w:val="15"/>
        </w:numPr>
        <w:tabs>
          <w:tab w:pos="712" w:val="left" w:leader="none"/>
        </w:tabs>
        <w:spacing w:line="240" w:lineRule="auto" w:before="0" w:after="0"/>
        <w:ind w:left="711" w:right="0" w:hanging="452"/>
        <w:jc w:val="both"/>
        <w:rPr>
          <w:b/>
          <w:sz w:val="24"/>
        </w:rPr>
      </w:pPr>
      <w:r>
        <w:rPr>
          <w:b/>
          <w:sz w:val="24"/>
        </w:rPr>
        <w:t>Sección</w:t>
      </w:r>
      <w:r>
        <w:rPr>
          <w:b/>
          <w:spacing w:val="-12"/>
          <w:sz w:val="24"/>
        </w:rPr>
        <w:t> </w:t>
      </w:r>
      <w:r>
        <w:rPr>
          <w:b/>
          <w:sz w:val="24"/>
        </w:rPr>
        <w:t>experimental</w:t>
      </w:r>
    </w:p>
    <w:p>
      <w:pPr>
        <w:pStyle w:val="BodyText"/>
        <w:spacing w:before="4"/>
        <w:rPr>
          <w:b/>
          <w:sz w:val="35"/>
        </w:rPr>
      </w:pPr>
    </w:p>
    <w:p>
      <w:pPr>
        <w:pStyle w:val="BodyText"/>
        <w:spacing w:line="360" w:lineRule="auto"/>
        <w:ind w:left="259" w:firstLine="283"/>
      </w:pPr>
      <w:r>
        <w:rPr/>
        <w:t>El experimento se presenta en la (Fig. 1). (a) el pH, la presión del gas producción de metano y la temperatura, así como (b) las áreas cromatográficas internos pico (IPA%)</w:t>
      </w:r>
    </w:p>
    <w:p>
      <w:pPr>
        <w:spacing w:after="0" w:line="360" w:lineRule="auto"/>
        <w:sectPr>
          <w:pgSz w:w="12240" w:h="15840"/>
          <w:pgMar w:header="684" w:footer="1164" w:top="1380" w:bottom="1380" w:left="1440" w:right="1460"/>
        </w:sectPr>
      </w:pPr>
    </w:p>
    <w:p>
      <w:pPr>
        <w:pStyle w:val="BodyText"/>
        <w:spacing w:before="7"/>
        <w:rPr>
          <w:sz w:val="15"/>
        </w:rPr>
      </w:pPr>
    </w:p>
    <w:p>
      <w:pPr>
        <w:pStyle w:val="BodyText"/>
        <w:spacing w:line="362" w:lineRule="auto" w:before="66"/>
        <w:ind w:left="259" w:right="240"/>
        <w:jc w:val="both"/>
      </w:pPr>
      <w:r>
        <w:rPr/>
        <w:t>de (b1) ácidos grasos de cadena larga (LCFA) en la membrana bacteriana y protozoos y (b2) grasos volátiles ácidos (VFA) se determinará en las diferentes experimentos.  Los datos generales de los procedimientos experimentales utilizados se explican de la siguiente</w:t>
      </w:r>
      <w:r>
        <w:rPr>
          <w:spacing w:val="-9"/>
        </w:rPr>
        <w:t> </w:t>
      </w:r>
      <w:r>
        <w:rPr/>
        <w:t>manera.</w:t>
      </w:r>
    </w:p>
    <w:p>
      <w:pPr>
        <w:pStyle w:val="BodyText"/>
        <w:spacing w:before="10"/>
        <w:rPr>
          <w:sz w:val="19"/>
        </w:rPr>
      </w:pPr>
      <w:r>
        <w:rPr/>
        <w:drawing>
          <wp:anchor distT="0" distB="0" distL="0" distR="0" allowOverlap="1" layoutInCell="1" locked="0" behindDoc="0" simplePos="0" relativeHeight="2848">
            <wp:simplePos x="0" y="0"/>
            <wp:positionH relativeFrom="page">
              <wp:posOffset>1258569</wp:posOffset>
            </wp:positionH>
            <wp:positionV relativeFrom="paragraph">
              <wp:posOffset>173089</wp:posOffset>
            </wp:positionV>
            <wp:extent cx="5406275" cy="3041904"/>
            <wp:effectExtent l="0" t="0" r="0" b="0"/>
            <wp:wrapTopAndBottom/>
            <wp:docPr id="67" name="image31.jpeg" descr=""/>
            <wp:cNvGraphicFramePr>
              <a:graphicFrameLocks noChangeAspect="1"/>
            </wp:cNvGraphicFramePr>
            <a:graphic>
              <a:graphicData uri="http://schemas.openxmlformats.org/drawingml/2006/picture">
                <pic:pic>
                  <pic:nvPicPr>
                    <pic:cNvPr id="68" name="image31.jpeg"/>
                    <pic:cNvPicPr/>
                  </pic:nvPicPr>
                  <pic:blipFill>
                    <a:blip r:embed="rId67" cstate="print"/>
                    <a:stretch>
                      <a:fillRect/>
                    </a:stretch>
                  </pic:blipFill>
                  <pic:spPr>
                    <a:xfrm>
                      <a:off x="0" y="0"/>
                      <a:ext cx="5406275" cy="3041904"/>
                    </a:xfrm>
                    <a:prstGeom prst="rect">
                      <a:avLst/>
                    </a:prstGeom>
                  </pic:spPr>
                </pic:pic>
              </a:graphicData>
            </a:graphic>
          </wp:anchor>
        </w:drawing>
      </w:r>
    </w:p>
    <w:p>
      <w:pPr>
        <w:pStyle w:val="BodyText"/>
        <w:spacing w:before="10"/>
        <w:rPr>
          <w:sz w:val="27"/>
        </w:rPr>
      </w:pPr>
    </w:p>
    <w:p>
      <w:pPr>
        <w:pStyle w:val="BodyText"/>
        <w:spacing w:before="67"/>
        <w:ind w:left="2502"/>
      </w:pPr>
      <w:r>
        <w:rPr>
          <w:b/>
        </w:rPr>
        <w:t>Fig. 1</w:t>
      </w:r>
      <w:r>
        <w:rPr/>
        <w:t>. Workflow of the experimental parts</w:t>
      </w:r>
    </w:p>
    <w:p>
      <w:pPr>
        <w:pStyle w:val="BodyText"/>
        <w:rPr>
          <w:sz w:val="20"/>
        </w:rPr>
      </w:pPr>
    </w:p>
    <w:p>
      <w:pPr>
        <w:pStyle w:val="ListParagraph"/>
        <w:numPr>
          <w:ilvl w:val="2"/>
          <w:numId w:val="15"/>
        </w:numPr>
        <w:tabs>
          <w:tab w:pos="832" w:val="left" w:leader="none"/>
        </w:tabs>
        <w:spacing w:line="240" w:lineRule="auto" w:before="185" w:after="0"/>
        <w:ind w:left="831" w:right="0" w:hanging="572"/>
        <w:jc w:val="left"/>
        <w:rPr>
          <w:i/>
          <w:sz w:val="24"/>
        </w:rPr>
      </w:pPr>
      <w:r>
        <w:rPr>
          <w:i/>
          <w:sz w:val="24"/>
        </w:rPr>
        <w:t>Inóculo.</w:t>
      </w:r>
    </w:p>
    <w:p>
      <w:pPr>
        <w:pStyle w:val="BodyText"/>
        <w:spacing w:before="4"/>
        <w:rPr>
          <w:i/>
          <w:sz w:val="35"/>
        </w:rPr>
      </w:pPr>
    </w:p>
    <w:p>
      <w:pPr>
        <w:pStyle w:val="BodyText"/>
        <w:spacing w:line="362" w:lineRule="auto"/>
        <w:ind w:left="259" w:right="234" w:firstLine="283"/>
        <w:jc w:val="both"/>
      </w:pPr>
      <w:r>
        <w:rPr/>
        <w:t>Los microbios de inóculo fueron proporcionados por tres adultos varones Pelibuey oveja con rumen-fístula permanente (peso corporal, 45,0 ± 5,0 kg). Los métodos de instalación del rumen-fístula estaban de acuerdo con la Norma Oficial Mexicana (NOM-220-SSA1-2002). Composiciones nutricionales del forraje para animales donantes fueron de acuerdo con la descripción de la NRC (2007).</w:t>
      </w:r>
    </w:p>
    <w:p>
      <w:pPr>
        <w:pStyle w:val="BodyText"/>
        <w:spacing w:before="6"/>
        <w:rPr>
          <w:sz w:val="23"/>
        </w:rPr>
      </w:pPr>
    </w:p>
    <w:p>
      <w:pPr>
        <w:pStyle w:val="ListParagraph"/>
        <w:numPr>
          <w:ilvl w:val="2"/>
          <w:numId w:val="15"/>
        </w:numPr>
        <w:tabs>
          <w:tab w:pos="832" w:val="left" w:leader="none"/>
        </w:tabs>
        <w:spacing w:line="240" w:lineRule="auto" w:before="0" w:after="0"/>
        <w:ind w:left="831" w:right="0" w:hanging="572"/>
        <w:jc w:val="left"/>
        <w:rPr>
          <w:i/>
          <w:sz w:val="24"/>
        </w:rPr>
      </w:pPr>
      <w:r>
        <w:rPr>
          <w:i/>
          <w:sz w:val="24"/>
        </w:rPr>
        <w:t>Fermentación in vitro</w:t>
      </w:r>
      <w:r>
        <w:rPr>
          <w:i/>
          <w:spacing w:val="-15"/>
          <w:sz w:val="24"/>
        </w:rPr>
        <w:t> </w:t>
      </w:r>
      <w:r>
        <w:rPr>
          <w:i/>
          <w:sz w:val="24"/>
        </w:rPr>
        <w:t>experimental.</w:t>
      </w:r>
    </w:p>
    <w:p>
      <w:pPr>
        <w:pStyle w:val="BodyText"/>
        <w:spacing w:before="4"/>
        <w:rPr>
          <w:i/>
          <w:sz w:val="35"/>
        </w:rPr>
      </w:pPr>
    </w:p>
    <w:p>
      <w:pPr>
        <w:pStyle w:val="BodyText"/>
        <w:spacing w:line="360" w:lineRule="auto"/>
        <w:ind w:left="259" w:right="248" w:firstLine="283"/>
        <w:jc w:val="both"/>
      </w:pPr>
      <w:r>
        <w:rPr/>
        <w:t>Los detalles de fermentación in vitro fueron de acuerdo a la descripción de Tang el al.  (.  Tang  et  al,  2008)  fluido  ruminal  libre  de  partículas  se  mezcló  con  solución</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2" w:lineRule="auto" w:before="66"/>
        <w:ind w:left="259" w:right="234"/>
        <w:jc w:val="both"/>
      </w:pPr>
      <w:r>
        <w:rPr/>
        <w:t>tampón de saliva artificial (Menke y Steingass, 1988) en una proporción de 1: 2 (v / v) a 39 ºC con lavado continuo de CO2. Las fracciones microbianas y por protozoos se separaron por centrifugación diferencial de acuerdo con los métodos de Legay- Carmier y Bauchart (1989). Ácidos grasos microbianas se prepararon de acuerdo con el método desarrollado por O-Rashid (O-Rashid et al., 2007), y catalizadas por metilación catalizada por base.</w:t>
      </w:r>
    </w:p>
    <w:p>
      <w:pPr>
        <w:pStyle w:val="BodyText"/>
        <w:spacing w:before="1"/>
        <w:rPr>
          <w:sz w:val="23"/>
        </w:rPr>
      </w:pPr>
    </w:p>
    <w:p>
      <w:pPr>
        <w:pStyle w:val="BodyText"/>
        <w:spacing w:line="360" w:lineRule="auto" w:before="1"/>
        <w:ind w:left="259" w:right="232" w:firstLine="283"/>
        <w:jc w:val="both"/>
      </w:pPr>
      <w:r>
        <w:rPr/>
        <w:t>La parte conjunto de datos (a) se constaba de CH4, la presión del gas (GP) y la temperatura (T). Estos parámetros se determinaron después de fermentado dentro exógenas diferentes proporciones ω-6 / ω-3 PUFAs. El PUFAs ω-6 / ω-3 fueron compuestas de ácido linoleico (LA, L1376-5 g, Sigma-Aldrich) / α-linolénico (ALA, L2376-500 mg, Sigma-Aldrich) en las proporciones de 100: 0 ; 90:10; 80:20, 66:33, 50:50 y 20:80, respectivamente, con una cantidad total de 100 mg / g en sustrato. La parte de datos (b) se composited del Área Interna Peak, IPA (%), de (b.1) LCFA de la membrana bacteriana y protozoo de dos tratamientos diferentes (metilaciones y fermentación con exógenos ω-6 / ω-3 PUFAs catalizada) y (b.2) VFA en el medio de fermentación. Entre las metilaciones catalizadas incluyen la metilación del ácido (solución de HCl de 8% en metanol / agua (v / v, 85/15)) (Ichihara y Fukubayashi, 2010), la metilación de base (trimetilsilildiazometano, TMSD) (O-Rashid et al ., 2007) </w:t>
      </w:r>
      <w:r>
        <w:rPr>
          <w:rFonts w:ascii="Times New Roman" w:hAnsi="Times New Roman"/>
        </w:rPr>
        <w:t>(Presser et al., 2004) </w:t>
      </w:r>
      <w:r>
        <w:rPr/>
        <w:t>combinación de ácido / base-metilación (catalizado con HCl, a su vez con TMSD). Experimento de fermentación fue de los mismos tratamientos con la parte (a) usando exógenos ω-6 / ω-3 PUFAs. Los valores de área de pico, PA (i), para cada ácido graso bajo diferentes conjuntos de condiciones experimentales cj (diferentes muestras) se determinaron con cromatografía de gases (modelo 6890N, EE.UU.) con HP-88 Columna, mientras que VFAs se determinaron con la columna de DB-FFAP. Se utilizaron los valores de área del pico obtenido por GC para calcular el área interna Peak, IPA (%), como sigue.</w:t>
      </w:r>
    </w:p>
    <w:p>
      <w:pPr>
        <w:spacing w:after="0" w:line="360" w:lineRule="auto"/>
        <w:jc w:val="both"/>
        <w:sectPr>
          <w:pgSz w:w="12240" w:h="15840"/>
          <w:pgMar w:header="684" w:footer="1164" w:top="1380" w:bottom="1380" w:left="1440" w:right="1460"/>
        </w:sectPr>
      </w:pPr>
    </w:p>
    <w:p>
      <w:pPr>
        <w:pStyle w:val="BodyText"/>
        <w:spacing w:before="2"/>
        <w:rPr>
          <w:sz w:val="19"/>
        </w:rPr>
      </w:pPr>
    </w:p>
    <w:p>
      <w:pPr>
        <w:spacing w:after="0"/>
        <w:rPr>
          <w:sz w:val="19"/>
        </w:rPr>
        <w:sectPr>
          <w:pgSz w:w="12240" w:h="15840"/>
          <w:pgMar w:header="684" w:footer="1164" w:top="1380" w:bottom="1380" w:left="1440" w:right="1460"/>
        </w:sectPr>
      </w:pPr>
    </w:p>
    <w:p>
      <w:pPr>
        <w:pStyle w:val="BodyText"/>
      </w:pPr>
    </w:p>
    <w:p>
      <w:pPr>
        <w:pStyle w:val="BodyText"/>
        <w:spacing w:before="7"/>
        <w:rPr>
          <w:sz w:val="28"/>
        </w:rPr>
      </w:pPr>
    </w:p>
    <w:p>
      <w:pPr>
        <w:spacing w:line="99" w:lineRule="exact" w:before="0"/>
        <w:ind w:left="0" w:right="0" w:firstLine="0"/>
        <w:jc w:val="right"/>
        <w:rPr>
          <w:rFonts w:ascii="Times New Roman"/>
          <w:sz w:val="25"/>
        </w:rPr>
      </w:pPr>
      <w:r>
        <w:rPr>
          <w:rFonts w:ascii="Times New Roman"/>
          <w:w w:val="110"/>
          <w:sz w:val="25"/>
        </w:rPr>
        <w:t>IPA(%)</w:t>
      </w:r>
    </w:p>
    <w:p>
      <w:pPr>
        <w:spacing w:line="230" w:lineRule="exact" w:before="53"/>
        <w:ind w:left="0" w:right="0" w:firstLine="0"/>
        <w:jc w:val="right"/>
        <w:rPr>
          <w:rFonts w:ascii="Symbol" w:hAnsi="Symbol"/>
          <w:sz w:val="25"/>
        </w:rPr>
      </w:pPr>
      <w:r>
        <w:rPr/>
        <w:br w:type="column"/>
      </w:r>
      <w:r>
        <w:rPr>
          <w:rFonts w:ascii="Symbol" w:hAnsi="Symbol"/>
          <w:w w:val="110"/>
          <w:sz w:val="25"/>
        </w:rPr>
        <w:t></w:t>
      </w:r>
    </w:p>
    <w:p>
      <w:pPr>
        <w:spacing w:line="193" w:lineRule="exact" w:before="0"/>
        <w:ind w:left="0" w:right="0" w:firstLine="0"/>
        <w:jc w:val="right"/>
        <w:rPr>
          <w:rFonts w:ascii="Symbol" w:hAnsi="Symbol"/>
          <w:sz w:val="25"/>
        </w:rPr>
      </w:pPr>
      <w:r>
        <w:rPr>
          <w:rFonts w:ascii="Symbol" w:hAnsi="Symbol"/>
          <w:w w:val="113"/>
          <w:sz w:val="25"/>
        </w:rPr>
        <w:t></w:t>
      </w:r>
    </w:p>
    <w:p>
      <w:pPr>
        <w:spacing w:line="239" w:lineRule="exact" w:before="0"/>
        <w:ind w:left="0" w:right="0" w:firstLine="0"/>
        <w:jc w:val="right"/>
        <w:rPr>
          <w:rFonts w:ascii="Symbol" w:hAnsi="Symbol"/>
          <w:sz w:val="25"/>
        </w:rPr>
      </w:pPr>
      <w:r>
        <w:rPr>
          <w:rFonts w:ascii="Symbol" w:hAnsi="Symbol"/>
          <w:w w:val="115"/>
          <w:sz w:val="25"/>
        </w:rPr>
        <w:t></w:t>
      </w:r>
      <w:r>
        <w:rPr>
          <w:rFonts w:ascii="Times New Roman" w:hAnsi="Times New Roman"/>
          <w:spacing w:val="-52"/>
          <w:w w:val="115"/>
          <w:sz w:val="25"/>
        </w:rPr>
        <w:t> </w:t>
      </w:r>
      <w:r>
        <w:rPr>
          <w:rFonts w:ascii="Times New Roman" w:hAnsi="Times New Roman"/>
          <w:spacing w:val="7"/>
          <w:w w:val="115"/>
          <w:sz w:val="25"/>
        </w:rPr>
        <w:t>100</w:t>
      </w:r>
      <w:r>
        <w:rPr>
          <w:rFonts w:ascii="Symbol" w:hAnsi="Symbol"/>
          <w:spacing w:val="7"/>
          <w:w w:val="115"/>
          <w:sz w:val="25"/>
        </w:rPr>
        <w:t></w:t>
      </w:r>
      <w:r>
        <w:rPr>
          <w:rFonts w:ascii="Symbol" w:hAnsi="Symbol"/>
          <w:spacing w:val="7"/>
          <w:w w:val="115"/>
          <w:position w:val="16"/>
          <w:sz w:val="25"/>
        </w:rPr>
        <w:t></w:t>
      </w:r>
    </w:p>
    <w:p>
      <w:pPr>
        <w:pStyle w:val="BodyText"/>
        <w:rPr>
          <w:rFonts w:ascii="Symbol" w:hAnsi="Symbol"/>
        </w:rPr>
      </w:pPr>
      <w:r>
        <w:rPr/>
        <w:br w:type="column"/>
      </w:r>
      <w:r>
        <w:rPr>
          <w:rFonts w:ascii="Symbol" w:hAnsi="Symbol"/>
        </w:rPr>
      </w:r>
    </w:p>
    <w:p>
      <w:pPr>
        <w:spacing w:line="247" w:lineRule="exact" w:before="174"/>
        <w:ind w:left="232" w:right="0" w:firstLine="0"/>
        <w:jc w:val="left"/>
        <w:rPr>
          <w:rFonts w:ascii="Times New Roman"/>
          <w:sz w:val="25"/>
        </w:rPr>
      </w:pPr>
      <w:r>
        <w:rPr>
          <w:rFonts w:ascii="Times New Roman"/>
          <w:spacing w:val="-10"/>
          <w:w w:val="110"/>
          <w:sz w:val="25"/>
        </w:rPr>
        <w:t>PA(i)</w:t>
      </w:r>
    </w:p>
    <w:p>
      <w:pPr>
        <w:spacing w:line="230" w:lineRule="exact" w:before="53"/>
        <w:ind w:left="247" w:right="0" w:firstLine="0"/>
        <w:jc w:val="left"/>
        <w:rPr>
          <w:rFonts w:ascii="Symbol" w:hAnsi="Symbol"/>
          <w:sz w:val="25"/>
        </w:rPr>
      </w:pPr>
      <w:r>
        <w:rPr/>
        <w:br w:type="column"/>
      </w:r>
      <w:r>
        <w:rPr>
          <w:rFonts w:ascii="Symbol" w:hAnsi="Symbol"/>
          <w:w w:val="115"/>
          <w:sz w:val="25"/>
        </w:rPr>
        <w:t></w:t>
      </w:r>
    </w:p>
    <w:p>
      <w:pPr>
        <w:spacing w:line="193" w:lineRule="exact" w:before="0"/>
        <w:ind w:left="247" w:right="0" w:firstLine="0"/>
        <w:jc w:val="left"/>
        <w:rPr>
          <w:rFonts w:ascii="Symbol" w:hAnsi="Symbol"/>
          <w:sz w:val="25"/>
        </w:rPr>
      </w:pPr>
      <w:r>
        <w:rPr>
          <w:rFonts w:ascii="Symbol" w:hAnsi="Symbol"/>
          <w:w w:val="113"/>
          <w:sz w:val="25"/>
        </w:rPr>
        <w:t></w:t>
      </w:r>
    </w:p>
    <w:p>
      <w:pPr>
        <w:tabs>
          <w:tab w:pos="609" w:val="left" w:leader="none"/>
        </w:tabs>
        <w:spacing w:line="239" w:lineRule="exact" w:before="0"/>
        <w:ind w:left="247" w:right="0" w:firstLine="0"/>
        <w:jc w:val="left"/>
        <w:rPr>
          <w:rFonts w:ascii="Symbol" w:hAnsi="Symbol"/>
          <w:sz w:val="33"/>
        </w:rPr>
      </w:pPr>
      <w:r>
        <w:rPr>
          <w:rFonts w:ascii="Symbol" w:hAnsi="Symbol"/>
          <w:w w:val="105"/>
          <w:position w:val="16"/>
          <w:sz w:val="25"/>
        </w:rPr>
        <w:t></w:t>
      </w:r>
      <w:r>
        <w:rPr>
          <w:rFonts w:ascii="Times New Roman" w:hAnsi="Times New Roman"/>
          <w:w w:val="105"/>
          <w:position w:val="16"/>
          <w:sz w:val="25"/>
        </w:rPr>
        <w:tab/>
      </w:r>
      <w:r>
        <w:rPr>
          <w:rFonts w:ascii="Symbol" w:hAnsi="Symbol"/>
          <w:spacing w:val="-10"/>
          <w:w w:val="105"/>
          <w:sz w:val="33"/>
        </w:rPr>
        <w:t></w:t>
      </w:r>
      <w:r>
        <w:rPr>
          <w:rFonts w:ascii="Times New Roman" w:hAnsi="Times New Roman"/>
          <w:spacing w:val="-10"/>
          <w:w w:val="105"/>
          <w:sz w:val="25"/>
        </w:rPr>
        <w:t>19</w:t>
      </w:r>
      <w:r>
        <w:rPr>
          <w:rFonts w:ascii="Symbol" w:hAnsi="Symbol"/>
          <w:spacing w:val="-10"/>
          <w:w w:val="105"/>
          <w:sz w:val="33"/>
        </w:rPr>
        <w:t></w:t>
      </w:r>
    </w:p>
    <w:p>
      <w:pPr>
        <w:spacing w:after="0" w:line="239" w:lineRule="exact"/>
        <w:jc w:val="left"/>
        <w:rPr>
          <w:rFonts w:ascii="Symbol" w:hAnsi="Symbol"/>
          <w:sz w:val="33"/>
        </w:rPr>
        <w:sectPr>
          <w:type w:val="continuous"/>
          <w:pgSz w:w="12240" w:h="15840"/>
          <w:pgMar w:top="3080" w:bottom="2780" w:left="1440" w:right="1460"/>
          <w:cols w:num="4" w:equalWidth="0">
            <w:col w:w="3781" w:space="40"/>
            <w:col w:w="973" w:space="40"/>
            <w:col w:w="818" w:space="40"/>
            <w:col w:w="3648"/>
          </w:cols>
        </w:sectPr>
      </w:pPr>
    </w:p>
    <w:p>
      <w:pPr>
        <w:tabs>
          <w:tab w:pos="1391" w:val="left" w:leader="none"/>
          <w:tab w:pos="2644" w:val="left" w:leader="none"/>
        </w:tabs>
        <w:spacing w:line="226" w:lineRule="exact" w:before="0"/>
        <w:ind w:left="490" w:right="0" w:firstLine="0"/>
        <w:jc w:val="center"/>
        <w:rPr>
          <w:rFonts w:ascii="Symbol" w:hAnsi="Symbol"/>
          <w:sz w:val="25"/>
        </w:rPr>
      </w:pPr>
      <w:r>
        <w:rPr/>
        <w:pict>
          <v:line style="position:absolute;mso-position-horizontal-relative:page;mso-position-vertical-relative:paragraph;z-index:-329392" from="313.72998pt,4.097492pt" to="367.588545pt,4.097507pt" stroked="true" strokeweight=".13952pt" strokecolor="#000000">
            <w10:wrap type="none"/>
          </v:line>
        </w:pict>
      </w:r>
      <w:r>
        <w:rPr>
          <w:rFonts w:ascii="Times New Roman" w:hAnsi="Times New Roman"/>
          <w:spacing w:val="3"/>
          <w:w w:val="115"/>
          <w:position w:val="2"/>
          <w:sz w:val="14"/>
        </w:rPr>
        <w:t>ij</w:t>
        <w:tab/>
      </w:r>
      <w:r>
        <w:rPr>
          <w:rFonts w:ascii="Symbol" w:hAnsi="Symbol"/>
          <w:w w:val="115"/>
          <w:position w:val="1"/>
          <w:sz w:val="25"/>
        </w:rPr>
        <w:t></w:t>
      </w:r>
      <w:r>
        <w:rPr>
          <w:rFonts w:ascii="Times New Roman" w:hAnsi="Times New Roman"/>
          <w:spacing w:val="-17"/>
          <w:w w:val="115"/>
          <w:position w:val="1"/>
          <w:sz w:val="25"/>
        </w:rPr>
        <w:t> </w:t>
      </w:r>
      <w:r>
        <w:rPr>
          <w:rFonts w:ascii="Times New Roman" w:hAnsi="Times New Roman"/>
          <w:i/>
          <w:spacing w:val="-7"/>
          <w:w w:val="115"/>
          <w:sz w:val="14"/>
        </w:rPr>
        <w:t>m</w:t>
      </w:r>
      <w:r>
        <w:rPr>
          <w:rFonts w:ascii="Times New Roman" w:hAnsi="Times New Roman"/>
          <w:spacing w:val="-7"/>
          <w:w w:val="115"/>
          <w:position w:val="-2"/>
          <w:sz w:val="10"/>
        </w:rPr>
        <w:t>1</w:t>
      </w:r>
      <w:r>
        <w:rPr>
          <w:rFonts w:ascii="Times New Roman" w:hAnsi="Times New Roman"/>
          <w:spacing w:val="-10"/>
          <w:w w:val="115"/>
          <w:position w:val="-2"/>
          <w:sz w:val="10"/>
        </w:rPr>
        <w:t> </w:t>
      </w:r>
      <w:r>
        <w:rPr>
          <w:rFonts w:ascii="Symbol" w:hAnsi="Symbol"/>
          <w:w w:val="115"/>
          <w:sz w:val="14"/>
        </w:rPr>
        <w:t></w:t>
      </w:r>
      <w:r>
        <w:rPr>
          <w:rFonts w:ascii="Times New Roman" w:hAnsi="Times New Roman"/>
          <w:i/>
          <w:w w:val="115"/>
          <w:sz w:val="14"/>
        </w:rPr>
        <w:t>m</w:t>
      </w:r>
      <w:r>
        <w:rPr>
          <w:rFonts w:ascii="Times New Roman" w:hAnsi="Times New Roman"/>
          <w:i/>
          <w:w w:val="115"/>
          <w:position w:val="-2"/>
          <w:sz w:val="10"/>
        </w:rPr>
        <w:t>i</w:t>
        <w:tab/>
      </w:r>
      <w:r>
        <w:rPr>
          <w:rFonts w:ascii="Symbol" w:hAnsi="Symbol"/>
          <w:w w:val="115"/>
          <w:position w:val="1"/>
          <w:sz w:val="25"/>
        </w:rPr>
        <w:t></w:t>
      </w:r>
    </w:p>
    <w:p>
      <w:pPr>
        <w:spacing w:line="334" w:lineRule="exact" w:before="0"/>
        <w:ind w:left="1391" w:right="0" w:firstLine="0"/>
        <w:jc w:val="center"/>
        <w:rPr>
          <w:rFonts w:ascii="Symbol" w:hAnsi="Symbol"/>
          <w:sz w:val="25"/>
        </w:rPr>
      </w:pPr>
      <w:r>
        <w:rPr/>
        <w:pict>
          <v:shape style="position:absolute;margin-left:368.895691pt;margin-top:.229256pt;width:5.45pt;height:12.45pt;mso-position-horizontal-relative:page;mso-position-vertical-relative:paragraph;z-index:-329368" type="#_x0000_t202" filled="false" stroked="false">
            <v:textbox inset="0,0,0,0">
              <w:txbxContent>
                <w:p>
                  <w:pPr>
                    <w:spacing w:line="248" w:lineRule="exact" w:before="0"/>
                    <w:ind w:left="0" w:right="0" w:firstLine="0"/>
                    <w:jc w:val="left"/>
                    <w:rPr>
                      <w:rFonts w:ascii="Symbol" w:hAnsi="Symbol"/>
                      <w:sz w:val="25"/>
                    </w:rPr>
                  </w:pPr>
                  <w:r>
                    <w:rPr>
                      <w:rFonts w:ascii="Symbol" w:hAnsi="Symbol"/>
                      <w:w w:val="113"/>
                      <w:sz w:val="25"/>
                    </w:rPr>
                    <w:t></w:t>
                  </w:r>
                </w:p>
              </w:txbxContent>
            </v:textbox>
            <w10:wrap type="none"/>
          </v:shape>
        </w:pict>
      </w:r>
      <w:r>
        <w:rPr/>
        <w:pict>
          <v:shape style="position:absolute;margin-left:306.233856pt;margin-top:8.975168pt;width:5.45pt;height:12.45pt;mso-position-horizontal-relative:page;mso-position-vertical-relative:paragraph;z-index:-329344" type="#_x0000_t202" filled="false" stroked="false">
            <v:textbox inset="0,0,0,0">
              <w:txbxContent>
                <w:p>
                  <w:pPr>
                    <w:spacing w:line="248" w:lineRule="exact" w:before="0"/>
                    <w:ind w:left="0" w:right="0" w:firstLine="0"/>
                    <w:jc w:val="left"/>
                    <w:rPr>
                      <w:rFonts w:ascii="Symbol" w:hAnsi="Symbol"/>
                      <w:sz w:val="25"/>
                    </w:rPr>
                  </w:pPr>
                  <w:r>
                    <w:rPr>
                      <w:rFonts w:ascii="Symbol" w:hAnsi="Symbol"/>
                      <w:w w:val="113"/>
                      <w:sz w:val="25"/>
                    </w:rPr>
                    <w:t></w:t>
                  </w:r>
                </w:p>
              </w:txbxContent>
            </v:textbox>
            <w10:wrap type="none"/>
          </v:shape>
        </w:pict>
      </w:r>
      <w:r>
        <w:rPr>
          <w:rFonts w:ascii="Symbol" w:hAnsi="Symbol"/>
          <w:w w:val="115"/>
          <w:position w:val="4"/>
          <w:sz w:val="25"/>
        </w:rPr>
        <w:t></w:t>
      </w:r>
      <w:r>
        <w:rPr>
          <w:rFonts w:ascii="Times New Roman" w:hAnsi="Times New Roman"/>
          <w:w w:val="115"/>
          <w:position w:val="4"/>
          <w:sz w:val="25"/>
        </w:rPr>
        <w:t>  </w:t>
      </w:r>
      <w:r>
        <w:rPr>
          <w:rFonts w:ascii="Symbol" w:hAnsi="Symbol"/>
          <w:w w:val="115"/>
          <w:position w:val="-5"/>
          <w:sz w:val="37"/>
        </w:rPr>
        <w:t></w:t>
      </w:r>
      <w:r>
        <w:rPr>
          <w:rFonts w:ascii="Times New Roman" w:hAnsi="Times New Roman"/>
          <w:w w:val="115"/>
          <w:sz w:val="25"/>
        </w:rPr>
        <w:t>PA(i) </w:t>
      </w:r>
      <w:r>
        <w:rPr>
          <w:rFonts w:ascii="Symbol" w:hAnsi="Symbol"/>
          <w:w w:val="115"/>
          <w:position w:val="-12"/>
          <w:sz w:val="25"/>
        </w:rPr>
        <w:t></w:t>
      </w:r>
    </w:p>
    <w:p>
      <w:pPr>
        <w:tabs>
          <w:tab w:pos="2644" w:val="left" w:leader="none"/>
        </w:tabs>
        <w:spacing w:line="260" w:lineRule="exact" w:before="0"/>
        <w:ind w:left="1391" w:right="0" w:firstLine="0"/>
        <w:jc w:val="center"/>
        <w:rPr>
          <w:rFonts w:ascii="Symbol" w:hAnsi="Symbol"/>
          <w:sz w:val="25"/>
        </w:rPr>
      </w:pPr>
      <w:r>
        <w:rPr>
          <w:rFonts w:ascii="Symbol" w:hAnsi="Symbol"/>
          <w:w w:val="115"/>
          <w:position w:val="-5"/>
          <w:sz w:val="25"/>
        </w:rPr>
        <w:t></w:t>
      </w:r>
      <w:r>
        <w:rPr>
          <w:rFonts w:ascii="Times New Roman" w:hAnsi="Times New Roman"/>
          <w:spacing w:val="13"/>
          <w:w w:val="115"/>
          <w:position w:val="-5"/>
          <w:sz w:val="25"/>
        </w:rPr>
        <w:t> </w:t>
      </w:r>
      <w:r>
        <w:rPr>
          <w:rFonts w:ascii="Times New Roman" w:hAnsi="Times New Roman"/>
          <w:spacing w:val="3"/>
          <w:w w:val="115"/>
          <w:sz w:val="14"/>
        </w:rPr>
        <w:t>m</w:t>
      </w:r>
      <w:r>
        <w:rPr>
          <w:rFonts w:ascii="Times New Roman" w:hAnsi="Times New Roman"/>
          <w:spacing w:val="3"/>
          <w:w w:val="115"/>
          <w:position w:val="-2"/>
          <w:sz w:val="10"/>
        </w:rPr>
        <w:t>i</w:t>
      </w:r>
      <w:r>
        <w:rPr>
          <w:rFonts w:ascii="Times New Roman" w:hAnsi="Times New Roman"/>
          <w:spacing w:val="2"/>
          <w:w w:val="115"/>
          <w:position w:val="-2"/>
          <w:sz w:val="10"/>
        </w:rPr>
        <w:t> </w:t>
      </w:r>
      <w:r>
        <w:rPr>
          <w:rFonts w:ascii="Symbol" w:hAnsi="Symbol"/>
          <w:spacing w:val="8"/>
          <w:w w:val="115"/>
          <w:sz w:val="14"/>
        </w:rPr>
        <w:t></w:t>
      </w:r>
      <w:r>
        <w:rPr>
          <w:rFonts w:ascii="Times New Roman" w:hAnsi="Times New Roman"/>
          <w:spacing w:val="8"/>
          <w:w w:val="115"/>
          <w:sz w:val="14"/>
        </w:rPr>
        <w:t>c</w:t>
      </w:r>
      <w:r>
        <w:rPr>
          <w:rFonts w:ascii="Times New Roman" w:hAnsi="Times New Roman"/>
          <w:spacing w:val="8"/>
          <w:w w:val="115"/>
          <w:position w:val="-2"/>
          <w:sz w:val="10"/>
        </w:rPr>
        <w:t>j</w:t>
        <w:tab/>
      </w:r>
      <w:r>
        <w:rPr>
          <w:rFonts w:ascii="Symbol" w:hAnsi="Symbol"/>
          <w:w w:val="115"/>
          <w:position w:val="-5"/>
          <w:sz w:val="25"/>
        </w:rPr>
        <w:t></w:t>
      </w:r>
    </w:p>
    <w:p>
      <w:pPr>
        <w:pStyle w:val="BodyText"/>
        <w:rPr>
          <w:rFonts w:ascii="Symbol" w:hAnsi="Symbol"/>
          <w:sz w:val="20"/>
        </w:rPr>
      </w:pPr>
    </w:p>
    <w:p>
      <w:pPr>
        <w:pStyle w:val="BodyText"/>
        <w:spacing w:line="364" w:lineRule="auto" w:before="193"/>
        <w:ind w:left="259" w:right="238" w:firstLine="283"/>
        <w:jc w:val="both"/>
      </w:pPr>
      <w:r>
        <w:rPr/>
        <w:t>Donde, mi se refiere a un ácido graso de una muestra, mi cj se refiere a un ácido graso en un conjunto de especificar condición experimental.</w:t>
      </w:r>
    </w:p>
    <w:p>
      <w:pPr>
        <w:pStyle w:val="BodyText"/>
        <w:spacing w:before="3"/>
        <w:rPr>
          <w:sz w:val="23"/>
        </w:rPr>
      </w:pPr>
    </w:p>
    <w:p>
      <w:pPr>
        <w:pStyle w:val="ListParagraph"/>
        <w:numPr>
          <w:ilvl w:val="1"/>
          <w:numId w:val="15"/>
        </w:numPr>
        <w:tabs>
          <w:tab w:pos="712" w:val="left" w:leader="none"/>
        </w:tabs>
        <w:spacing w:line="240" w:lineRule="auto" w:before="0" w:after="0"/>
        <w:ind w:left="711" w:right="0" w:hanging="452"/>
        <w:jc w:val="left"/>
        <w:rPr>
          <w:b/>
          <w:sz w:val="24"/>
        </w:rPr>
      </w:pPr>
      <w:r>
        <w:rPr>
          <w:b/>
          <w:sz w:val="24"/>
        </w:rPr>
        <w:t>Sección</w:t>
      </w:r>
      <w:r>
        <w:rPr>
          <w:b/>
          <w:spacing w:val="-15"/>
          <w:sz w:val="24"/>
        </w:rPr>
        <w:t> </w:t>
      </w:r>
      <w:r>
        <w:rPr>
          <w:b/>
          <w:sz w:val="24"/>
        </w:rPr>
        <w:t>teórica</w:t>
      </w:r>
    </w:p>
    <w:p>
      <w:pPr>
        <w:pStyle w:val="BodyText"/>
        <w:spacing w:before="9"/>
        <w:rPr>
          <w:b/>
          <w:sz w:val="35"/>
        </w:rPr>
      </w:pPr>
    </w:p>
    <w:p>
      <w:pPr>
        <w:pStyle w:val="BodyText"/>
        <w:spacing w:line="360" w:lineRule="auto"/>
        <w:ind w:left="259" w:right="235" w:firstLine="283"/>
        <w:jc w:val="both"/>
      </w:pPr>
      <w:r>
        <w:rPr/>
        <w:t>Se calcularon los conjuntos de datos de producción LCFAs, AGV, CH4, además de </w:t>
      </w:r>
      <w:r>
        <w:rPr>
          <w:spacing w:val="3"/>
        </w:rPr>
        <w:t>la </w:t>
      </w:r>
      <w:r>
        <w:rPr/>
        <w:t>temperatura y presión del gas en un conjunto diferente de  condiciones experimentales y el tratamiento de acuerdo con la teoría de perturbaciones  combinado con relaciones lineales de energía libre. </w:t>
      </w:r>
      <w:r>
        <w:rPr>
          <w:spacing w:val="2"/>
        </w:rPr>
        <w:t>Se </w:t>
      </w:r>
      <w:r>
        <w:rPr/>
        <w:t>hicieron las modelos de clasificación basado en estas variables de entrada con el software</w:t>
      </w:r>
      <w:r>
        <w:rPr>
          <w:spacing w:val="-30"/>
        </w:rPr>
        <w:t> </w:t>
      </w:r>
      <w:r>
        <w:rPr/>
        <w:t>STATISTICA.</w:t>
      </w:r>
    </w:p>
    <w:p>
      <w:pPr>
        <w:pStyle w:val="BodyText"/>
        <w:spacing w:before="2"/>
      </w:pPr>
    </w:p>
    <w:p>
      <w:pPr>
        <w:pStyle w:val="ListParagraph"/>
        <w:numPr>
          <w:ilvl w:val="2"/>
          <w:numId w:val="15"/>
        </w:numPr>
        <w:tabs>
          <w:tab w:pos="885" w:val="left" w:leader="none"/>
        </w:tabs>
        <w:spacing w:line="240" w:lineRule="auto" w:before="0" w:after="0"/>
        <w:ind w:left="884" w:right="0" w:hanging="625"/>
        <w:jc w:val="left"/>
        <w:rPr>
          <w:i/>
          <w:sz w:val="24"/>
        </w:rPr>
      </w:pPr>
      <w:r>
        <w:rPr>
          <w:i/>
          <w:sz w:val="24"/>
        </w:rPr>
        <w:t>PT-LFER Estudio</w:t>
      </w:r>
      <w:r>
        <w:rPr>
          <w:i/>
          <w:spacing w:val="-5"/>
          <w:sz w:val="24"/>
        </w:rPr>
        <w:t> </w:t>
      </w:r>
      <w:r>
        <w:rPr>
          <w:i/>
          <w:sz w:val="24"/>
        </w:rPr>
        <w:t>quimioinformático.</w:t>
      </w:r>
    </w:p>
    <w:p>
      <w:pPr>
        <w:pStyle w:val="BodyText"/>
        <w:spacing w:before="4"/>
        <w:rPr>
          <w:i/>
          <w:sz w:val="35"/>
        </w:rPr>
      </w:pPr>
    </w:p>
    <w:p>
      <w:pPr>
        <w:pStyle w:val="BodyText"/>
        <w:spacing w:line="360" w:lineRule="auto"/>
        <w:ind w:left="259" w:right="236" w:firstLine="283"/>
        <w:jc w:val="both"/>
      </w:pPr>
      <w:r>
        <w:rPr/>
        <w:t>Un estudio Quimioinformática de los resultados obtenidos en la sección experimental se llevó a cabo. La Figura 2 muestra un diagrama de flujo de trabajo que establece la integración de ambas secciones (experimentales y teóricos). El diagrama explica brevemente la sección experimental, centrándose principalmente en el desarrollo posterior de modelo PT-LFER. Para el análisis, se calcularon los parámetros (Ω) de la sección experimento (a) y (b) basado en el conjunto de condiciones experimentales cj. Después de eso, la diferencia (Δ) y los valores absolutos de logística de la diferencia (log (| Δ |)) desde el estado inicial o de referencia (ref) vinculado a su respectivo nuevo o final (nuevo) se calcularon. A continuación, algunos valores de las variables de entrada, incluyendo descriptores moleculares (IVK) de orden k de clase para cada i-ésima y molécula de ácido graso, y los operadores de perturbación ΔΔVk (cj) se calcularon. A continuación, se definió el modelo PT-LFER basado en estas variables de entrada obtenidos a partir de piezas experimentales y los descriptores moleculares de cada ácido graso. En el análisis estadístico final y obtuvo se  realizaron</w:t>
      </w:r>
    </w:p>
    <w:p>
      <w:pPr>
        <w:spacing w:after="0" w:line="360" w:lineRule="auto"/>
        <w:jc w:val="both"/>
        <w:sectPr>
          <w:type w:val="continuous"/>
          <w:pgSz w:w="12240" w:h="15840"/>
          <w:pgMar w:top="3080" w:bottom="2780" w:left="1440" w:right="1460"/>
        </w:sectPr>
      </w:pPr>
    </w:p>
    <w:p>
      <w:pPr>
        <w:pStyle w:val="BodyText"/>
        <w:spacing w:before="7"/>
        <w:rPr>
          <w:sz w:val="15"/>
        </w:rPr>
      </w:pPr>
    </w:p>
    <w:p>
      <w:pPr>
        <w:pStyle w:val="BodyText"/>
        <w:spacing w:line="364" w:lineRule="auto" w:before="66"/>
        <w:ind w:left="259" w:right="288"/>
      </w:pPr>
      <w:r>
        <w:rPr/>
        <w:t>el modelo PT-LFER. A continuación, explicamos más detalles en algunos de estos pasos.</w:t>
      </w:r>
    </w:p>
    <w:p>
      <w:pPr>
        <w:pStyle w:val="BodyText"/>
        <w:spacing w:before="8"/>
        <w:rPr>
          <w:sz w:val="19"/>
        </w:rPr>
      </w:pPr>
      <w:r>
        <w:rPr/>
        <w:drawing>
          <wp:anchor distT="0" distB="0" distL="0" distR="0" allowOverlap="1" layoutInCell="1" locked="0" behindDoc="0" simplePos="0" relativeHeight="2944">
            <wp:simplePos x="0" y="0"/>
            <wp:positionH relativeFrom="page">
              <wp:posOffset>1258569</wp:posOffset>
            </wp:positionH>
            <wp:positionV relativeFrom="paragraph">
              <wp:posOffset>171557</wp:posOffset>
            </wp:positionV>
            <wp:extent cx="5406275" cy="3041904"/>
            <wp:effectExtent l="0" t="0" r="0" b="0"/>
            <wp:wrapTopAndBottom/>
            <wp:docPr id="69" name="image32.jpeg" descr=""/>
            <wp:cNvGraphicFramePr>
              <a:graphicFrameLocks noChangeAspect="1"/>
            </wp:cNvGraphicFramePr>
            <a:graphic>
              <a:graphicData uri="http://schemas.openxmlformats.org/drawingml/2006/picture">
                <pic:pic>
                  <pic:nvPicPr>
                    <pic:cNvPr id="70" name="image32.jpeg"/>
                    <pic:cNvPicPr/>
                  </pic:nvPicPr>
                  <pic:blipFill>
                    <a:blip r:embed="rId68" cstate="print"/>
                    <a:stretch>
                      <a:fillRect/>
                    </a:stretch>
                  </pic:blipFill>
                  <pic:spPr>
                    <a:xfrm>
                      <a:off x="0" y="0"/>
                      <a:ext cx="5406275" cy="3041904"/>
                    </a:xfrm>
                    <a:prstGeom prst="rect">
                      <a:avLst/>
                    </a:prstGeom>
                  </pic:spPr>
                </pic:pic>
              </a:graphicData>
            </a:graphic>
          </wp:anchor>
        </w:drawing>
      </w:r>
    </w:p>
    <w:p>
      <w:pPr>
        <w:pStyle w:val="BodyText"/>
        <w:spacing w:before="5"/>
        <w:rPr>
          <w:sz w:val="27"/>
        </w:rPr>
      </w:pPr>
    </w:p>
    <w:p>
      <w:pPr>
        <w:pStyle w:val="BodyText"/>
        <w:spacing w:line="364" w:lineRule="auto" w:before="67"/>
        <w:ind w:left="3606" w:hanging="2953"/>
      </w:pPr>
      <w:r>
        <w:rPr>
          <w:b/>
        </w:rPr>
        <w:t>Fig. 2. </w:t>
      </w:r>
      <w:r>
        <w:rPr/>
        <w:t>Workflow diagram that states the integration of both (experimental and theoretical) sections.</w:t>
      </w:r>
    </w:p>
    <w:p>
      <w:pPr>
        <w:pStyle w:val="BodyText"/>
        <w:spacing w:before="3"/>
        <w:rPr>
          <w:sz w:val="23"/>
        </w:rPr>
      </w:pPr>
    </w:p>
    <w:p>
      <w:pPr>
        <w:pStyle w:val="ListParagraph"/>
        <w:numPr>
          <w:ilvl w:val="2"/>
          <w:numId w:val="15"/>
        </w:numPr>
        <w:tabs>
          <w:tab w:pos="831" w:val="left" w:leader="none"/>
        </w:tabs>
        <w:spacing w:line="240" w:lineRule="auto" w:before="1" w:after="0"/>
        <w:ind w:left="830" w:right="0" w:hanging="571"/>
        <w:jc w:val="left"/>
        <w:rPr>
          <w:i/>
          <w:sz w:val="24"/>
        </w:rPr>
      </w:pPr>
      <w:r>
        <w:rPr>
          <w:i/>
          <w:sz w:val="24"/>
        </w:rPr>
        <w:t>PT-LFER</w:t>
      </w:r>
      <w:r>
        <w:rPr>
          <w:i/>
          <w:spacing w:val="-1"/>
          <w:sz w:val="24"/>
        </w:rPr>
        <w:t> </w:t>
      </w:r>
      <w:r>
        <w:rPr>
          <w:i/>
          <w:sz w:val="24"/>
        </w:rPr>
        <w:t>modelo.</w:t>
      </w:r>
    </w:p>
    <w:p>
      <w:pPr>
        <w:pStyle w:val="BodyText"/>
        <w:spacing w:before="4"/>
        <w:rPr>
          <w:i/>
          <w:sz w:val="35"/>
        </w:rPr>
      </w:pPr>
    </w:p>
    <w:p>
      <w:pPr>
        <w:pStyle w:val="BodyText"/>
        <w:spacing w:line="360" w:lineRule="auto"/>
        <w:ind w:left="259" w:right="236" w:firstLine="336"/>
        <w:jc w:val="both"/>
      </w:pPr>
      <w:r>
        <w:rPr/>
        <w:t>En nuestra opinión, podemos combinar la idea de Perturbación Teoría (PT) y relaciones lineales Libre-energía (LFER) (Roy y Leonard, 2005; Anslyn y Dougherty, 2006) (González-Díaz et al, 2013). Para manejar esto asunto. Recientemente, González-Díaz et al. (González-Díaz et al., 2013) formuló un modelo PT-propósito general para múltiples-frontera problemas Quimioinformática. El modelo calcula una función f general (μnr) para cuantificar la ocurrencia (μnr = 1) o no (μnr = 0) de un proceso que implica un conjunto de moléculas de mi en un sistema complejo. Se considera que todos los posibles estados forman una red de estados. Los nodos de la red son los estados iniciales o de referencia (r) vinculados a sus respectivos estados finales o nuevos (n) alcanzado por el sistema después de una perturbación de las condiciones iniciales. En el modelo PT-LFER, un conjunto de múltiples condiciones  de</w:t>
      </w:r>
    </w:p>
    <w:p>
      <w:pPr>
        <w:spacing w:after="0" w:line="360" w:lineRule="auto"/>
        <w:jc w:val="both"/>
        <w:sectPr>
          <w:pgSz w:w="12240" w:h="15840"/>
          <w:pgMar w:header="684" w:footer="1164" w:top="1380" w:bottom="1380" w:left="1440" w:right="1460"/>
        </w:sectPr>
      </w:pPr>
    </w:p>
    <w:p>
      <w:pPr>
        <w:pStyle w:val="BodyText"/>
        <w:spacing w:before="7"/>
        <w:rPr>
          <w:sz w:val="15"/>
        </w:rPr>
      </w:pPr>
    </w:p>
    <w:p>
      <w:pPr>
        <w:pStyle w:val="BodyText"/>
        <w:spacing w:line="362" w:lineRule="auto" w:before="66"/>
        <w:ind w:left="259" w:right="241"/>
        <w:jc w:val="both"/>
      </w:pPr>
      <w:r>
        <w:rPr/>
        <w:t>contorno experimentales iniciales refcj ≡ (c0, c1, c2, c3 ... cn) y un conjunto de condiciones de contorno diferente o nuevo newcj ≡ (c0, c1, c2, c3 ... cn) son considerados al principio o al final del proceso después de que uno o múltiples perturbaciones. El modelo PT-LFER propuesto en este documento es una ecuación lineal con el siguiente formulario:</w:t>
      </w:r>
    </w:p>
    <w:p>
      <w:pPr>
        <w:pStyle w:val="BodyText"/>
        <w:spacing w:before="4"/>
        <w:rPr>
          <w:sz w:val="19"/>
        </w:rPr>
      </w:pPr>
    </w:p>
    <w:p>
      <w:pPr>
        <w:spacing w:after="0"/>
        <w:rPr>
          <w:sz w:val="19"/>
        </w:rPr>
        <w:sectPr>
          <w:pgSz w:w="12240" w:h="15840"/>
          <w:pgMar w:header="684" w:footer="1164" w:top="1380" w:bottom="1380" w:left="1440" w:right="1460"/>
        </w:sectPr>
      </w:pPr>
    </w:p>
    <w:p>
      <w:pPr>
        <w:spacing w:before="151"/>
        <w:ind w:left="516" w:right="-19" w:firstLine="0"/>
        <w:jc w:val="left"/>
        <w:rPr>
          <w:rFonts w:ascii="Times New Roman" w:hAnsi="Times New Roman"/>
          <w:sz w:val="16"/>
        </w:rPr>
      </w:pPr>
      <w:r>
        <w:rPr>
          <w:rFonts w:ascii="Times New Roman" w:hAnsi="Times New Roman"/>
          <w:spacing w:val="16"/>
          <w:w w:val="111"/>
          <w:sz w:val="27"/>
        </w:rPr>
        <w:t>'</w:t>
      </w:r>
      <w:r>
        <w:rPr>
          <w:rFonts w:ascii="Times New Roman" w:hAnsi="Times New Roman"/>
          <w:w w:val="111"/>
          <w:sz w:val="27"/>
        </w:rPr>
        <w:t>f</w:t>
      </w:r>
      <w:r>
        <w:rPr>
          <w:rFonts w:ascii="Times New Roman" w:hAnsi="Times New Roman"/>
          <w:spacing w:val="-30"/>
          <w:sz w:val="27"/>
        </w:rPr>
        <w:t> </w:t>
      </w:r>
      <w:r>
        <w:rPr>
          <w:rFonts w:ascii="Symbol" w:hAnsi="Symbol"/>
          <w:spacing w:val="-29"/>
          <w:w w:val="82"/>
          <w:sz w:val="36"/>
        </w:rPr>
        <w:t></w:t>
      </w:r>
      <w:r>
        <w:rPr>
          <w:rFonts w:ascii="Times New Roman" w:hAnsi="Times New Roman"/>
          <w:spacing w:val="6"/>
          <w:w w:val="111"/>
          <w:sz w:val="27"/>
        </w:rPr>
        <w:t>µ</w:t>
      </w:r>
      <w:r>
        <w:rPr>
          <w:rFonts w:ascii="Times New Roman" w:hAnsi="Times New Roman"/>
          <w:spacing w:val="4"/>
          <w:w w:val="110"/>
          <w:position w:val="-6"/>
          <w:sz w:val="16"/>
        </w:rPr>
        <w:t>nr</w:t>
      </w:r>
    </w:p>
    <w:p>
      <w:pPr>
        <w:pStyle w:val="BodyText"/>
        <w:rPr>
          <w:rFonts w:ascii="Times New Roman"/>
          <w:sz w:val="16"/>
        </w:rPr>
      </w:pPr>
      <w:r>
        <w:rPr/>
        <w:br w:type="column"/>
      </w:r>
      <w:r>
        <w:rPr>
          <w:rFonts w:ascii="Times New Roman"/>
          <w:sz w:val="16"/>
        </w:rPr>
      </w:r>
    </w:p>
    <w:p>
      <w:pPr>
        <w:pStyle w:val="BodyText"/>
        <w:spacing w:before="5"/>
        <w:rPr>
          <w:rFonts w:ascii="Times New Roman"/>
          <w:sz w:val="22"/>
        </w:rPr>
      </w:pPr>
    </w:p>
    <w:p>
      <w:pPr>
        <w:spacing w:before="1"/>
        <w:ind w:left="83" w:right="-18" w:firstLine="0"/>
        <w:jc w:val="left"/>
        <w:rPr>
          <w:rFonts w:ascii="Times New Roman"/>
          <w:sz w:val="16"/>
        </w:rPr>
      </w:pPr>
      <w:r>
        <w:rPr/>
        <w:pict>
          <v:shape style="position:absolute;margin-left:130.247818pt;margin-top:-11.467169pt;width:4.95pt;height:18.2pt;mso-position-horizontal-relative:page;mso-position-vertical-relative:paragraph;z-index:-329200" type="#_x0000_t202" filled="false" stroked="false">
            <v:textbox inset="0,0,0,0">
              <w:txbxContent>
                <w:p>
                  <w:pPr>
                    <w:spacing w:line="364" w:lineRule="exact" w:before="0"/>
                    <w:ind w:left="0" w:right="0" w:firstLine="0"/>
                    <w:jc w:val="left"/>
                    <w:rPr>
                      <w:rFonts w:ascii="Symbol" w:hAnsi="Symbol"/>
                      <w:sz w:val="36"/>
                    </w:rPr>
                  </w:pPr>
                  <w:r>
                    <w:rPr>
                      <w:rFonts w:ascii="Symbol" w:hAnsi="Symbol"/>
                      <w:w w:val="82"/>
                      <w:sz w:val="36"/>
                    </w:rPr>
                    <w:t></w:t>
                  </w:r>
                </w:p>
              </w:txbxContent>
            </v:textbox>
            <w10:wrap type="none"/>
          </v:shape>
        </w:pict>
      </w:r>
      <w:r>
        <w:rPr>
          <w:rFonts w:ascii="Times New Roman"/>
          <w:spacing w:val="-1"/>
          <w:w w:val="110"/>
          <w:sz w:val="16"/>
        </w:rPr>
        <w:t>new</w:t>
      </w:r>
    </w:p>
    <w:p>
      <w:pPr>
        <w:spacing w:before="241"/>
        <w:ind w:left="49" w:right="-18" w:firstLine="0"/>
        <w:jc w:val="left"/>
        <w:rPr>
          <w:rFonts w:ascii="Times New Roman" w:hAnsi="Times New Roman"/>
          <w:sz w:val="16"/>
        </w:rPr>
      </w:pPr>
      <w:r>
        <w:rPr/>
        <w:br w:type="column"/>
      </w:r>
      <w:r>
        <w:rPr>
          <w:rFonts w:ascii="Symbol" w:hAnsi="Symbol"/>
          <w:w w:val="110"/>
          <w:sz w:val="27"/>
        </w:rPr>
        <w:t></w:t>
      </w:r>
      <w:r>
        <w:rPr>
          <w:rFonts w:ascii="Times New Roman" w:hAnsi="Times New Roman"/>
          <w:w w:val="110"/>
          <w:sz w:val="27"/>
        </w:rPr>
        <w:t> a</w:t>
      </w:r>
      <w:r>
        <w:rPr>
          <w:rFonts w:ascii="Times New Roman" w:hAnsi="Times New Roman"/>
          <w:w w:val="110"/>
          <w:position w:val="-6"/>
          <w:sz w:val="16"/>
        </w:rPr>
        <w:t>0</w:t>
      </w:r>
    </w:p>
    <w:p>
      <w:pPr>
        <w:pStyle w:val="ListParagraph"/>
        <w:numPr>
          <w:ilvl w:val="0"/>
          <w:numId w:val="6"/>
        </w:numPr>
        <w:tabs>
          <w:tab w:pos="253" w:val="left" w:leader="none"/>
        </w:tabs>
        <w:spacing w:line="240" w:lineRule="auto" w:before="241" w:after="0"/>
        <w:ind w:left="252" w:right="0" w:hanging="212"/>
        <w:jc w:val="left"/>
        <w:rPr>
          <w:rFonts w:ascii="Symbol"/>
          <w:sz w:val="27"/>
        </w:rPr>
      </w:pPr>
      <w:r>
        <w:rPr>
          <w:rFonts w:ascii="Times New Roman"/>
          <w:spacing w:val="5"/>
          <w:w w:val="111"/>
          <w:sz w:val="27"/>
        </w:rPr>
        <w:br w:type="column"/>
      </w:r>
      <w:r>
        <w:rPr>
          <w:rFonts w:ascii="Times New Roman"/>
          <w:spacing w:val="2"/>
          <w:w w:val="110"/>
          <w:sz w:val="27"/>
        </w:rPr>
        <w:t>a</w:t>
      </w:r>
      <w:r>
        <w:rPr>
          <w:rFonts w:ascii="Times New Roman"/>
          <w:spacing w:val="2"/>
          <w:w w:val="110"/>
          <w:position w:val="-6"/>
          <w:sz w:val="16"/>
        </w:rPr>
        <w:t>1</w:t>
      </w:r>
    </w:p>
    <w:p>
      <w:pPr>
        <w:spacing w:before="81"/>
        <w:ind w:left="14" w:right="-16" w:firstLine="0"/>
        <w:jc w:val="left"/>
        <w:rPr>
          <w:rFonts w:ascii="Symbol" w:hAnsi="Symbol"/>
          <w:i/>
          <w:sz w:val="29"/>
        </w:rPr>
      </w:pPr>
      <w:r>
        <w:rPr/>
        <w:br w:type="column"/>
      </w:r>
      <w:r>
        <w:rPr>
          <w:rFonts w:ascii="Symbol" w:hAnsi="Symbol"/>
          <w:sz w:val="27"/>
        </w:rPr>
        <w:t></w:t>
      </w:r>
      <w:r>
        <w:rPr>
          <w:rFonts w:ascii="Times New Roman" w:hAnsi="Times New Roman"/>
          <w:spacing w:val="-46"/>
          <w:sz w:val="27"/>
        </w:rPr>
        <w:t> </w:t>
      </w:r>
      <w:r>
        <w:rPr>
          <w:rFonts w:ascii="Times New Roman" w:hAnsi="Times New Roman"/>
          <w:sz w:val="27"/>
        </w:rPr>
        <w:t>f</w:t>
      </w:r>
      <w:r>
        <w:rPr>
          <w:rFonts w:ascii="Times New Roman" w:hAnsi="Times New Roman"/>
          <w:position w:val="-6"/>
          <w:sz w:val="16"/>
        </w:rPr>
        <w:t>1</w:t>
      </w:r>
      <w:r>
        <w:rPr>
          <w:rFonts w:ascii="Times New Roman" w:hAnsi="Times New Roman"/>
          <w:spacing w:val="-28"/>
          <w:position w:val="-6"/>
          <w:sz w:val="16"/>
        </w:rPr>
        <w:t> </w:t>
      </w:r>
      <w:r>
        <w:rPr>
          <w:rFonts w:ascii="Symbol" w:hAnsi="Symbol"/>
          <w:spacing w:val="-18"/>
          <w:sz w:val="43"/>
        </w:rPr>
        <w:t></w:t>
      </w:r>
      <w:r>
        <w:rPr>
          <w:rFonts w:ascii="Symbol" w:hAnsi="Symbol"/>
          <w:i/>
          <w:spacing w:val="-18"/>
          <w:sz w:val="29"/>
        </w:rPr>
        <w:t></w:t>
      </w:r>
    </w:p>
    <w:p>
      <w:pPr>
        <w:pStyle w:val="BodyText"/>
        <w:rPr>
          <w:rFonts w:ascii="Symbol" w:hAnsi="Symbol"/>
          <w:i/>
          <w:sz w:val="20"/>
        </w:rPr>
      </w:pPr>
      <w:r>
        <w:rPr/>
        <w:br w:type="column"/>
      </w:r>
      <w:r>
        <w:rPr>
          <w:rFonts w:ascii="Symbol" w:hAnsi="Symbol"/>
          <w:i/>
          <w:sz w:val="20"/>
        </w:rPr>
      </w:r>
    </w:p>
    <w:p>
      <w:pPr>
        <w:pStyle w:val="BodyText"/>
        <w:spacing w:before="9"/>
        <w:rPr>
          <w:rFonts w:ascii="Symbol" w:hAnsi="Symbol"/>
          <w:i/>
          <w:sz w:val="14"/>
        </w:rPr>
      </w:pPr>
    </w:p>
    <w:p>
      <w:pPr>
        <w:spacing w:before="0"/>
        <w:ind w:left="-20" w:right="0" w:firstLine="0"/>
        <w:jc w:val="left"/>
        <w:rPr>
          <w:rFonts w:ascii="Times New Roman"/>
          <w:sz w:val="16"/>
        </w:rPr>
      </w:pPr>
      <w:r>
        <w:rPr/>
        <w:pict>
          <v:shape style="position:absolute;margin-left:238.339157pt;margin-top:-13.441167pt;width:4.95pt;height:21.5pt;mso-position-horizontal-relative:page;mso-position-vertical-relative:paragraph;z-index:-329176" type="#_x0000_t202" filled="false" stroked="false">
            <v:textbox inset="0,0,0,0">
              <w:txbxContent>
                <w:p>
                  <w:pPr>
                    <w:spacing w:line="430" w:lineRule="exact" w:before="0"/>
                    <w:ind w:left="0" w:right="0" w:firstLine="0"/>
                    <w:jc w:val="left"/>
                    <w:rPr>
                      <w:rFonts w:ascii="Symbol" w:hAnsi="Symbol"/>
                      <w:sz w:val="43"/>
                    </w:rPr>
                  </w:pPr>
                  <w:r>
                    <w:rPr>
                      <w:rFonts w:ascii="Symbol" w:hAnsi="Symbol"/>
                      <w:w w:val="69"/>
                      <w:sz w:val="43"/>
                    </w:rPr>
                    <w:t></w:t>
                  </w:r>
                </w:p>
              </w:txbxContent>
            </v:textbox>
            <w10:wrap type="none"/>
          </v:shape>
        </w:pict>
      </w:r>
      <w:r>
        <w:rPr>
          <w:rFonts w:ascii="Times New Roman"/>
          <w:w w:val="110"/>
          <w:position w:val="5"/>
          <w:sz w:val="16"/>
        </w:rPr>
        <w:t>ij  </w:t>
      </w:r>
      <w:r>
        <w:rPr>
          <w:rFonts w:ascii="Times New Roman"/>
          <w:w w:val="110"/>
          <w:sz w:val="16"/>
        </w:rPr>
        <w:t>new</w:t>
      </w:r>
    </w:p>
    <w:p>
      <w:pPr>
        <w:spacing w:before="241"/>
        <w:ind w:left="39" w:right="0" w:firstLine="0"/>
        <w:jc w:val="left"/>
        <w:rPr>
          <w:rFonts w:ascii="Symbol" w:hAnsi="Symbol"/>
          <w:sz w:val="27"/>
        </w:rPr>
      </w:pPr>
      <w:r>
        <w:rPr/>
        <w:br w:type="column"/>
      </w:r>
      <w:r>
        <w:rPr>
          <w:rFonts w:ascii="Symbol" w:hAnsi="Symbol"/>
          <w:w w:val="110"/>
          <w:sz w:val="27"/>
        </w:rPr>
        <w:t></w:t>
      </w:r>
      <w:r>
        <w:rPr>
          <w:rFonts w:ascii="Times New Roman" w:hAnsi="Times New Roman"/>
          <w:w w:val="110"/>
          <w:sz w:val="27"/>
        </w:rPr>
        <w:t> a</w:t>
      </w:r>
      <w:r>
        <w:rPr>
          <w:rFonts w:ascii="Times New Roman" w:hAnsi="Times New Roman"/>
          <w:w w:val="110"/>
          <w:position w:val="-6"/>
          <w:sz w:val="16"/>
        </w:rPr>
        <w:t>2 </w:t>
      </w:r>
      <w:r>
        <w:rPr>
          <w:rFonts w:ascii="Symbol" w:hAnsi="Symbol"/>
          <w:w w:val="110"/>
          <w:sz w:val="27"/>
        </w:rPr>
        <w:t></w:t>
      </w:r>
    </w:p>
    <w:p>
      <w:pPr>
        <w:spacing w:before="81"/>
        <w:ind w:left="88" w:right="0" w:firstLine="0"/>
        <w:jc w:val="left"/>
        <w:rPr>
          <w:rFonts w:ascii="Symbol" w:hAnsi="Symbol"/>
          <w:i/>
          <w:sz w:val="29"/>
        </w:rPr>
      </w:pPr>
      <w:r>
        <w:rPr/>
        <w:br w:type="column"/>
      </w:r>
      <w:r>
        <w:rPr>
          <w:rFonts w:ascii="Times New Roman" w:hAnsi="Times New Roman"/>
          <w:sz w:val="27"/>
        </w:rPr>
        <w:t>f </w:t>
      </w:r>
      <w:r>
        <w:rPr>
          <w:rFonts w:ascii="Symbol" w:hAnsi="Symbol"/>
          <w:spacing w:val="-18"/>
          <w:sz w:val="43"/>
        </w:rPr>
        <w:t></w:t>
      </w:r>
      <w:r>
        <w:rPr>
          <w:rFonts w:ascii="Symbol" w:hAnsi="Symbol"/>
          <w:i/>
          <w:spacing w:val="-18"/>
          <w:sz w:val="29"/>
        </w:rPr>
        <w:t></w:t>
      </w:r>
    </w:p>
    <w:p>
      <w:pPr>
        <w:pStyle w:val="BodyText"/>
        <w:rPr>
          <w:rFonts w:ascii="Symbol" w:hAnsi="Symbol"/>
          <w:i/>
          <w:sz w:val="20"/>
        </w:rPr>
      </w:pPr>
      <w:r>
        <w:rPr/>
        <w:br w:type="column"/>
      </w:r>
      <w:r>
        <w:rPr>
          <w:rFonts w:ascii="Symbol" w:hAnsi="Symbol"/>
          <w:i/>
          <w:sz w:val="20"/>
        </w:rPr>
      </w:r>
    </w:p>
    <w:p>
      <w:pPr>
        <w:pStyle w:val="BodyText"/>
        <w:spacing w:before="9"/>
        <w:rPr>
          <w:rFonts w:ascii="Symbol" w:hAnsi="Symbol"/>
          <w:i/>
          <w:sz w:val="14"/>
        </w:rPr>
      </w:pPr>
    </w:p>
    <w:p>
      <w:pPr>
        <w:spacing w:before="0"/>
        <w:ind w:left="-20" w:right="-4" w:firstLine="0"/>
        <w:jc w:val="left"/>
        <w:rPr>
          <w:rFonts w:ascii="Times New Roman"/>
          <w:sz w:val="16"/>
        </w:rPr>
      </w:pPr>
      <w:r>
        <w:rPr/>
        <w:pict>
          <v:shape style="position:absolute;margin-left:326.443970pt;margin-top:-13.441155pt;width:4.95pt;height:21.5pt;mso-position-horizontal-relative:page;mso-position-vertical-relative:paragraph;z-index:-329152" type="#_x0000_t202" filled="false" stroked="false">
            <v:textbox inset="0,0,0,0">
              <w:txbxContent>
                <w:p>
                  <w:pPr>
                    <w:spacing w:line="430" w:lineRule="exact" w:before="0"/>
                    <w:ind w:left="0" w:right="0" w:firstLine="0"/>
                    <w:jc w:val="left"/>
                    <w:rPr>
                      <w:rFonts w:ascii="Symbol" w:hAnsi="Symbol"/>
                      <w:sz w:val="43"/>
                    </w:rPr>
                  </w:pPr>
                  <w:r>
                    <w:rPr>
                      <w:rFonts w:ascii="Symbol" w:hAnsi="Symbol"/>
                      <w:w w:val="69"/>
                      <w:sz w:val="43"/>
                    </w:rPr>
                    <w:t></w:t>
                  </w:r>
                </w:p>
              </w:txbxContent>
            </v:textbox>
            <w10:wrap type="none"/>
          </v:shape>
        </w:pict>
      </w:r>
      <w:r>
        <w:rPr>
          <w:rFonts w:ascii="Times New Roman"/>
          <w:w w:val="110"/>
          <w:position w:val="5"/>
          <w:sz w:val="16"/>
        </w:rPr>
        <w:t>ij  </w:t>
      </w:r>
      <w:r>
        <w:rPr>
          <w:rFonts w:ascii="Times New Roman"/>
          <w:w w:val="110"/>
          <w:sz w:val="16"/>
        </w:rPr>
        <w:t>ref</w:t>
      </w:r>
    </w:p>
    <w:p>
      <w:pPr>
        <w:spacing w:line="143" w:lineRule="exact" w:before="70"/>
        <w:ind w:left="396" w:right="0" w:firstLine="0"/>
        <w:jc w:val="center"/>
        <w:rPr>
          <w:rFonts w:ascii="Times New Roman" w:hAnsi="Times New Roman"/>
          <w:sz w:val="16"/>
        </w:rPr>
      </w:pPr>
      <w:r>
        <w:rPr/>
        <w:br w:type="column"/>
      </w:r>
      <w:r>
        <w:rPr>
          <w:rFonts w:ascii="Times New Roman" w:hAnsi="Times New Roman"/>
          <w:w w:val="110"/>
          <w:sz w:val="16"/>
        </w:rPr>
        <w:t>q</w:t>
      </w:r>
      <w:r>
        <w:rPr>
          <w:rFonts w:ascii="Symbol" w:hAnsi="Symbol"/>
          <w:w w:val="110"/>
          <w:sz w:val="16"/>
        </w:rPr>
        <w:t></w:t>
      </w:r>
      <w:r>
        <w:rPr>
          <w:rFonts w:ascii="Times New Roman" w:hAnsi="Times New Roman"/>
          <w:w w:val="110"/>
          <w:sz w:val="16"/>
        </w:rPr>
        <w:t>qmax</w:t>
      </w:r>
    </w:p>
    <w:p>
      <w:pPr>
        <w:pStyle w:val="ListParagraph"/>
        <w:numPr>
          <w:ilvl w:val="1"/>
          <w:numId w:val="6"/>
        </w:numPr>
        <w:tabs>
          <w:tab w:pos="532" w:val="left" w:leader="none"/>
          <w:tab w:pos="533" w:val="left" w:leader="none"/>
        </w:tabs>
        <w:spacing w:line="421" w:lineRule="exact" w:before="0" w:after="0"/>
        <w:ind w:left="532" w:right="0" w:hanging="372"/>
        <w:jc w:val="left"/>
        <w:rPr>
          <w:rFonts w:ascii="Times New Roman" w:hAnsi="Times New Roman"/>
          <w:sz w:val="27"/>
        </w:rPr>
      </w:pPr>
      <w:r>
        <w:rPr/>
        <w:pict>
          <v:shape style="position:absolute;margin-left:207.410004pt;margin-top:516.870667pt;width:3.05pt;height:18.650pt;mso-position-horizontal-relative:page;mso-position-vertical-relative:paragraph;z-index:2992" coordorigin="4148,10337" coordsize="61,373" path="m6868,39l6940,241m6940,241l6868,443e" filled="false" stroked="true" strokeweight=".159447pt" strokecolor="#000000">
            <v:path arrowok="t"/>
            <w10:wrap type="none"/>
          </v:shape>
        </w:pict>
      </w:r>
      <w:r>
        <w:rPr>
          <w:rFonts w:ascii="Symbol" w:hAnsi="Symbol"/>
          <w:spacing w:val="6"/>
          <w:w w:val="110"/>
          <w:position w:val="-5"/>
          <w:sz w:val="41"/>
        </w:rPr>
        <w:t></w:t>
      </w:r>
      <w:r>
        <w:rPr>
          <w:rFonts w:ascii="Times New Roman" w:hAnsi="Times New Roman"/>
          <w:spacing w:val="6"/>
          <w:w w:val="110"/>
          <w:sz w:val="27"/>
        </w:rPr>
        <w:t>a</w:t>
      </w:r>
    </w:p>
    <w:p>
      <w:pPr>
        <w:spacing w:line="167" w:lineRule="exact" w:before="0"/>
        <w:ind w:left="385" w:right="0" w:firstLine="0"/>
        <w:jc w:val="center"/>
        <w:rPr>
          <w:rFonts w:ascii="Times New Roman" w:hAnsi="Times New Roman"/>
          <w:sz w:val="16"/>
        </w:rPr>
      </w:pPr>
      <w:r>
        <w:rPr/>
        <w:pict>
          <v:line style="position:absolute;mso-position-horizontal-relative:page;mso-position-vertical-relative:paragraph;z-index:-329248" from="291.498047pt,22.576092pt" to="291.498048pt,41.321721pt" stroked="true" strokeweight=".167091pt" strokecolor="#000000">
            <w10:wrap type="none"/>
          </v:line>
        </w:pict>
      </w:r>
      <w:r>
        <w:rPr/>
        <w:pict>
          <v:line style="position:absolute;mso-position-horizontal-relative:page;mso-position-vertical-relative:paragraph;z-index:-329224" from="316.179810pt,22.576094pt" to="316.179811pt,41.321723pt" stroked="true" strokeweight=".167091pt" strokecolor="#000000">
            <w10:wrap type="none"/>
          </v:line>
        </w:pict>
      </w:r>
      <w:r>
        <w:rPr>
          <w:rFonts w:ascii="Times New Roman" w:hAnsi="Times New Roman"/>
          <w:w w:val="110"/>
          <w:sz w:val="16"/>
        </w:rPr>
        <w:t>q</w:t>
      </w:r>
      <w:r>
        <w:rPr>
          <w:rFonts w:ascii="Symbol" w:hAnsi="Symbol"/>
          <w:w w:val="110"/>
          <w:sz w:val="16"/>
        </w:rPr>
        <w:t></w:t>
      </w:r>
      <w:r>
        <w:rPr>
          <w:rFonts w:ascii="Times New Roman" w:hAnsi="Times New Roman"/>
          <w:w w:val="110"/>
          <w:sz w:val="16"/>
        </w:rPr>
        <w:t>1</w:t>
      </w:r>
    </w:p>
    <w:p>
      <w:pPr>
        <w:spacing w:before="81"/>
        <w:ind w:left="-20" w:right="0" w:firstLine="0"/>
        <w:jc w:val="left"/>
        <w:rPr>
          <w:rFonts w:ascii="Times New Roman" w:hAnsi="Times New Roman"/>
          <w:sz w:val="27"/>
        </w:rPr>
      </w:pPr>
      <w:r>
        <w:rPr/>
        <w:br w:type="column"/>
      </w:r>
      <w:r>
        <w:rPr>
          <w:rFonts w:ascii="Times New Roman" w:hAnsi="Times New Roman"/>
          <w:position w:val="-6"/>
          <w:sz w:val="16"/>
        </w:rPr>
        <w:t>q</w:t>
      </w:r>
      <w:r>
        <w:rPr>
          <w:rFonts w:ascii="Times New Roman" w:hAnsi="Times New Roman"/>
          <w:sz w:val="27"/>
        </w:rPr>
        <w:t>·f</w:t>
      </w:r>
      <w:r>
        <w:rPr>
          <w:rFonts w:ascii="Times New Roman" w:hAnsi="Times New Roman"/>
          <w:position w:val="-6"/>
          <w:sz w:val="16"/>
        </w:rPr>
        <w:t>q </w:t>
      </w:r>
      <w:r>
        <w:rPr>
          <w:rFonts w:ascii="Symbol" w:hAnsi="Symbol"/>
          <w:sz w:val="43"/>
        </w:rPr>
        <w:t></w:t>
      </w:r>
      <w:r>
        <w:rPr>
          <w:rFonts w:ascii="Times New Roman" w:hAnsi="Times New Roman"/>
          <w:sz w:val="27"/>
        </w:rPr>
        <w:t>v</w:t>
      </w:r>
    </w:p>
    <w:p>
      <w:pPr>
        <w:spacing w:line="383" w:lineRule="exact" w:before="151"/>
        <w:ind w:left="1179" w:right="0" w:firstLine="0"/>
        <w:jc w:val="left"/>
        <w:rPr>
          <w:rFonts w:ascii="Symbol" w:hAnsi="Symbol"/>
          <w:sz w:val="36"/>
        </w:rPr>
      </w:pPr>
      <w:r>
        <w:rPr/>
        <w:br w:type="column"/>
      </w:r>
      <w:r>
        <w:rPr>
          <w:rFonts w:ascii="Symbol" w:hAnsi="Symbol"/>
          <w:sz w:val="36"/>
        </w:rPr>
        <w:t></w:t>
      </w:r>
      <w:r>
        <w:rPr>
          <w:rFonts w:ascii="Times New Roman" w:hAnsi="Times New Roman"/>
          <w:sz w:val="27"/>
        </w:rPr>
        <w:t>20</w:t>
      </w:r>
      <w:r>
        <w:rPr>
          <w:rFonts w:ascii="Symbol" w:hAnsi="Symbol"/>
          <w:sz w:val="36"/>
        </w:rPr>
        <w:t></w:t>
      </w:r>
    </w:p>
    <w:p>
      <w:pPr>
        <w:spacing w:line="126" w:lineRule="exact" w:before="0"/>
        <w:ind w:left="83" w:right="0" w:firstLine="0"/>
        <w:jc w:val="left"/>
        <w:rPr>
          <w:rFonts w:ascii="Times New Roman"/>
          <w:sz w:val="16"/>
        </w:rPr>
      </w:pPr>
      <w:r>
        <w:rPr/>
        <w:pict>
          <v:shape style="position:absolute;margin-left:433.119812pt;margin-top:-18.845255pt;width:4.95pt;height:21.5pt;mso-position-horizontal-relative:page;mso-position-vertical-relative:paragraph;z-index:-329128" type="#_x0000_t202" filled="false" stroked="false">
            <v:textbox inset="0,0,0,0">
              <w:txbxContent>
                <w:p>
                  <w:pPr>
                    <w:spacing w:line="430" w:lineRule="exact" w:before="0"/>
                    <w:ind w:left="0" w:right="0" w:firstLine="0"/>
                    <w:jc w:val="left"/>
                    <w:rPr>
                      <w:rFonts w:ascii="Symbol" w:hAnsi="Symbol"/>
                      <w:sz w:val="43"/>
                    </w:rPr>
                  </w:pPr>
                  <w:r>
                    <w:rPr>
                      <w:rFonts w:ascii="Symbol" w:hAnsi="Symbol"/>
                      <w:w w:val="69"/>
                      <w:sz w:val="43"/>
                    </w:rPr>
                    <w:t></w:t>
                  </w:r>
                </w:p>
              </w:txbxContent>
            </v:textbox>
            <w10:wrap type="none"/>
          </v:shape>
        </w:pict>
      </w:r>
      <w:r>
        <w:rPr/>
        <w:pict>
          <v:shape style="position:absolute;margin-left:426.507782pt;margin-top:-4.157375pt;width:4.4pt;height:8pt;mso-position-horizontal-relative:page;mso-position-vertical-relative:paragraph;z-index:3232" type="#_x0000_t202" filled="false" stroked="false">
            <v:textbox inset="0,0,0,0">
              <w:txbxContent>
                <w:p>
                  <w:pPr>
                    <w:spacing w:line="160" w:lineRule="exact" w:before="0"/>
                    <w:ind w:left="0" w:right="0" w:firstLine="0"/>
                    <w:jc w:val="left"/>
                    <w:rPr>
                      <w:rFonts w:ascii="Times New Roman"/>
                      <w:sz w:val="16"/>
                    </w:rPr>
                  </w:pPr>
                  <w:r>
                    <w:rPr>
                      <w:rFonts w:ascii="Times New Roman"/>
                      <w:w w:val="110"/>
                      <w:sz w:val="16"/>
                    </w:rPr>
                    <w:t>q</w:t>
                  </w:r>
                </w:p>
              </w:txbxContent>
            </v:textbox>
            <w10:wrap type="none"/>
          </v:shape>
        </w:pict>
      </w:r>
      <w:r>
        <w:rPr>
          <w:rFonts w:ascii="Times New Roman"/>
          <w:w w:val="110"/>
          <w:sz w:val="16"/>
        </w:rPr>
        <w:t>ref</w:t>
      </w:r>
    </w:p>
    <w:p>
      <w:pPr>
        <w:spacing w:after="0" w:line="126" w:lineRule="exact"/>
        <w:jc w:val="left"/>
        <w:rPr>
          <w:rFonts w:ascii="Times New Roman"/>
          <w:sz w:val="16"/>
        </w:rPr>
        <w:sectPr>
          <w:type w:val="continuous"/>
          <w:pgSz w:w="12240" w:h="15840"/>
          <w:pgMar w:top="3080" w:bottom="2780" w:left="1440" w:right="1460"/>
          <w:cols w:num="12" w:equalWidth="0">
            <w:col w:w="1130" w:space="40"/>
            <w:col w:w="376" w:space="40"/>
            <w:col w:w="509" w:space="40"/>
            <w:col w:w="480" w:space="40"/>
            <w:col w:w="524" w:space="40"/>
            <w:col w:w="482" w:space="40"/>
            <w:col w:w="640" w:space="40"/>
            <w:col w:w="521" w:space="40"/>
            <w:col w:w="378" w:space="40"/>
            <w:col w:w="1002" w:space="40"/>
            <w:col w:w="742" w:space="40"/>
            <w:col w:w="2116"/>
          </w:cols>
        </w:sectPr>
      </w:pPr>
    </w:p>
    <w:p>
      <w:pPr>
        <w:spacing w:line="143" w:lineRule="exact" w:before="88"/>
        <w:ind w:left="778" w:right="0" w:firstLine="0"/>
        <w:jc w:val="left"/>
        <w:rPr>
          <w:rFonts w:ascii="Times New Roman" w:hAnsi="Times New Roman"/>
          <w:sz w:val="16"/>
        </w:rPr>
      </w:pPr>
      <w:r>
        <w:rPr/>
        <w:pict>
          <v:shape style="position:absolute;margin-left:165.539993pt;margin-top:487.48465pt;width:3.05pt;height:18.650pt;mso-position-horizontal-relative:page;mso-position-vertical-relative:paragraph;z-index:2968" coordorigin="3311,9750" coordsize="61,373" path="m5941,-549l5869,-347m5869,-346l5941,-145e" filled="false" stroked="true" strokeweight=".159447pt" strokecolor="#000000">
            <v:path arrowok="t"/>
            <w10:wrap type="none"/>
          </v:shape>
        </w:pict>
      </w:r>
      <w:r>
        <w:rPr/>
        <w:pict>
          <v:shape style="position:absolute;margin-left:162.766174pt;margin-top:8.714226pt;width:32.35pt;height:21.5pt;mso-position-horizontal-relative:page;mso-position-vertical-relative:paragraph;z-index:-329104" type="#_x0000_t202" filled="false" stroked="false">
            <v:textbox inset="0,0,0,0">
              <w:txbxContent>
                <w:p>
                  <w:pPr>
                    <w:tabs>
                      <w:tab w:pos="548" w:val="left" w:leader="none"/>
                    </w:tabs>
                    <w:spacing w:line="430" w:lineRule="exact" w:before="0"/>
                    <w:ind w:left="0" w:right="0" w:firstLine="0"/>
                    <w:jc w:val="left"/>
                    <w:rPr>
                      <w:rFonts w:ascii="Symbol" w:hAnsi="Symbol"/>
                      <w:sz w:val="43"/>
                    </w:rPr>
                  </w:pPr>
                  <w:r>
                    <w:rPr>
                      <w:rFonts w:ascii="Symbol" w:hAnsi="Symbol"/>
                      <w:w w:val="80"/>
                      <w:sz w:val="43"/>
                    </w:rPr>
                    <w:t></w:t>
                  </w:r>
                  <w:r>
                    <w:rPr>
                      <w:rFonts w:ascii="Times New Roman" w:hAnsi="Times New Roman"/>
                      <w:w w:val="80"/>
                      <w:sz w:val="43"/>
                    </w:rPr>
                    <w:tab/>
                  </w:r>
                  <w:r>
                    <w:rPr>
                      <w:rFonts w:ascii="Symbol" w:hAnsi="Symbol"/>
                      <w:w w:val="65"/>
                      <w:sz w:val="43"/>
                    </w:rPr>
                    <w:t></w:t>
                  </w:r>
                </w:p>
              </w:txbxContent>
            </v:textbox>
            <w10:wrap type="none"/>
          </v:shape>
        </w:pict>
      </w:r>
      <w:r>
        <w:rPr/>
        <w:pict>
          <v:shape style="position:absolute;margin-left:303.110870pt;margin-top:-17.520514pt;width:4.4pt;height:8pt;mso-position-horizontal-relative:page;mso-position-vertical-relative:paragraph;z-index:-329056" type="#_x0000_t202" filled="false" stroked="false">
            <v:textbox inset="0,0,0,0">
              <w:txbxContent>
                <w:p>
                  <w:pPr>
                    <w:spacing w:line="160" w:lineRule="exact" w:before="0"/>
                    <w:ind w:left="0" w:right="0" w:firstLine="0"/>
                    <w:jc w:val="left"/>
                    <w:rPr>
                      <w:rFonts w:ascii="Times New Roman"/>
                      <w:sz w:val="16"/>
                    </w:rPr>
                  </w:pPr>
                  <w:r>
                    <w:rPr>
                      <w:rFonts w:ascii="Times New Roman"/>
                      <w:w w:val="110"/>
                      <w:sz w:val="16"/>
                    </w:rPr>
                    <w:t>2</w:t>
                  </w:r>
                </w:p>
              </w:txbxContent>
            </v:textbox>
            <w10:wrap type="none"/>
          </v:shape>
        </w:pict>
      </w:r>
      <w:r>
        <w:rPr>
          <w:rFonts w:ascii="Times New Roman" w:hAnsi="Times New Roman"/>
          <w:w w:val="110"/>
          <w:sz w:val="16"/>
        </w:rPr>
        <w:t>q</w:t>
      </w:r>
      <w:r>
        <w:rPr>
          <w:rFonts w:ascii="Symbol" w:hAnsi="Symbol"/>
          <w:w w:val="110"/>
          <w:sz w:val="16"/>
        </w:rPr>
        <w:t></w:t>
      </w:r>
      <w:r>
        <w:rPr>
          <w:rFonts w:ascii="Times New Roman" w:hAnsi="Times New Roman"/>
          <w:w w:val="110"/>
          <w:sz w:val="16"/>
        </w:rPr>
        <w:t>qmax</w:t>
      </w:r>
    </w:p>
    <w:p>
      <w:pPr>
        <w:pStyle w:val="ListParagraph"/>
        <w:numPr>
          <w:ilvl w:val="2"/>
          <w:numId w:val="6"/>
        </w:numPr>
        <w:tabs>
          <w:tab w:pos="892" w:val="left" w:leader="none"/>
          <w:tab w:pos="893" w:val="left" w:leader="none"/>
        </w:tabs>
        <w:spacing w:line="421" w:lineRule="exact" w:before="0" w:after="0"/>
        <w:ind w:left="892" w:right="0" w:hanging="371"/>
        <w:jc w:val="left"/>
        <w:rPr>
          <w:rFonts w:ascii="Symbol" w:hAnsi="Symbol"/>
          <w:sz w:val="27"/>
        </w:rPr>
      </w:pPr>
      <w:r>
        <w:rPr>
          <w:rFonts w:ascii="Symbol" w:hAnsi="Symbol"/>
          <w:spacing w:val="13"/>
          <w:w w:val="110"/>
          <w:position w:val="-5"/>
          <w:sz w:val="41"/>
        </w:rPr>
        <w:t></w:t>
      </w:r>
      <w:r>
        <w:rPr>
          <w:rFonts w:ascii="Times New Roman" w:hAnsi="Times New Roman"/>
          <w:spacing w:val="20"/>
          <w:w w:val="111"/>
          <w:sz w:val="27"/>
        </w:rPr>
        <w:t>a</w:t>
      </w:r>
      <w:r>
        <w:rPr>
          <w:rFonts w:ascii="Times New Roman" w:hAnsi="Times New Roman"/>
          <w:spacing w:val="13"/>
          <w:w w:val="110"/>
          <w:position w:val="-6"/>
          <w:sz w:val="16"/>
        </w:rPr>
        <w:t>q</w:t>
      </w:r>
      <w:r>
        <w:rPr>
          <w:rFonts w:ascii="Times New Roman" w:hAnsi="Times New Roman"/>
          <w:spacing w:val="-9"/>
          <w:w w:val="111"/>
          <w:sz w:val="27"/>
        </w:rPr>
        <w:t>·</w:t>
      </w:r>
      <w:r>
        <w:rPr>
          <w:rFonts w:ascii="Times New Roman" w:hAnsi="Times New Roman"/>
          <w:spacing w:val="14"/>
          <w:w w:val="111"/>
          <w:sz w:val="27"/>
        </w:rPr>
        <w:t>f</w:t>
      </w:r>
      <w:r>
        <w:rPr>
          <w:rFonts w:ascii="Times New Roman" w:hAnsi="Times New Roman"/>
          <w:w w:val="110"/>
          <w:position w:val="-6"/>
          <w:sz w:val="16"/>
        </w:rPr>
        <w:t>q</w:t>
      </w:r>
      <w:r>
        <w:rPr>
          <w:rFonts w:ascii="Times New Roman" w:hAnsi="Times New Roman"/>
          <w:position w:val="-6"/>
          <w:sz w:val="16"/>
        </w:rPr>
        <w:t>  </w:t>
      </w:r>
      <w:r>
        <w:rPr>
          <w:rFonts w:ascii="Times New Roman" w:hAnsi="Times New Roman"/>
          <w:spacing w:val="-11"/>
          <w:position w:val="-6"/>
          <w:sz w:val="16"/>
        </w:rPr>
        <w:t> </w:t>
      </w:r>
      <w:r>
        <w:rPr>
          <w:rFonts w:ascii="Times New Roman" w:hAnsi="Times New Roman"/>
          <w:spacing w:val="-10"/>
          <w:w w:val="111"/>
          <w:sz w:val="27"/>
        </w:rPr>
        <w:t>Δ</w:t>
      </w:r>
      <w:r>
        <w:rPr>
          <w:rFonts w:ascii="Times New Roman" w:hAnsi="Times New Roman"/>
          <w:spacing w:val="8"/>
          <w:w w:val="111"/>
          <w:sz w:val="27"/>
        </w:rPr>
        <w:t>v</w:t>
      </w:r>
      <w:r>
        <w:rPr>
          <w:rFonts w:ascii="Times New Roman" w:hAnsi="Times New Roman"/>
          <w:w w:val="110"/>
          <w:position w:val="-6"/>
          <w:sz w:val="16"/>
        </w:rPr>
        <w:t>q</w:t>
      </w:r>
      <w:r>
        <w:rPr>
          <w:rFonts w:ascii="Times New Roman" w:hAnsi="Times New Roman"/>
          <w:position w:val="-6"/>
          <w:sz w:val="16"/>
        </w:rPr>
        <w:t>   </w:t>
      </w:r>
      <w:r>
        <w:rPr>
          <w:rFonts w:ascii="Times New Roman" w:hAnsi="Times New Roman"/>
          <w:spacing w:val="-1"/>
          <w:position w:val="-6"/>
          <w:sz w:val="16"/>
        </w:rPr>
        <w:t> </w:t>
      </w:r>
      <w:r>
        <w:rPr>
          <w:rFonts w:ascii="Symbol" w:hAnsi="Symbol"/>
          <w:w w:val="111"/>
          <w:sz w:val="27"/>
        </w:rPr>
        <w:t></w:t>
      </w:r>
    </w:p>
    <w:p>
      <w:pPr>
        <w:spacing w:line="143" w:lineRule="exact" w:before="88"/>
        <w:ind w:left="52" w:right="0" w:firstLine="0"/>
        <w:jc w:val="center"/>
        <w:rPr>
          <w:rFonts w:ascii="Times New Roman" w:hAnsi="Times New Roman"/>
          <w:sz w:val="16"/>
        </w:rPr>
      </w:pPr>
      <w:r>
        <w:rPr/>
        <w:br w:type="column"/>
      </w:r>
      <w:r>
        <w:rPr>
          <w:rFonts w:ascii="Times New Roman" w:hAnsi="Times New Roman"/>
          <w:spacing w:val="-3"/>
          <w:w w:val="110"/>
          <w:sz w:val="16"/>
        </w:rPr>
        <w:t>q</w:t>
      </w:r>
      <w:r>
        <w:rPr>
          <w:rFonts w:ascii="Symbol" w:hAnsi="Symbol"/>
          <w:spacing w:val="-3"/>
          <w:w w:val="110"/>
          <w:sz w:val="16"/>
        </w:rPr>
        <w:t></w:t>
      </w:r>
      <w:r>
        <w:rPr>
          <w:rFonts w:ascii="Times New Roman" w:hAnsi="Times New Roman"/>
          <w:spacing w:val="-3"/>
          <w:w w:val="110"/>
          <w:sz w:val="16"/>
        </w:rPr>
        <w:t>qmax</w:t>
      </w:r>
    </w:p>
    <w:p>
      <w:pPr>
        <w:spacing w:line="421" w:lineRule="exact" w:before="0"/>
        <w:ind w:left="40" w:right="0" w:firstLine="0"/>
        <w:jc w:val="center"/>
        <w:rPr>
          <w:rFonts w:ascii="Symbol" w:hAnsi="Symbol"/>
          <w:sz w:val="41"/>
        </w:rPr>
      </w:pPr>
      <w:r>
        <w:rPr>
          <w:rFonts w:ascii="Symbol" w:hAnsi="Symbol"/>
          <w:w w:val="110"/>
          <w:sz w:val="41"/>
        </w:rPr>
        <w:t></w:t>
      </w:r>
    </w:p>
    <w:p>
      <w:pPr>
        <w:spacing w:before="48"/>
        <w:ind w:left="5" w:right="-13" w:firstLine="0"/>
        <w:jc w:val="left"/>
        <w:rPr>
          <w:rFonts w:ascii="Symbol" w:hAnsi="Symbol"/>
          <w:sz w:val="27"/>
        </w:rPr>
      </w:pPr>
      <w:r>
        <w:rPr/>
        <w:br w:type="column"/>
      </w:r>
      <w:r>
        <w:rPr>
          <w:rFonts w:ascii="Times New Roman" w:hAnsi="Times New Roman"/>
          <w:spacing w:val="7"/>
          <w:w w:val="105"/>
          <w:sz w:val="27"/>
        </w:rPr>
        <w:t>a</w:t>
      </w:r>
      <w:r>
        <w:rPr>
          <w:rFonts w:ascii="Times New Roman" w:hAnsi="Times New Roman"/>
          <w:spacing w:val="7"/>
          <w:w w:val="105"/>
          <w:position w:val="-6"/>
          <w:sz w:val="16"/>
        </w:rPr>
        <w:t>q</w:t>
      </w:r>
      <w:r>
        <w:rPr>
          <w:rFonts w:ascii="Times New Roman" w:hAnsi="Times New Roman"/>
          <w:spacing w:val="7"/>
          <w:w w:val="105"/>
          <w:sz w:val="27"/>
        </w:rPr>
        <w:t>·f</w:t>
      </w:r>
      <w:r>
        <w:rPr>
          <w:rFonts w:ascii="Times New Roman" w:hAnsi="Times New Roman"/>
          <w:spacing w:val="7"/>
          <w:w w:val="105"/>
          <w:position w:val="-6"/>
          <w:sz w:val="16"/>
        </w:rPr>
        <w:t>q </w:t>
      </w:r>
      <w:r>
        <w:rPr>
          <w:rFonts w:ascii="Symbol" w:hAnsi="Symbol"/>
          <w:spacing w:val="-17"/>
          <w:w w:val="105"/>
          <w:sz w:val="48"/>
        </w:rPr>
        <w:t></w:t>
      </w:r>
      <w:r>
        <w:rPr>
          <w:rFonts w:ascii="Times New Roman" w:hAnsi="Times New Roman"/>
          <w:spacing w:val="-17"/>
          <w:w w:val="105"/>
          <w:sz w:val="27"/>
        </w:rPr>
        <w:t>log</w:t>
      </w:r>
      <w:r>
        <w:rPr>
          <w:rFonts w:ascii="Times New Roman" w:hAnsi="Times New Roman"/>
          <w:spacing w:val="-43"/>
          <w:w w:val="105"/>
          <w:sz w:val="27"/>
        </w:rPr>
        <w:t> </w:t>
      </w:r>
      <w:r>
        <w:rPr>
          <w:rFonts w:ascii="Symbol" w:hAnsi="Symbol"/>
          <w:w w:val="105"/>
          <w:sz w:val="27"/>
        </w:rPr>
        <w:t></w:t>
      </w:r>
      <w:r>
        <w:rPr>
          <w:rFonts w:ascii="Times New Roman" w:hAnsi="Times New Roman"/>
          <w:w w:val="105"/>
          <w:sz w:val="27"/>
        </w:rPr>
        <w:t>v</w:t>
      </w:r>
      <w:r>
        <w:rPr>
          <w:rFonts w:ascii="Times New Roman" w:hAnsi="Times New Roman"/>
          <w:w w:val="105"/>
          <w:position w:val="-6"/>
          <w:sz w:val="16"/>
        </w:rPr>
        <w:t>q </w:t>
      </w:r>
      <w:r>
        <w:rPr>
          <w:rFonts w:ascii="Symbol" w:hAnsi="Symbol"/>
          <w:spacing w:val="5"/>
          <w:w w:val="105"/>
          <w:sz w:val="48"/>
        </w:rPr>
        <w:t></w:t>
      </w:r>
      <w:r>
        <w:rPr>
          <w:rFonts w:ascii="Symbol" w:hAnsi="Symbol"/>
          <w:spacing w:val="5"/>
          <w:w w:val="105"/>
          <w:sz w:val="27"/>
        </w:rPr>
        <w:t></w:t>
      </w:r>
    </w:p>
    <w:p>
      <w:pPr>
        <w:spacing w:line="185" w:lineRule="exact" w:before="88"/>
        <w:ind w:left="10" w:right="0" w:firstLine="0"/>
        <w:jc w:val="left"/>
        <w:rPr>
          <w:rFonts w:ascii="Times New Roman" w:hAnsi="Times New Roman"/>
          <w:sz w:val="16"/>
        </w:rPr>
      </w:pPr>
      <w:r>
        <w:rPr/>
        <w:br w:type="column"/>
      </w:r>
      <w:r>
        <w:rPr>
          <w:rFonts w:ascii="Times New Roman" w:hAnsi="Times New Roman"/>
          <w:w w:val="110"/>
          <w:sz w:val="16"/>
        </w:rPr>
        <w:t>(i,k,j)</w:t>
      </w:r>
      <w:r>
        <w:rPr>
          <w:rFonts w:ascii="Symbol" w:hAnsi="Symbol"/>
          <w:w w:val="110"/>
          <w:sz w:val="16"/>
        </w:rPr>
        <w:t></w:t>
      </w:r>
      <w:r>
        <w:rPr>
          <w:rFonts w:ascii="Times New Roman" w:hAnsi="Times New Roman"/>
          <w:w w:val="110"/>
          <w:sz w:val="16"/>
        </w:rPr>
        <w:t>(i,k,j)max</w:t>
      </w:r>
    </w:p>
    <w:p>
      <w:pPr>
        <w:spacing w:line="173" w:lineRule="exact" w:before="0"/>
        <w:ind w:left="0" w:right="820" w:firstLine="0"/>
        <w:jc w:val="center"/>
        <w:rPr>
          <w:rFonts w:ascii="Times New Roman"/>
          <w:sz w:val="16"/>
        </w:rPr>
      </w:pPr>
      <w:r>
        <w:rPr/>
        <w:pict>
          <v:shape style="position:absolute;margin-left:356.78299pt;margin-top:-4.942087pt;width:96.45pt;height:24.55pt;mso-position-horizontal-relative:page;mso-position-vertical-relative:paragraph;z-index:-329080" type="#_x0000_t202" filled="false" stroked="false">
            <v:textbox inset="0,0,0,0">
              <w:txbxContent>
                <w:p>
                  <w:pPr>
                    <w:tabs>
                      <w:tab w:pos="670" w:val="left" w:leader="none"/>
                    </w:tabs>
                    <w:spacing w:line="490" w:lineRule="exact" w:before="0"/>
                    <w:ind w:left="0" w:right="0" w:firstLine="0"/>
                    <w:jc w:val="left"/>
                    <w:rPr>
                      <w:rFonts w:ascii="Symbol" w:hAnsi="Symbol"/>
                      <w:sz w:val="43"/>
                    </w:rPr>
                  </w:pPr>
                  <w:r>
                    <w:rPr>
                      <w:rFonts w:ascii="Symbol" w:hAnsi="Symbol"/>
                      <w:spacing w:val="6"/>
                      <w:position w:val="-5"/>
                      <w:sz w:val="41"/>
                    </w:rPr>
                    <w:t></w:t>
                  </w:r>
                  <w:r>
                    <w:rPr>
                      <w:rFonts w:ascii="Times New Roman" w:hAnsi="Times New Roman"/>
                      <w:spacing w:val="6"/>
                      <w:sz w:val="27"/>
                    </w:rPr>
                    <w:t>a</w:t>
                    <w:tab/>
                  </w:r>
                  <w:r>
                    <w:rPr>
                      <w:rFonts w:ascii="Times New Roman" w:hAnsi="Times New Roman"/>
                      <w:spacing w:val="-6"/>
                      <w:sz w:val="27"/>
                    </w:rPr>
                    <w:t>·ΔΔ </w:t>
                  </w:r>
                  <w:r>
                    <w:rPr>
                      <w:rFonts w:ascii="Tahoma" w:hAnsi="Tahoma"/>
                      <w:sz w:val="27"/>
                    </w:rPr>
                    <w:t>V </w:t>
                  </w:r>
                  <w:r>
                    <w:rPr>
                      <w:rFonts w:ascii="Symbol" w:hAnsi="Symbol"/>
                      <w:spacing w:val="-13"/>
                      <w:sz w:val="43"/>
                    </w:rPr>
                    <w:t></w:t>
                  </w:r>
                  <w:r>
                    <w:rPr>
                      <w:rFonts w:ascii="Times New Roman" w:hAnsi="Times New Roman"/>
                      <w:spacing w:val="-13"/>
                      <w:sz w:val="27"/>
                    </w:rPr>
                    <w:t>c </w:t>
                  </w:r>
                  <w:r>
                    <w:rPr>
                      <w:rFonts w:ascii="Times New Roman" w:hAnsi="Times New Roman"/>
                      <w:spacing w:val="26"/>
                      <w:sz w:val="27"/>
                    </w:rPr>
                    <w:t> </w:t>
                  </w:r>
                  <w:r>
                    <w:rPr>
                      <w:rFonts w:ascii="Symbol" w:hAnsi="Symbol"/>
                      <w:sz w:val="43"/>
                    </w:rPr>
                    <w:t></w:t>
                  </w:r>
                </w:p>
              </w:txbxContent>
            </v:textbox>
            <w10:wrap type="none"/>
          </v:shape>
        </w:pict>
      </w:r>
      <w:r>
        <w:rPr>
          <w:rFonts w:ascii="Times New Roman"/>
          <w:w w:val="110"/>
          <w:sz w:val="16"/>
        </w:rPr>
        <w:t>i</w:t>
      </w:r>
    </w:p>
    <w:p>
      <w:pPr>
        <w:tabs>
          <w:tab w:pos="900" w:val="left" w:leader="none"/>
          <w:tab w:pos="1259" w:val="left" w:leader="none"/>
        </w:tabs>
        <w:spacing w:before="1"/>
        <w:ind w:left="0" w:right="885" w:firstLine="0"/>
        <w:jc w:val="center"/>
        <w:rPr>
          <w:rFonts w:ascii="Times New Roman"/>
          <w:sz w:val="16"/>
        </w:rPr>
      </w:pPr>
      <w:r>
        <w:rPr>
          <w:rFonts w:ascii="Times New Roman"/>
          <w:spacing w:val="3"/>
          <w:w w:val="110"/>
          <w:sz w:val="16"/>
        </w:rPr>
        <w:t>ikj</w:t>
        <w:tab/>
      </w:r>
      <w:r>
        <w:rPr>
          <w:rFonts w:ascii="Times New Roman"/>
          <w:w w:val="110"/>
          <w:sz w:val="16"/>
        </w:rPr>
        <w:t>k</w:t>
        <w:tab/>
        <w:t>j</w:t>
      </w:r>
    </w:p>
    <w:p>
      <w:pPr>
        <w:spacing w:after="0"/>
        <w:jc w:val="center"/>
        <w:rPr>
          <w:rFonts w:ascii="Times New Roman"/>
          <w:sz w:val="16"/>
        </w:rPr>
        <w:sectPr>
          <w:type w:val="continuous"/>
          <w:pgSz w:w="12240" w:h="15840"/>
          <w:pgMar w:top="3080" w:bottom="2780" w:left="1440" w:right="1460"/>
          <w:cols w:num="4" w:equalWidth="0">
            <w:col w:w="2645" w:space="40"/>
            <w:col w:w="615" w:space="40"/>
            <w:col w:w="1844" w:space="40"/>
            <w:col w:w="4116"/>
          </w:cols>
        </w:sectPr>
      </w:pPr>
    </w:p>
    <w:p>
      <w:pPr>
        <w:spacing w:line="166" w:lineRule="exact" w:before="0"/>
        <w:ind w:left="0" w:right="0" w:firstLine="0"/>
        <w:jc w:val="right"/>
        <w:rPr>
          <w:rFonts w:ascii="Times New Roman" w:hAnsi="Times New Roman"/>
          <w:sz w:val="16"/>
        </w:rPr>
      </w:pPr>
      <w:r>
        <w:rPr>
          <w:rFonts w:ascii="Times New Roman" w:hAnsi="Times New Roman"/>
          <w:w w:val="110"/>
          <w:sz w:val="16"/>
        </w:rPr>
        <w:t>q</w:t>
      </w:r>
      <w:r>
        <w:rPr>
          <w:rFonts w:ascii="Symbol" w:hAnsi="Symbol"/>
          <w:w w:val="110"/>
          <w:sz w:val="16"/>
        </w:rPr>
        <w:t></w:t>
      </w:r>
      <w:r>
        <w:rPr>
          <w:rFonts w:ascii="Times New Roman" w:hAnsi="Times New Roman"/>
          <w:w w:val="110"/>
          <w:sz w:val="16"/>
        </w:rPr>
        <w:t>1</w:t>
      </w:r>
    </w:p>
    <w:p>
      <w:pPr>
        <w:spacing w:line="166" w:lineRule="exact" w:before="0"/>
        <w:ind w:left="0" w:right="0" w:firstLine="0"/>
        <w:jc w:val="right"/>
        <w:rPr>
          <w:rFonts w:ascii="Times New Roman" w:hAnsi="Times New Roman"/>
          <w:sz w:val="16"/>
        </w:rPr>
      </w:pPr>
      <w:r>
        <w:rPr/>
        <w:br w:type="column"/>
      </w:r>
      <w:r>
        <w:rPr>
          <w:rFonts w:ascii="Times New Roman" w:hAnsi="Times New Roman"/>
          <w:w w:val="110"/>
          <w:sz w:val="16"/>
        </w:rPr>
        <w:t>q</w:t>
      </w:r>
      <w:r>
        <w:rPr>
          <w:rFonts w:ascii="Symbol" w:hAnsi="Symbol"/>
          <w:w w:val="110"/>
          <w:sz w:val="16"/>
        </w:rPr>
        <w:t></w:t>
      </w:r>
      <w:r>
        <w:rPr>
          <w:rFonts w:ascii="Times New Roman" w:hAnsi="Times New Roman"/>
          <w:w w:val="110"/>
          <w:sz w:val="16"/>
        </w:rPr>
        <w:t>1</w:t>
      </w:r>
    </w:p>
    <w:p>
      <w:pPr>
        <w:spacing w:line="166" w:lineRule="exact" w:before="0"/>
        <w:ind w:left="918" w:right="0" w:firstLine="0"/>
        <w:jc w:val="left"/>
        <w:rPr>
          <w:rFonts w:ascii="Times New Roman" w:hAnsi="Times New Roman"/>
          <w:sz w:val="16"/>
        </w:rPr>
      </w:pPr>
      <w:r>
        <w:rPr/>
        <w:br w:type="column"/>
      </w:r>
      <w:r>
        <w:rPr>
          <w:rFonts w:ascii="Times New Roman" w:hAnsi="Times New Roman"/>
          <w:w w:val="110"/>
          <w:sz w:val="16"/>
        </w:rPr>
        <w:t>(i,k,j)</w:t>
      </w:r>
      <w:r>
        <w:rPr>
          <w:rFonts w:ascii="Symbol" w:hAnsi="Symbol"/>
          <w:w w:val="110"/>
          <w:sz w:val="16"/>
        </w:rPr>
        <w:t></w:t>
      </w:r>
      <w:r>
        <w:rPr>
          <w:rFonts w:ascii="Times New Roman" w:hAnsi="Times New Roman"/>
          <w:w w:val="110"/>
          <w:sz w:val="16"/>
        </w:rPr>
        <w:t>1</w:t>
      </w:r>
    </w:p>
    <w:p>
      <w:pPr>
        <w:spacing w:after="0" w:line="166" w:lineRule="exact"/>
        <w:jc w:val="left"/>
        <w:rPr>
          <w:rFonts w:ascii="Times New Roman" w:hAnsi="Times New Roman"/>
          <w:sz w:val="16"/>
        </w:rPr>
        <w:sectPr>
          <w:type w:val="continuous"/>
          <w:pgSz w:w="12240" w:h="15840"/>
          <w:pgMar w:top="3080" w:bottom="2780" w:left="1440" w:right="1460"/>
          <w:cols w:num="3" w:equalWidth="0">
            <w:col w:w="1190" w:space="769"/>
            <w:col w:w="1190" w:space="1496"/>
            <w:col w:w="4695"/>
          </w:cols>
        </w:sectPr>
      </w:pPr>
    </w:p>
    <w:p>
      <w:pPr>
        <w:pStyle w:val="BodyText"/>
        <w:rPr>
          <w:rFonts w:ascii="Times New Roman"/>
          <w:sz w:val="20"/>
        </w:rPr>
      </w:pPr>
    </w:p>
    <w:p>
      <w:pPr>
        <w:pStyle w:val="BodyText"/>
        <w:spacing w:before="3"/>
        <w:rPr>
          <w:rFonts w:ascii="Times New Roman"/>
          <w:sz w:val="21"/>
        </w:rPr>
      </w:pPr>
    </w:p>
    <w:p>
      <w:pPr>
        <w:pStyle w:val="BodyText"/>
        <w:spacing w:line="360" w:lineRule="auto"/>
        <w:ind w:left="259" w:right="238" w:firstLine="283"/>
        <w:jc w:val="both"/>
      </w:pPr>
      <w:r>
        <w:rPr/>
        <w:t>F La función de salida '(μnr) nueva es una puntuación utilizado para calcular la probabilidad de clasificación binaria de un insumo como μnr = 1 o μnr = 0 (salidas). (Hill y Lewicki, 2006) Los vectores vi = [f (εij ) nueva, &lt;f (ɛij)&gt; ref, ω-6, ω-3, CH4,   IV1,</w:t>
      </w:r>
    </w:p>
    <w:p>
      <w:pPr>
        <w:pStyle w:val="BodyText"/>
        <w:spacing w:line="360" w:lineRule="auto"/>
        <w:ind w:left="259" w:right="239"/>
        <w:jc w:val="both"/>
      </w:pPr>
      <w:r>
        <w:rPr/>
        <w:t>... iVkmax, ΔV1 (c1), ... ΔVk (cj), ... ΔVkmax (cjmax), ΔΔV1 (c1), ... ΔΔVk (cj), ... ΔΔVkmax (cjmax)] son las entradas de este modelo. Cada vi vector representa un caso estadístico (caso ITH), de un total de n = 545.695 casos (perturbaciones). Estos casos estadísticos codificadas por vi vectores son perturbaciones de una entrada o estado de referencia (cambios en los parámetros de entrada) que producen una salida o nuevo estado. Los vectores de entrada vi incluyen el valor de f (εij) ref para el estado de referencia (valor conocido). Los vectores vi también toman las cantidades de </w:t>
      </w:r>
      <w:r>
        <w:rPr>
          <w:spacing w:val="4"/>
        </w:rPr>
        <w:t>ω-6 </w:t>
      </w:r>
      <w:r>
        <w:rPr/>
        <w:t>y ω- 3 en el nuevo estado (después de la perturbación) en cuenta. Los valores de los descriptores moleculares (IVK) y operadores PT-LFER ΔΔVk (cj) también se incluyeron en los vectores vi (Ver detalles en Complementario SM01.pdf archivo de materiales, disponibles en la revista web o a petición del</w:t>
      </w:r>
      <w:r>
        <w:rPr>
          <w:spacing w:val="-20"/>
        </w:rPr>
        <w:t> </w:t>
      </w:r>
      <w:r>
        <w:rPr/>
        <w:t>autor).</w:t>
      </w:r>
    </w:p>
    <w:p>
      <w:pPr>
        <w:pStyle w:val="BodyText"/>
        <w:spacing w:before="9"/>
        <w:rPr>
          <w:sz w:val="23"/>
        </w:rPr>
      </w:pPr>
    </w:p>
    <w:p>
      <w:pPr>
        <w:pStyle w:val="ListParagraph"/>
        <w:numPr>
          <w:ilvl w:val="1"/>
          <w:numId w:val="15"/>
        </w:numPr>
        <w:tabs>
          <w:tab w:pos="658" w:val="left" w:leader="none"/>
        </w:tabs>
        <w:spacing w:line="240" w:lineRule="auto" w:before="0" w:after="0"/>
        <w:ind w:left="657" w:right="0" w:hanging="398"/>
        <w:jc w:val="both"/>
        <w:rPr>
          <w:i/>
          <w:sz w:val="24"/>
        </w:rPr>
      </w:pPr>
      <w:r>
        <w:rPr>
          <w:i/>
          <w:sz w:val="24"/>
        </w:rPr>
        <w:t>Calculation of molecular</w:t>
      </w:r>
      <w:r>
        <w:rPr>
          <w:i/>
          <w:spacing w:val="-20"/>
          <w:sz w:val="24"/>
        </w:rPr>
        <w:t> </w:t>
      </w:r>
      <w:r>
        <w:rPr>
          <w:i/>
          <w:sz w:val="24"/>
        </w:rPr>
        <w:t>descriptors.</w:t>
      </w:r>
    </w:p>
    <w:p>
      <w:pPr>
        <w:pStyle w:val="BodyText"/>
        <w:spacing w:before="9"/>
        <w:rPr>
          <w:i/>
          <w:sz w:val="35"/>
        </w:rPr>
      </w:pPr>
    </w:p>
    <w:p>
      <w:pPr>
        <w:pStyle w:val="BodyText"/>
        <w:spacing w:line="357" w:lineRule="auto"/>
        <w:ind w:left="259" w:right="238"/>
        <w:jc w:val="both"/>
      </w:pPr>
      <w:r>
        <w:rPr/>
        <w:t>F La función de salida '(μnr) nueva es una puntuación utilizado para calcular la probabilidad de clasificación binaria de un insumo como μnr = 1 o μnr = 0 (salidas). (Hill y Lewicki, 2006) Los vectores vi = [f (εij ) nueva, &lt;f (ɛij)&gt; ref, ω-6, ω-3, CH4,   IV1,</w:t>
      </w:r>
    </w:p>
    <w:p>
      <w:pPr>
        <w:spacing w:after="0" w:line="357" w:lineRule="auto"/>
        <w:jc w:val="both"/>
        <w:sectPr>
          <w:type w:val="continuous"/>
          <w:pgSz w:w="12240" w:h="15840"/>
          <w:pgMar w:top="3080" w:bottom="2780" w:left="1440" w:right="1460"/>
        </w:sectPr>
      </w:pPr>
    </w:p>
    <w:p>
      <w:pPr>
        <w:pStyle w:val="BodyText"/>
        <w:spacing w:before="7"/>
        <w:rPr>
          <w:sz w:val="15"/>
        </w:rPr>
      </w:pPr>
    </w:p>
    <w:p>
      <w:pPr>
        <w:pStyle w:val="BodyText"/>
        <w:spacing w:line="360" w:lineRule="auto" w:before="66"/>
        <w:ind w:left="259" w:right="239"/>
        <w:jc w:val="both"/>
        <w:rPr>
          <w:i/>
        </w:rPr>
      </w:pPr>
      <w:r>
        <w:rPr/>
        <w:t>... iVkmax, ΔV1 (c1), ... ΔVk (cj), ... ΔVkmax (cjmax), ΔΔV1 (c1), ... ΔΔVk (cj), ... ΔΔVkmax (cjmax)] son las entradas de este modelo. Cada vi vector representa un caso estadístico (caso ITH), de un total de n = 545.695 casos (perturbaciones). Estos casos estadísticos codificadas por vi vectores son perturbaciones de una entrada o estado de referencia (cambios en los parámetros de entrada) que producen una salida o nuevo estado. Los vectores de entrada vi incluyen el valor de f (εij) ref para el estado de referencia (valor conocido). Los vectores vi también toman las cantidades de </w:t>
      </w:r>
      <w:r>
        <w:rPr>
          <w:spacing w:val="4"/>
        </w:rPr>
        <w:t>ω-6 </w:t>
      </w:r>
      <w:r>
        <w:rPr/>
        <w:t>y ω- 3 en el nuevo estado (después de la perturbación) en cuenta. Los valores de los descriptores moleculares (IVK) y operadores PT-LFER ΔΔVk (cj) también se incluyeron en los vectores vi (Ver detalles en Complementario SM01.pdf archivo de materiales, disponibles en la revista web o a petición del autor)</w:t>
      </w:r>
      <w:r>
        <w:rPr>
          <w:i/>
        </w:rPr>
        <w:t>2.4. Chemometric </w:t>
      </w:r>
      <w:r>
        <w:rPr>
          <w:i/>
        </w:rPr>
        <w:t>classification</w:t>
      </w:r>
      <w:r>
        <w:rPr>
          <w:i/>
          <w:spacing w:val="-10"/>
        </w:rPr>
        <w:t> </w:t>
      </w:r>
      <w:r>
        <w:rPr>
          <w:i/>
        </w:rPr>
        <w:t>models.</w:t>
      </w:r>
    </w:p>
    <w:p>
      <w:pPr>
        <w:pStyle w:val="BodyText"/>
        <w:spacing w:before="9"/>
        <w:rPr>
          <w:i/>
          <w:sz w:val="23"/>
        </w:rPr>
      </w:pPr>
    </w:p>
    <w:p>
      <w:pPr>
        <w:pStyle w:val="BodyText"/>
        <w:spacing w:line="360" w:lineRule="auto"/>
        <w:ind w:left="259" w:right="238" w:firstLine="283"/>
        <w:jc w:val="both"/>
      </w:pPr>
      <w:r>
        <w:rPr/>
        <w:t>El análisis discriminante lineal (LDA) (Hill y Lewicki, 2006) se utilizó el algoritmo implementado en el software STATISTICA para encontrar el mejor modelo PT-LFER. A veces la relación entre las variables de entrada y la salida es más compleja y la linealidad no puede resolver el problema. Por lo tanto, los modelos no lineales  podrían proporcionar una mejor solución. De este modo, la red neuronal artificial (RNA) (Haykin, 1998) se pusieron a prueba:. Multi-Layer no lineal Perceptron (MLP) (Hill y Lewicki, 2006) Los datos completos se dividieron en formación y validación subconjuntos con una proporción de 75 : 25 utilizado para la construcción del modelo y validación, respectivamente. Todas las variables independientes están unificados y estandarizados con el software STATISTICA, antes de la construcción del</w:t>
      </w:r>
      <w:r>
        <w:rPr>
          <w:spacing w:val="-23"/>
        </w:rPr>
        <w:t> </w:t>
      </w:r>
      <w:r>
        <w:rPr/>
        <w:t>modelo.</w:t>
      </w:r>
    </w:p>
    <w:p>
      <w:pPr>
        <w:spacing w:after="0" w:line="360" w:lineRule="auto"/>
        <w:jc w:val="both"/>
        <w:sectPr>
          <w:pgSz w:w="12240" w:h="15840"/>
          <w:pgMar w:header="684" w:footer="1164" w:top="1380" w:bottom="1380" w:left="1440" w:right="1460"/>
        </w:sectPr>
      </w:pPr>
    </w:p>
    <w:p>
      <w:pPr>
        <w:pStyle w:val="BodyText"/>
        <w:rPr>
          <w:sz w:val="20"/>
        </w:rPr>
      </w:pPr>
    </w:p>
    <w:p>
      <w:pPr>
        <w:pStyle w:val="BodyText"/>
        <w:rPr>
          <w:sz w:val="20"/>
        </w:rPr>
      </w:pPr>
    </w:p>
    <w:p>
      <w:pPr>
        <w:pStyle w:val="BodyText"/>
        <w:spacing w:before="10"/>
      </w:pPr>
    </w:p>
    <w:p>
      <w:pPr>
        <w:pStyle w:val="Heading1"/>
        <w:ind w:left="3726"/>
        <w:jc w:val="left"/>
      </w:pPr>
      <w:bookmarkStart w:name="_TOC_250008" w:id="32"/>
      <w:bookmarkEnd w:id="32"/>
      <w:r>
        <w:rPr>
          <w:color w:val="1F487C"/>
        </w:rPr>
        <w:t>RESULTADOS</w:t>
      </w:r>
    </w:p>
    <w:p>
      <w:pPr>
        <w:pStyle w:val="BodyText"/>
        <w:rPr>
          <w:b/>
          <w:sz w:val="32"/>
        </w:rPr>
      </w:pPr>
    </w:p>
    <w:p>
      <w:pPr>
        <w:pStyle w:val="BodyText"/>
        <w:rPr>
          <w:b/>
          <w:sz w:val="32"/>
        </w:rPr>
      </w:pPr>
    </w:p>
    <w:p>
      <w:pPr>
        <w:pStyle w:val="Heading2"/>
        <w:spacing w:before="203"/>
        <w:rPr>
          <w:i/>
        </w:rPr>
      </w:pPr>
      <w:bookmarkStart w:name="_TOC_250007" w:id="33"/>
      <w:bookmarkEnd w:id="33"/>
      <w:r>
        <w:rPr>
          <w:i/>
          <w:color w:val="1F487C"/>
        </w:rPr>
        <w:t>CAPÍTULO 1</w:t>
      </w:r>
    </w:p>
    <w:p>
      <w:pPr>
        <w:spacing w:line="360" w:lineRule="auto" w:before="64"/>
        <w:ind w:left="1393" w:right="237" w:hanging="1134"/>
        <w:jc w:val="both"/>
        <w:rPr>
          <w:sz w:val="22"/>
        </w:rPr>
      </w:pPr>
      <w:r>
        <w:rPr>
          <w:sz w:val="22"/>
        </w:rPr>
        <w:t>Yong Liu, Claudia Giovanna Peñuelas-Rivas, German Buendía-Rodríguez, Zhiliang Tan, Ricardo Basurto-Gutiérrez, Ming Wang </w:t>
      </w:r>
      <w:r>
        <w:rPr>
          <w:spacing w:val="-3"/>
          <w:sz w:val="22"/>
        </w:rPr>
        <w:t>and </w:t>
      </w:r>
      <w:r>
        <w:rPr>
          <w:sz w:val="22"/>
        </w:rPr>
        <w:t>María Rivas-Guevara, 2015. In vitro the Oretic Evaluation on Ruminal Fermentation Performance by Varying Proportion Supplementation of </w:t>
      </w:r>
      <w:r>
        <w:rPr>
          <w:i/>
          <w:sz w:val="22"/>
        </w:rPr>
        <w:t>Carthamus Tinctorius </w:t>
      </w:r>
      <w:r>
        <w:rPr>
          <w:sz w:val="22"/>
        </w:rPr>
        <w:t>Meal/</w:t>
      </w:r>
      <w:r>
        <w:rPr>
          <w:i/>
          <w:sz w:val="22"/>
        </w:rPr>
        <w:t>Brassica napus </w:t>
      </w:r>
      <w:r>
        <w:rPr>
          <w:sz w:val="22"/>
        </w:rPr>
        <w:t>Seed with  Sorghum Seed in Ovine Rations. </w:t>
      </w:r>
      <w:r>
        <w:rPr>
          <w:i/>
          <w:sz w:val="22"/>
        </w:rPr>
        <w:t>Journal of Animal and Veterinary Advances</w:t>
      </w:r>
      <w:r>
        <w:rPr>
          <w:sz w:val="22"/>
        </w:rPr>
        <w:t>, 14: 43-53.</w:t>
      </w:r>
    </w:p>
    <w:p>
      <w:pPr>
        <w:spacing w:after="0" w:line="360" w:lineRule="auto"/>
        <w:jc w:val="both"/>
        <w:rPr>
          <w:sz w:val="22"/>
        </w:rPr>
        <w:sectPr>
          <w:pgSz w:w="12240" w:h="15840"/>
          <w:pgMar w:header="684" w:footer="1164" w:top="1380" w:bottom="1380" w:left="1440" w:right="1460"/>
        </w:sectPr>
      </w:pPr>
    </w:p>
    <w:p>
      <w:pPr>
        <w:pStyle w:val="BodyText"/>
        <w:spacing w:before="7"/>
        <w:rPr>
          <w:rFonts w:ascii="Times New Roman"/>
          <w:sz w:val="21"/>
        </w:rPr>
      </w:pPr>
    </w:p>
    <w:p>
      <w:pPr>
        <w:pStyle w:val="BodyText"/>
        <w:ind w:left="261"/>
        <w:rPr>
          <w:rFonts w:ascii="Times New Roman"/>
          <w:sz w:val="20"/>
        </w:rPr>
      </w:pPr>
      <w:r>
        <w:rPr>
          <w:rFonts w:ascii="Times New Roman"/>
          <w:sz w:val="20"/>
        </w:rPr>
        <w:drawing>
          <wp:inline distT="0" distB="0" distL="0" distR="0">
            <wp:extent cx="5372993" cy="7845552"/>
            <wp:effectExtent l="0" t="0" r="0" b="0"/>
            <wp:docPr id="71" name="image33.jpeg" descr=""/>
            <wp:cNvGraphicFramePr>
              <a:graphicFrameLocks noChangeAspect="1"/>
            </wp:cNvGraphicFramePr>
            <a:graphic>
              <a:graphicData uri="http://schemas.openxmlformats.org/drawingml/2006/picture">
                <pic:pic>
                  <pic:nvPicPr>
                    <pic:cNvPr id="72" name="image33.jpeg"/>
                    <pic:cNvPicPr/>
                  </pic:nvPicPr>
                  <pic:blipFill>
                    <a:blip r:embed="rId69" cstate="print"/>
                    <a:stretch>
                      <a:fillRect/>
                    </a:stretch>
                  </pic:blipFill>
                  <pic:spPr>
                    <a:xfrm>
                      <a:off x="0" y="0"/>
                      <a:ext cx="5372993" cy="78455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5"/>
        </w:rPr>
      </w:pPr>
    </w:p>
    <w:p>
      <w:pPr>
        <w:pStyle w:val="BodyText"/>
        <w:ind w:left="261"/>
        <w:rPr>
          <w:rFonts w:ascii="Times New Roman"/>
          <w:sz w:val="20"/>
        </w:rPr>
      </w:pPr>
      <w:r>
        <w:rPr>
          <w:rFonts w:ascii="Times New Roman"/>
          <w:sz w:val="20"/>
        </w:rPr>
        <w:drawing>
          <wp:inline distT="0" distB="0" distL="0" distR="0">
            <wp:extent cx="5350566" cy="7317485"/>
            <wp:effectExtent l="0" t="0" r="0" b="0"/>
            <wp:docPr id="73" name="image34.jpeg" descr=""/>
            <wp:cNvGraphicFramePr>
              <a:graphicFrameLocks noChangeAspect="1"/>
            </wp:cNvGraphicFramePr>
            <a:graphic>
              <a:graphicData uri="http://schemas.openxmlformats.org/drawingml/2006/picture">
                <pic:pic>
                  <pic:nvPicPr>
                    <pic:cNvPr id="74" name="image34.jpeg"/>
                    <pic:cNvPicPr/>
                  </pic:nvPicPr>
                  <pic:blipFill>
                    <a:blip r:embed="rId70" cstate="print"/>
                    <a:stretch>
                      <a:fillRect/>
                    </a:stretch>
                  </pic:blipFill>
                  <pic:spPr>
                    <a:xfrm>
                      <a:off x="0" y="0"/>
                      <a:ext cx="5350566" cy="731748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after="1"/>
        <w:rPr>
          <w:rFonts w:ascii="Times New Roman"/>
          <w:sz w:val="22"/>
        </w:rPr>
      </w:pPr>
    </w:p>
    <w:p>
      <w:pPr>
        <w:pStyle w:val="BodyText"/>
        <w:ind w:left="261"/>
        <w:rPr>
          <w:rFonts w:ascii="Times New Roman"/>
          <w:sz w:val="20"/>
        </w:rPr>
      </w:pPr>
      <w:r>
        <w:rPr>
          <w:rFonts w:ascii="Times New Roman"/>
          <w:sz w:val="20"/>
        </w:rPr>
        <w:drawing>
          <wp:inline distT="0" distB="0" distL="0" distR="0">
            <wp:extent cx="5390437" cy="7392924"/>
            <wp:effectExtent l="0" t="0" r="0" b="0"/>
            <wp:docPr id="75" name="image35.jpeg" descr=""/>
            <wp:cNvGraphicFramePr>
              <a:graphicFrameLocks noChangeAspect="1"/>
            </wp:cNvGraphicFramePr>
            <a:graphic>
              <a:graphicData uri="http://schemas.openxmlformats.org/drawingml/2006/picture">
                <pic:pic>
                  <pic:nvPicPr>
                    <pic:cNvPr id="76" name="image35.jpeg"/>
                    <pic:cNvPicPr/>
                  </pic:nvPicPr>
                  <pic:blipFill>
                    <a:blip r:embed="rId71" cstate="print"/>
                    <a:stretch>
                      <a:fillRect/>
                    </a:stretch>
                  </pic:blipFill>
                  <pic:spPr>
                    <a:xfrm>
                      <a:off x="0" y="0"/>
                      <a:ext cx="5390437" cy="739292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0"/>
        </w:rPr>
      </w:pPr>
    </w:p>
    <w:p>
      <w:pPr>
        <w:spacing w:after="0"/>
        <w:rPr>
          <w:rFonts w:ascii="Times New Roman"/>
          <w:sz w:val="20"/>
        </w:rPr>
        <w:sectPr>
          <w:pgSz w:w="12240" w:h="15840"/>
          <w:pgMar w:header="684" w:footer="1164" w:top="1380" w:bottom="1380" w:left="1440" w:right="0"/>
        </w:sectPr>
      </w:pPr>
    </w:p>
    <w:p>
      <w:pPr>
        <w:spacing w:line="535" w:lineRule="auto" w:before="92"/>
        <w:ind w:left="5064" w:right="0" w:hanging="257"/>
        <w:jc w:val="both"/>
        <w:rPr>
          <w:rFonts w:ascii="Times New Roman"/>
          <w:sz w:val="11"/>
        </w:rPr>
      </w:pPr>
      <w:r>
        <w:rPr/>
        <w:pict>
          <v:shape style="position:absolute;margin-left:304.837891pt;margin-top:25.267422pt;width:14.75pt;height:81.8pt;mso-position-horizontal-relative:page;mso-position-vertical-relative:paragraph;z-index:-328960" type="#_x0000_t202" filled="false" stroked="false">
            <v:textbox inset="0,0,0,0" style="layout-flow:vertical;mso-layout-flow-alt:bottom-to-top">
              <w:txbxContent>
                <w:p>
                  <w:pPr>
                    <w:spacing w:line="261" w:lineRule="auto" w:before="11"/>
                    <w:ind w:left="80" w:right="-297" w:hanging="61"/>
                    <w:jc w:val="left"/>
                    <w:rPr>
                      <w:rFonts w:ascii="Times New Roman"/>
                      <w:sz w:val="11"/>
                    </w:rPr>
                  </w:pPr>
                  <w:r>
                    <w:rPr>
                      <w:rFonts w:ascii="Times New Roman"/>
                      <w:w w:val="106"/>
                      <w:sz w:val="11"/>
                    </w:rPr>
                    <w:t>G</w:t>
                  </w:r>
                  <w:r>
                    <w:rPr>
                      <w:rFonts w:ascii="Times New Roman"/>
                      <w:spacing w:val="1"/>
                      <w:w w:val="106"/>
                      <w:sz w:val="11"/>
                    </w:rPr>
                    <w:t>a</w:t>
                  </w:r>
                  <w:r>
                    <w:rPr>
                      <w:rFonts w:ascii="Times New Roman"/>
                      <w:w w:val="106"/>
                      <w:sz w:val="11"/>
                    </w:rPr>
                    <w:t>s</w:t>
                  </w:r>
                  <w:r>
                    <w:rPr>
                      <w:rFonts w:ascii="Times New Roman"/>
                      <w:spacing w:val="1"/>
                      <w:sz w:val="11"/>
                    </w:rPr>
                    <w:t> </w:t>
                  </w:r>
                  <w:r>
                    <w:rPr>
                      <w:rFonts w:ascii="Times New Roman"/>
                      <w:spacing w:val="1"/>
                      <w:w w:val="106"/>
                      <w:sz w:val="11"/>
                    </w:rPr>
                    <w:t>p</w:t>
                  </w:r>
                  <w:r>
                    <w:rPr>
                      <w:rFonts w:ascii="Times New Roman"/>
                      <w:w w:val="106"/>
                      <w:sz w:val="11"/>
                    </w:rPr>
                    <w:t>r</w:t>
                  </w:r>
                  <w:r>
                    <w:rPr>
                      <w:rFonts w:ascii="Times New Roman"/>
                      <w:spacing w:val="1"/>
                      <w:w w:val="106"/>
                      <w:sz w:val="11"/>
                    </w:rPr>
                    <w:t>oduc</w:t>
                  </w:r>
                  <w:r>
                    <w:rPr>
                      <w:rFonts w:ascii="Times New Roman"/>
                      <w:w w:val="106"/>
                      <w:sz w:val="11"/>
                    </w:rPr>
                    <w:t>ti</w:t>
                  </w:r>
                  <w:r>
                    <w:rPr>
                      <w:rFonts w:ascii="Times New Roman"/>
                      <w:spacing w:val="1"/>
                      <w:w w:val="106"/>
                      <w:sz w:val="11"/>
                    </w:rPr>
                    <w:t>o</w:t>
                  </w:r>
                  <w:r>
                    <w:rPr>
                      <w:rFonts w:ascii="Times New Roman"/>
                      <w:w w:val="106"/>
                      <w:sz w:val="11"/>
                    </w:rPr>
                    <w:t>n</w:t>
                  </w:r>
                  <w:r>
                    <w:rPr>
                      <w:rFonts w:ascii="Times New Roman"/>
                      <w:spacing w:val="1"/>
                      <w:sz w:val="11"/>
                    </w:rPr>
                    <w:t> </w:t>
                  </w:r>
                  <w:r>
                    <w:rPr>
                      <w:rFonts w:ascii="Times New Roman"/>
                      <w:spacing w:val="1"/>
                      <w:w w:val="106"/>
                      <w:sz w:val="11"/>
                    </w:rPr>
                    <w:t>o</w:t>
                  </w:r>
                  <w:r>
                    <w:rPr>
                      <w:rFonts w:ascii="Times New Roman"/>
                      <w:w w:val="106"/>
                      <w:sz w:val="11"/>
                    </w:rPr>
                    <w:t>f</w:t>
                  </w:r>
                  <w:r>
                    <w:rPr>
                      <w:rFonts w:ascii="Times New Roman"/>
                      <w:spacing w:val="1"/>
                      <w:sz w:val="11"/>
                    </w:rPr>
                    <w:t> </w:t>
                  </w:r>
                  <w:r>
                    <w:rPr>
                      <w:rFonts w:ascii="Times New Roman"/>
                      <w:spacing w:val="1"/>
                      <w:w w:val="106"/>
                      <w:sz w:val="11"/>
                    </w:rPr>
                    <w:t>s</w:t>
                  </w:r>
                  <w:r>
                    <w:rPr>
                      <w:rFonts w:ascii="Times New Roman"/>
                      <w:w w:val="106"/>
                      <w:sz w:val="11"/>
                    </w:rPr>
                    <w:t>a</w:t>
                  </w:r>
                  <w:r>
                    <w:rPr>
                      <w:rFonts w:ascii="Times New Roman"/>
                      <w:spacing w:val="1"/>
                      <w:w w:val="106"/>
                      <w:sz w:val="11"/>
                    </w:rPr>
                    <w:t>f</w:t>
                  </w:r>
                  <w:r>
                    <w:rPr>
                      <w:rFonts w:ascii="Times New Roman"/>
                      <w:w w:val="106"/>
                      <w:sz w:val="11"/>
                    </w:rPr>
                    <w:t>fl</w:t>
                  </w:r>
                  <w:r>
                    <w:rPr>
                      <w:rFonts w:ascii="Times New Roman"/>
                      <w:spacing w:val="1"/>
                      <w:w w:val="106"/>
                      <w:sz w:val="11"/>
                    </w:rPr>
                    <w:t>o</w:t>
                  </w:r>
                  <w:r>
                    <w:rPr>
                      <w:rFonts w:ascii="Times New Roman"/>
                      <w:spacing w:val="2"/>
                      <w:w w:val="106"/>
                      <w:sz w:val="11"/>
                    </w:rPr>
                    <w:t>w</w:t>
                  </w:r>
                  <w:r>
                    <w:rPr>
                      <w:rFonts w:ascii="Times New Roman"/>
                      <w:w w:val="106"/>
                      <w:sz w:val="11"/>
                    </w:rPr>
                    <w:t>er</w:t>
                  </w:r>
                  <w:r>
                    <w:rPr>
                      <w:rFonts w:ascii="Times New Roman"/>
                      <w:spacing w:val="1"/>
                      <w:sz w:val="11"/>
                    </w:rPr>
                    <w:t> </w:t>
                  </w:r>
                  <w:r>
                    <w:rPr>
                      <w:rFonts w:ascii="Times New Roman"/>
                      <w:spacing w:val="2"/>
                      <w:w w:val="106"/>
                      <w:sz w:val="11"/>
                    </w:rPr>
                    <w:t>m</w:t>
                  </w:r>
                  <w:r>
                    <w:rPr>
                      <w:rFonts w:ascii="Times New Roman"/>
                      <w:w w:val="106"/>
                      <w:sz w:val="11"/>
                    </w:rPr>
                    <w:t>e</w:t>
                  </w:r>
                  <w:r>
                    <w:rPr>
                      <w:rFonts w:ascii="Times New Roman"/>
                      <w:spacing w:val="1"/>
                      <w:w w:val="106"/>
                      <w:sz w:val="11"/>
                    </w:rPr>
                    <w:t>a</w:t>
                  </w:r>
                  <w:r>
                    <w:rPr>
                      <w:rFonts w:ascii="Times New Roman"/>
                      <w:w w:val="106"/>
                      <w:sz w:val="11"/>
                    </w:rPr>
                    <w:t>l </w:t>
                  </w:r>
                  <w:r>
                    <w:rPr>
                      <w:rFonts w:ascii="Times New Roman"/>
                      <w:w w:val="106"/>
                      <w:sz w:val="11"/>
                    </w:rPr>
                    <w:t>w</w:t>
                  </w:r>
                  <w:r>
                    <w:rPr>
                      <w:rFonts w:ascii="Times New Roman"/>
                      <w:w w:val="106"/>
                      <w:sz w:val="11"/>
                    </w:rPr>
                    <w:t>ith</w:t>
                  </w:r>
                  <w:r>
                    <w:rPr>
                      <w:rFonts w:ascii="Times New Roman"/>
                      <w:spacing w:val="3"/>
                      <w:sz w:val="11"/>
                    </w:rPr>
                    <w:t> </w:t>
                  </w:r>
                  <w:r>
                    <w:rPr>
                      <w:rFonts w:ascii="Times New Roman"/>
                      <w:w w:val="106"/>
                      <w:sz w:val="11"/>
                    </w:rPr>
                    <w:t>s</w:t>
                  </w:r>
                  <w:r>
                    <w:rPr>
                      <w:rFonts w:ascii="Times New Roman"/>
                      <w:spacing w:val="1"/>
                      <w:w w:val="106"/>
                      <w:sz w:val="11"/>
                    </w:rPr>
                    <w:t>o</w:t>
                  </w:r>
                  <w:r>
                    <w:rPr>
                      <w:rFonts w:ascii="Times New Roman"/>
                      <w:w w:val="106"/>
                      <w:sz w:val="11"/>
                    </w:rPr>
                    <w:t>r</w:t>
                  </w:r>
                  <w:r>
                    <w:rPr>
                      <w:rFonts w:ascii="Times New Roman"/>
                      <w:spacing w:val="1"/>
                      <w:w w:val="106"/>
                      <w:sz w:val="11"/>
                    </w:rPr>
                    <w:t>gh</w:t>
                  </w:r>
                  <w:r>
                    <w:rPr>
                      <w:rFonts w:ascii="Times New Roman"/>
                      <w:w w:val="106"/>
                      <w:sz w:val="11"/>
                    </w:rPr>
                    <w:t>um</w:t>
                  </w:r>
                  <w:r>
                    <w:rPr>
                      <w:rFonts w:ascii="Times New Roman"/>
                      <w:spacing w:val="2"/>
                      <w:sz w:val="11"/>
                    </w:rPr>
                    <w:t> </w:t>
                  </w:r>
                  <w:r>
                    <w:rPr>
                      <w:rFonts w:ascii="Times New Roman"/>
                      <w:spacing w:val="5"/>
                      <w:w w:val="106"/>
                      <w:sz w:val="11"/>
                    </w:rPr>
                    <w:t>(</w:t>
                  </w:r>
                  <w:r>
                    <w:rPr>
                      <w:rFonts w:ascii="Times New Roman"/>
                      <w:w w:val="106"/>
                      <w:sz w:val="11"/>
                    </w:rPr>
                    <w:t>mL/g</w:t>
                  </w:r>
                  <w:r>
                    <w:rPr>
                      <w:rFonts w:ascii="Times New Roman"/>
                      <w:spacing w:val="1"/>
                      <w:sz w:val="11"/>
                    </w:rPr>
                    <w:t> </w:t>
                  </w:r>
                  <w:r>
                    <w:rPr>
                      <w:rFonts w:ascii="Times New Roman"/>
                      <w:spacing w:val="1"/>
                      <w:w w:val="106"/>
                      <w:sz w:val="11"/>
                    </w:rPr>
                    <w:t>s</w:t>
                  </w:r>
                  <w:r>
                    <w:rPr>
                      <w:rFonts w:ascii="Times New Roman"/>
                      <w:w w:val="106"/>
                      <w:sz w:val="11"/>
                    </w:rPr>
                    <w:t>u</w:t>
                  </w:r>
                  <w:r>
                    <w:rPr>
                      <w:rFonts w:ascii="Times New Roman"/>
                      <w:spacing w:val="1"/>
                      <w:w w:val="106"/>
                      <w:sz w:val="11"/>
                    </w:rPr>
                    <w:t>b</w:t>
                  </w:r>
                  <w:r>
                    <w:rPr>
                      <w:rFonts w:ascii="Times New Roman"/>
                      <w:spacing w:val="1"/>
                      <w:w w:val="106"/>
                      <w:sz w:val="11"/>
                    </w:rPr>
                    <w:t>s</w:t>
                  </w:r>
                  <w:r>
                    <w:rPr>
                      <w:rFonts w:ascii="Times New Roman"/>
                      <w:w w:val="106"/>
                      <w:sz w:val="11"/>
                    </w:rPr>
                    <w:t>tra</w:t>
                  </w:r>
                  <w:r>
                    <w:rPr>
                      <w:rFonts w:ascii="Times New Roman"/>
                      <w:spacing w:val="1"/>
                      <w:w w:val="106"/>
                      <w:sz w:val="11"/>
                    </w:rPr>
                    <w:t>t</w:t>
                  </w:r>
                  <w:r>
                    <w:rPr>
                      <w:rFonts w:ascii="Times New Roman"/>
                      <w:w w:val="106"/>
                      <w:sz w:val="11"/>
                    </w:rPr>
                    <w:t>e)</w:t>
                  </w:r>
                </w:p>
              </w:txbxContent>
            </v:textbox>
            <w10:wrap type="none"/>
          </v:shape>
        </w:pict>
      </w:r>
      <w:r>
        <w:rPr>
          <w:rFonts w:ascii="Times New Roman"/>
          <w:w w:val="105"/>
          <w:position w:val="-1"/>
          <w:sz w:val="11"/>
        </w:rPr>
        <w:t>(a) </w:t>
      </w:r>
      <w:r>
        <w:rPr>
          <w:rFonts w:ascii="Times New Roman"/>
          <w:w w:val="105"/>
          <w:sz w:val="11"/>
        </w:rPr>
        <w:t>200 175 150</w:t>
      </w:r>
    </w:p>
    <w:p>
      <w:pPr>
        <w:spacing w:before="17"/>
        <w:ind w:left="0" w:right="0" w:firstLine="0"/>
        <w:jc w:val="right"/>
        <w:rPr>
          <w:rFonts w:ascii="Times New Roman"/>
          <w:sz w:val="11"/>
        </w:rPr>
      </w:pPr>
      <w:r>
        <w:rPr>
          <w:rFonts w:ascii="Times New Roman"/>
          <w:w w:val="105"/>
          <w:sz w:val="11"/>
        </w:rPr>
        <w:t>125</w:t>
      </w:r>
    </w:p>
    <w:p>
      <w:pPr>
        <w:pStyle w:val="BodyText"/>
        <w:rPr>
          <w:rFonts w:ascii="Times New Roman"/>
          <w:sz w:val="14"/>
        </w:rPr>
      </w:pPr>
    </w:p>
    <w:p>
      <w:pPr>
        <w:spacing w:before="0"/>
        <w:ind w:left="0" w:right="0" w:firstLine="0"/>
        <w:jc w:val="right"/>
        <w:rPr>
          <w:rFonts w:ascii="Times New Roman"/>
          <w:sz w:val="11"/>
        </w:rPr>
      </w:pPr>
      <w:r>
        <w:rPr>
          <w:rFonts w:ascii="Times New Roman"/>
          <w:w w:val="105"/>
          <w:sz w:val="11"/>
        </w:rPr>
        <w:t>100</w:t>
      </w:r>
    </w:p>
    <w:p>
      <w:pPr>
        <w:pStyle w:val="BodyText"/>
        <w:spacing w:before="4"/>
        <w:rPr>
          <w:rFonts w:ascii="Times New Roman"/>
          <w:sz w:val="14"/>
        </w:rPr>
      </w:pPr>
    </w:p>
    <w:p>
      <w:pPr>
        <w:spacing w:before="0"/>
        <w:ind w:left="0" w:right="0" w:firstLine="0"/>
        <w:jc w:val="right"/>
        <w:rPr>
          <w:rFonts w:ascii="Times New Roman"/>
          <w:sz w:val="11"/>
        </w:rPr>
      </w:pPr>
      <w:r>
        <w:rPr>
          <w:rFonts w:ascii="Times New Roman"/>
          <w:w w:val="105"/>
          <w:sz w:val="11"/>
        </w:rPr>
        <w:t>75</w:t>
      </w:r>
    </w:p>
    <w:p>
      <w:pPr>
        <w:pStyle w:val="BodyText"/>
        <w:spacing w:before="8"/>
        <w:rPr>
          <w:rFonts w:ascii="Times New Roman"/>
          <w:sz w:val="12"/>
        </w:rPr>
      </w:pPr>
    </w:p>
    <w:p>
      <w:pPr>
        <w:spacing w:before="0"/>
        <w:ind w:left="0" w:right="0" w:firstLine="0"/>
        <w:jc w:val="right"/>
        <w:rPr>
          <w:rFonts w:ascii="Times New Roman"/>
          <w:sz w:val="11"/>
        </w:rPr>
      </w:pPr>
      <w:r>
        <w:rPr>
          <w:rFonts w:ascii="Times New Roman"/>
          <w:w w:val="105"/>
          <w:sz w:val="11"/>
        </w:rPr>
        <w:t>50</w:t>
      </w:r>
    </w:p>
    <w:p>
      <w:pPr>
        <w:pStyle w:val="BodyText"/>
        <w:spacing w:before="7"/>
        <w:rPr>
          <w:rFonts w:ascii="Times New Roman"/>
          <w:sz w:val="12"/>
        </w:rPr>
      </w:pPr>
    </w:p>
    <w:p>
      <w:pPr>
        <w:spacing w:before="0"/>
        <w:ind w:left="0" w:right="0" w:firstLine="0"/>
        <w:jc w:val="right"/>
        <w:rPr>
          <w:rFonts w:ascii="Times New Roman"/>
          <w:sz w:val="11"/>
        </w:rPr>
      </w:pPr>
      <w:r>
        <w:rPr>
          <w:rFonts w:ascii="Times New Roman"/>
          <w:w w:val="105"/>
          <w:sz w:val="11"/>
        </w:rPr>
        <w:t>25</w:t>
      </w:r>
    </w:p>
    <w:p>
      <w:pPr>
        <w:pStyle w:val="BodyText"/>
        <w:spacing w:before="6"/>
        <w:rPr>
          <w:rFonts w:ascii="Times New Roman"/>
          <w:sz w:val="16"/>
        </w:rPr>
      </w:pPr>
    </w:p>
    <w:p>
      <w:pPr>
        <w:spacing w:before="1"/>
        <w:ind w:left="0" w:right="0" w:firstLine="0"/>
        <w:jc w:val="right"/>
        <w:rPr>
          <w:rFonts w:ascii="Times New Roman"/>
          <w:sz w:val="11"/>
        </w:rPr>
      </w:pPr>
      <w:r>
        <w:rPr>
          <w:rFonts w:ascii="Times New Roman"/>
          <w:w w:val="106"/>
          <w:sz w:val="11"/>
        </w:rPr>
        <w:t>0</w:t>
      </w:r>
    </w:p>
    <w:p>
      <w:pPr>
        <w:spacing w:line="480" w:lineRule="auto" w:before="27"/>
        <w:ind w:left="5058" w:right="3" w:hanging="256"/>
        <w:jc w:val="right"/>
        <w:rPr>
          <w:rFonts w:ascii="Times New Roman"/>
          <w:sz w:val="11"/>
        </w:rPr>
      </w:pPr>
      <w:r>
        <w:rPr/>
        <w:pict>
          <v:shape style="position:absolute;margin-left:305.023895pt;margin-top:19.943098pt;width:14.8pt;height:85.7pt;mso-position-horizontal-relative:page;mso-position-vertical-relative:paragraph;z-index:-328984" type="#_x0000_t202" filled="false" stroked="false">
            <v:textbox inset="0,0,0,0" style="layout-flow:vertical;mso-layout-flow-alt:bottom-to-top">
              <w:txbxContent>
                <w:p>
                  <w:pPr>
                    <w:spacing w:line="261" w:lineRule="auto" w:before="11"/>
                    <w:ind w:left="243" w:right="18" w:hanging="224"/>
                    <w:jc w:val="left"/>
                    <w:rPr>
                      <w:rFonts w:ascii="Times New Roman"/>
                      <w:sz w:val="11"/>
                    </w:rPr>
                  </w:pPr>
                  <w:r>
                    <w:rPr>
                      <w:rFonts w:ascii="Times New Roman"/>
                      <w:spacing w:val="2"/>
                      <w:w w:val="106"/>
                      <w:sz w:val="11"/>
                    </w:rPr>
                    <w:t>G</w:t>
                  </w:r>
                  <w:r>
                    <w:rPr>
                      <w:rFonts w:ascii="Times New Roman"/>
                      <w:spacing w:val="1"/>
                      <w:w w:val="106"/>
                      <w:sz w:val="11"/>
                    </w:rPr>
                    <w:t>a</w:t>
                  </w:r>
                  <w:r>
                    <w:rPr>
                      <w:rFonts w:ascii="Times New Roman"/>
                      <w:w w:val="106"/>
                      <w:sz w:val="11"/>
                    </w:rPr>
                    <w:t>s</w:t>
                  </w:r>
                  <w:r>
                    <w:rPr>
                      <w:rFonts w:ascii="Times New Roman"/>
                      <w:spacing w:val="3"/>
                      <w:sz w:val="11"/>
                    </w:rPr>
                    <w:t> </w:t>
                  </w:r>
                  <w:r>
                    <w:rPr>
                      <w:rFonts w:ascii="Times New Roman"/>
                      <w:spacing w:val="1"/>
                      <w:w w:val="106"/>
                      <w:sz w:val="11"/>
                    </w:rPr>
                    <w:t>produc</w:t>
                  </w:r>
                  <w:r>
                    <w:rPr>
                      <w:rFonts w:ascii="Times New Roman"/>
                      <w:w w:val="106"/>
                      <w:sz w:val="11"/>
                    </w:rPr>
                    <w:t>t</w:t>
                  </w:r>
                  <w:r>
                    <w:rPr>
                      <w:rFonts w:ascii="Times New Roman"/>
                      <w:spacing w:val="1"/>
                      <w:w w:val="106"/>
                      <w:sz w:val="11"/>
                    </w:rPr>
                    <w:t>io</w:t>
                  </w:r>
                  <w:r>
                    <w:rPr>
                      <w:rFonts w:ascii="Times New Roman"/>
                      <w:w w:val="106"/>
                      <w:sz w:val="11"/>
                    </w:rPr>
                    <w:t>n</w:t>
                  </w:r>
                  <w:r>
                    <w:rPr>
                      <w:rFonts w:ascii="Times New Roman"/>
                      <w:spacing w:val="3"/>
                      <w:sz w:val="11"/>
                    </w:rPr>
                    <w:t> </w:t>
                  </w:r>
                  <w:r>
                    <w:rPr>
                      <w:rFonts w:ascii="Times New Roman"/>
                      <w:spacing w:val="1"/>
                      <w:w w:val="106"/>
                      <w:sz w:val="11"/>
                    </w:rPr>
                    <w:t>o</w:t>
                  </w:r>
                  <w:r>
                    <w:rPr>
                      <w:rFonts w:ascii="Times New Roman"/>
                      <w:w w:val="106"/>
                      <w:sz w:val="11"/>
                    </w:rPr>
                    <w:t>f</w:t>
                  </w:r>
                  <w:r>
                    <w:rPr>
                      <w:rFonts w:ascii="Times New Roman"/>
                      <w:spacing w:val="-1"/>
                      <w:sz w:val="11"/>
                    </w:rPr>
                    <w:t> </w:t>
                  </w:r>
                  <w:r>
                    <w:rPr>
                      <w:rFonts w:ascii="Times New Roman"/>
                      <w:w w:val="106"/>
                      <w:sz w:val="11"/>
                    </w:rPr>
                    <w:t>c</w:t>
                  </w:r>
                  <w:r>
                    <w:rPr>
                      <w:rFonts w:ascii="Times New Roman"/>
                      <w:spacing w:val="1"/>
                      <w:w w:val="106"/>
                      <w:sz w:val="11"/>
                    </w:rPr>
                    <w:t>a</w:t>
                  </w:r>
                  <w:r>
                    <w:rPr>
                      <w:rFonts w:ascii="Times New Roman"/>
                      <w:w w:val="106"/>
                      <w:sz w:val="11"/>
                    </w:rPr>
                    <w:t>nola</w:t>
                  </w:r>
                  <w:r>
                    <w:rPr>
                      <w:rFonts w:ascii="Times New Roman"/>
                      <w:spacing w:val="2"/>
                      <w:sz w:val="11"/>
                    </w:rPr>
                    <w:t> </w:t>
                  </w:r>
                  <w:r>
                    <w:rPr>
                      <w:rFonts w:ascii="Times New Roman"/>
                      <w:w w:val="106"/>
                      <w:sz w:val="11"/>
                    </w:rPr>
                    <w:t>s</w:t>
                  </w:r>
                  <w:r>
                    <w:rPr>
                      <w:rFonts w:ascii="Times New Roman"/>
                      <w:w w:val="106"/>
                      <w:sz w:val="11"/>
                    </w:rPr>
                    <w:t>e</w:t>
                  </w:r>
                  <w:r>
                    <w:rPr>
                      <w:rFonts w:ascii="Times New Roman"/>
                      <w:spacing w:val="1"/>
                      <w:w w:val="106"/>
                      <w:sz w:val="11"/>
                    </w:rPr>
                    <w:t>e</w:t>
                  </w:r>
                  <w:r>
                    <w:rPr>
                      <w:rFonts w:ascii="Times New Roman"/>
                      <w:w w:val="106"/>
                      <w:sz w:val="11"/>
                    </w:rPr>
                    <w:t>d</w:t>
                  </w:r>
                  <w:r>
                    <w:rPr>
                      <w:rFonts w:ascii="Times New Roman"/>
                      <w:sz w:val="11"/>
                    </w:rPr>
                    <w:t> </w:t>
                  </w:r>
                  <w:r>
                    <w:rPr>
                      <w:rFonts w:ascii="Times New Roman"/>
                      <w:spacing w:val="1"/>
                      <w:w w:val="106"/>
                      <w:sz w:val="11"/>
                    </w:rPr>
                    <w:t>w</w:t>
                  </w:r>
                  <w:r>
                    <w:rPr>
                      <w:rFonts w:ascii="Times New Roman"/>
                      <w:spacing w:val="-1"/>
                      <w:w w:val="106"/>
                      <w:sz w:val="11"/>
                    </w:rPr>
                    <w:t>i</w:t>
                  </w:r>
                  <w:r>
                    <w:rPr>
                      <w:rFonts w:ascii="Times New Roman"/>
                      <w:w w:val="106"/>
                      <w:sz w:val="11"/>
                    </w:rPr>
                    <w:t>th </w:t>
                  </w:r>
                  <w:r>
                    <w:rPr>
                      <w:rFonts w:ascii="Times New Roman"/>
                      <w:spacing w:val="1"/>
                      <w:w w:val="106"/>
                      <w:sz w:val="11"/>
                    </w:rPr>
                    <w:t>s</w:t>
                  </w:r>
                  <w:r>
                    <w:rPr>
                      <w:rFonts w:ascii="Times New Roman"/>
                      <w:w w:val="106"/>
                      <w:sz w:val="11"/>
                    </w:rPr>
                    <w:t>o</w:t>
                  </w:r>
                  <w:r>
                    <w:rPr>
                      <w:rFonts w:ascii="Times New Roman"/>
                      <w:spacing w:val="1"/>
                      <w:w w:val="106"/>
                      <w:sz w:val="11"/>
                    </w:rPr>
                    <w:t>r</w:t>
                  </w:r>
                  <w:r>
                    <w:rPr>
                      <w:rFonts w:ascii="Times New Roman"/>
                      <w:w w:val="106"/>
                      <w:sz w:val="11"/>
                    </w:rPr>
                    <w:t>g</w:t>
                  </w:r>
                  <w:r>
                    <w:rPr>
                      <w:rFonts w:ascii="Times New Roman"/>
                      <w:spacing w:val="1"/>
                      <w:w w:val="106"/>
                      <w:sz w:val="11"/>
                    </w:rPr>
                    <w:t>hu</w:t>
                  </w:r>
                  <w:r>
                    <w:rPr>
                      <w:rFonts w:ascii="Times New Roman"/>
                      <w:w w:val="106"/>
                      <w:sz w:val="11"/>
                    </w:rPr>
                    <w:t>m</w:t>
                  </w:r>
                  <w:r>
                    <w:rPr>
                      <w:rFonts w:ascii="Times New Roman"/>
                      <w:spacing w:val="2"/>
                      <w:sz w:val="11"/>
                    </w:rPr>
                    <w:t> </w:t>
                  </w:r>
                  <w:r>
                    <w:rPr>
                      <w:rFonts w:ascii="Times New Roman"/>
                      <w:spacing w:val="4"/>
                      <w:w w:val="106"/>
                      <w:sz w:val="11"/>
                    </w:rPr>
                    <w:t>(</w:t>
                  </w:r>
                  <w:r>
                    <w:rPr>
                      <w:rFonts w:ascii="Times New Roman"/>
                      <w:spacing w:val="1"/>
                      <w:w w:val="106"/>
                      <w:sz w:val="11"/>
                    </w:rPr>
                    <w:t>m</w:t>
                  </w:r>
                  <w:r>
                    <w:rPr>
                      <w:rFonts w:ascii="Times New Roman"/>
                      <w:w w:val="106"/>
                      <w:sz w:val="11"/>
                    </w:rPr>
                    <w:t>L/g</w:t>
                  </w:r>
                  <w:r>
                    <w:rPr>
                      <w:rFonts w:ascii="Times New Roman"/>
                      <w:spacing w:val="1"/>
                      <w:sz w:val="11"/>
                    </w:rPr>
                    <w:t> </w:t>
                  </w:r>
                  <w:r>
                    <w:rPr>
                      <w:rFonts w:ascii="Times New Roman"/>
                      <w:spacing w:val="-1"/>
                      <w:w w:val="106"/>
                      <w:sz w:val="11"/>
                    </w:rPr>
                    <w:t>s</w:t>
                  </w:r>
                  <w:r>
                    <w:rPr>
                      <w:rFonts w:ascii="Times New Roman"/>
                      <w:spacing w:val="1"/>
                      <w:w w:val="106"/>
                      <w:sz w:val="11"/>
                    </w:rPr>
                    <w:t>ub</w:t>
                  </w:r>
                  <w:r>
                    <w:rPr>
                      <w:rFonts w:ascii="Times New Roman"/>
                      <w:w w:val="106"/>
                      <w:sz w:val="11"/>
                    </w:rPr>
                    <w:t>s</w:t>
                  </w:r>
                  <w:r>
                    <w:rPr>
                      <w:rFonts w:ascii="Times New Roman"/>
                      <w:w w:val="106"/>
                      <w:sz w:val="11"/>
                    </w:rPr>
                    <w:t>t</w:t>
                  </w:r>
                  <w:r>
                    <w:rPr>
                      <w:rFonts w:ascii="Times New Roman"/>
                      <w:spacing w:val="1"/>
                      <w:w w:val="106"/>
                      <w:sz w:val="11"/>
                    </w:rPr>
                    <w:t>r</w:t>
                  </w:r>
                  <w:r>
                    <w:rPr>
                      <w:rFonts w:ascii="Times New Roman"/>
                      <w:w w:val="106"/>
                      <w:sz w:val="11"/>
                    </w:rPr>
                    <w:t>at</w:t>
                  </w:r>
                  <w:r>
                    <w:rPr>
                      <w:rFonts w:ascii="Times New Roman"/>
                      <w:spacing w:val="1"/>
                      <w:w w:val="106"/>
                      <w:sz w:val="11"/>
                    </w:rPr>
                    <w:t>e</w:t>
                  </w:r>
                  <w:r>
                    <w:rPr>
                      <w:rFonts w:ascii="Times New Roman"/>
                      <w:w w:val="106"/>
                      <w:sz w:val="11"/>
                    </w:rPr>
                    <w:t>)</w:t>
                  </w:r>
                </w:p>
              </w:txbxContent>
            </v:textbox>
            <w10:wrap type="none"/>
          </v:shape>
        </w:pict>
      </w:r>
      <w:r>
        <w:rPr>
          <w:rFonts w:ascii="Times New Roman"/>
          <w:w w:val="105"/>
          <w:position w:val="-3"/>
          <w:sz w:val="11"/>
        </w:rPr>
        <w:t>(b) </w:t>
      </w:r>
      <w:r>
        <w:rPr>
          <w:rFonts w:ascii="Times New Roman"/>
          <w:w w:val="105"/>
          <w:sz w:val="11"/>
        </w:rPr>
        <w:t>200</w:t>
      </w:r>
      <w:r>
        <w:rPr>
          <w:rFonts w:ascii="Times New Roman"/>
          <w:w w:val="106"/>
          <w:sz w:val="11"/>
        </w:rPr>
        <w:t> </w:t>
      </w:r>
      <w:r>
        <w:rPr>
          <w:rFonts w:ascii="Times New Roman"/>
          <w:w w:val="105"/>
          <w:sz w:val="11"/>
        </w:rPr>
        <w:t>175</w:t>
      </w:r>
    </w:p>
    <w:p>
      <w:pPr>
        <w:spacing w:before="23"/>
        <w:ind w:left="0" w:right="3" w:firstLine="0"/>
        <w:jc w:val="right"/>
        <w:rPr>
          <w:rFonts w:ascii="Times New Roman"/>
          <w:sz w:val="11"/>
        </w:rPr>
      </w:pPr>
      <w:r>
        <w:rPr>
          <w:rFonts w:ascii="Times New Roman"/>
          <w:w w:val="105"/>
          <w:sz w:val="11"/>
        </w:rPr>
        <w:t>150</w:t>
      </w:r>
    </w:p>
    <w:p>
      <w:pPr>
        <w:pStyle w:val="BodyText"/>
        <w:spacing w:before="4"/>
        <w:rPr>
          <w:rFonts w:ascii="Times New Roman"/>
          <w:sz w:val="14"/>
        </w:rPr>
      </w:pPr>
    </w:p>
    <w:p>
      <w:pPr>
        <w:spacing w:before="0"/>
        <w:ind w:left="0" w:right="3" w:firstLine="0"/>
        <w:jc w:val="right"/>
        <w:rPr>
          <w:rFonts w:ascii="Times New Roman"/>
          <w:sz w:val="11"/>
        </w:rPr>
      </w:pPr>
      <w:r>
        <w:rPr>
          <w:rFonts w:ascii="Times New Roman"/>
          <w:w w:val="105"/>
          <w:sz w:val="11"/>
        </w:rPr>
        <w:t>125</w:t>
      </w:r>
    </w:p>
    <w:p>
      <w:pPr>
        <w:pStyle w:val="BodyText"/>
        <w:spacing w:before="5"/>
        <w:rPr>
          <w:rFonts w:ascii="Times New Roman"/>
          <w:sz w:val="14"/>
        </w:rPr>
      </w:pPr>
    </w:p>
    <w:p>
      <w:pPr>
        <w:spacing w:before="1"/>
        <w:ind w:left="0" w:right="3" w:firstLine="0"/>
        <w:jc w:val="right"/>
        <w:rPr>
          <w:rFonts w:ascii="Times New Roman"/>
          <w:sz w:val="11"/>
        </w:rPr>
      </w:pPr>
      <w:r>
        <w:rPr>
          <w:rFonts w:ascii="Times New Roman"/>
          <w:w w:val="105"/>
          <w:sz w:val="11"/>
        </w:rPr>
        <w:t>100</w:t>
      </w:r>
    </w:p>
    <w:p>
      <w:pPr>
        <w:pStyle w:val="BodyText"/>
        <w:spacing w:before="7"/>
        <w:rPr>
          <w:rFonts w:ascii="Times New Roman"/>
          <w:sz w:val="12"/>
        </w:rPr>
      </w:pPr>
    </w:p>
    <w:p>
      <w:pPr>
        <w:spacing w:before="0"/>
        <w:ind w:left="0" w:right="5" w:firstLine="0"/>
        <w:jc w:val="right"/>
        <w:rPr>
          <w:rFonts w:ascii="Times New Roman"/>
          <w:sz w:val="11"/>
        </w:rPr>
      </w:pPr>
      <w:r>
        <w:rPr>
          <w:rFonts w:ascii="Times New Roman"/>
          <w:w w:val="105"/>
          <w:sz w:val="11"/>
        </w:rPr>
        <w:t>75</w:t>
      </w:r>
    </w:p>
    <w:p>
      <w:pPr>
        <w:pStyle w:val="BodyText"/>
        <w:spacing w:before="5"/>
        <w:rPr>
          <w:rFonts w:ascii="Times New Roman"/>
          <w:sz w:val="14"/>
        </w:rPr>
      </w:pPr>
    </w:p>
    <w:p>
      <w:pPr>
        <w:spacing w:before="1"/>
        <w:ind w:left="0" w:right="5" w:firstLine="0"/>
        <w:jc w:val="right"/>
        <w:rPr>
          <w:rFonts w:ascii="Times New Roman"/>
          <w:sz w:val="11"/>
        </w:rPr>
      </w:pPr>
      <w:r>
        <w:rPr>
          <w:rFonts w:ascii="Times New Roman"/>
          <w:w w:val="105"/>
          <w:sz w:val="11"/>
        </w:rPr>
        <w:t>50</w:t>
      </w:r>
    </w:p>
    <w:p>
      <w:pPr>
        <w:pStyle w:val="BodyText"/>
        <w:spacing w:before="4"/>
        <w:rPr>
          <w:rFonts w:ascii="Times New Roman"/>
          <w:sz w:val="14"/>
        </w:rPr>
      </w:pPr>
    </w:p>
    <w:p>
      <w:pPr>
        <w:spacing w:before="0"/>
        <w:ind w:left="0" w:right="5" w:firstLine="0"/>
        <w:jc w:val="right"/>
        <w:rPr>
          <w:rFonts w:ascii="Times New Roman"/>
          <w:sz w:val="11"/>
        </w:rPr>
      </w:pPr>
      <w:r>
        <w:rPr>
          <w:rFonts w:ascii="Times New Roman"/>
          <w:w w:val="105"/>
          <w:sz w:val="11"/>
        </w:rPr>
        <w:t>25</w:t>
      </w:r>
    </w:p>
    <w:p>
      <w:pPr>
        <w:pStyle w:val="BodyText"/>
        <w:spacing w:before="4"/>
        <w:rPr>
          <w:rFonts w:ascii="Times New Roman"/>
          <w:sz w:val="14"/>
        </w:rPr>
      </w:pPr>
    </w:p>
    <w:p>
      <w:pPr>
        <w:spacing w:before="0"/>
        <w:ind w:left="0" w:right="1" w:firstLine="0"/>
        <w:jc w:val="right"/>
        <w:rPr>
          <w:rFonts w:ascii="Times New Roman"/>
          <w:sz w:val="11"/>
        </w:rPr>
      </w:pPr>
      <w:r>
        <w:rPr>
          <w:rFonts w:ascii="Times New Roman"/>
          <w:w w:val="106"/>
          <w:sz w:val="11"/>
        </w:rPr>
        <w:t>0</w:t>
      </w:r>
    </w:p>
    <w:p>
      <w:pPr>
        <w:pStyle w:val="BodyText"/>
        <w:spacing w:before="5"/>
        <w:rPr>
          <w:rFonts w:ascii="Times New Roman"/>
          <w:sz w:val="16"/>
        </w:rPr>
      </w:pPr>
      <w:r>
        <w:rPr/>
        <w:br w:type="column"/>
      </w:r>
      <w:r>
        <w:rPr>
          <w:rFonts w:ascii="Times New Roman"/>
          <w:sz w:val="16"/>
        </w:rPr>
      </w:r>
    </w:p>
    <w:p>
      <w:pPr>
        <w:spacing w:line="259" w:lineRule="auto" w:before="1"/>
        <w:ind w:left="385" w:right="4826" w:firstLine="0"/>
        <w:jc w:val="both"/>
        <w:rPr>
          <w:rFonts w:ascii="Times New Roman"/>
          <w:sz w:val="11"/>
        </w:rPr>
      </w:pPr>
      <w:r>
        <w:rPr>
          <w:rFonts w:ascii="Times New Roman"/>
          <w:w w:val="105"/>
          <w:sz w:val="11"/>
        </w:rPr>
        <w:t>SFM1 SFM2 SFM3 SFM4 SFM5</w: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spacing w:line="259" w:lineRule="auto" w:before="106"/>
        <w:ind w:left="409" w:right="4826" w:firstLine="0"/>
        <w:jc w:val="both"/>
        <w:rPr>
          <w:rFonts w:ascii="Times New Roman"/>
          <w:sz w:val="11"/>
        </w:rPr>
      </w:pPr>
      <w:r>
        <w:rPr>
          <w:rFonts w:ascii="Times New Roman"/>
          <w:w w:val="105"/>
          <w:sz w:val="11"/>
        </w:rPr>
        <w:t>CAS1 CAS2 CAS3 CAS4 CAS5</w: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3"/>
        </w:rPr>
      </w:pPr>
    </w:p>
    <w:p>
      <w:pPr>
        <w:tabs>
          <w:tab w:pos="359" w:val="left" w:leader="none"/>
          <w:tab w:pos="774" w:val="left" w:leader="none"/>
          <w:tab w:pos="1160" w:val="left" w:leader="none"/>
          <w:tab w:pos="1574" w:val="left" w:leader="none"/>
          <w:tab w:pos="1959" w:val="left" w:leader="none"/>
          <w:tab w:pos="2374" w:val="left" w:leader="none"/>
          <w:tab w:pos="2759" w:val="left" w:leader="none"/>
        </w:tabs>
        <w:spacing w:before="0"/>
        <w:ind w:left="3" w:right="0" w:firstLine="0"/>
        <w:jc w:val="left"/>
        <w:rPr>
          <w:rFonts w:ascii="Times New Roman"/>
          <w:sz w:val="11"/>
        </w:rPr>
      </w:pPr>
      <w:r>
        <w:rPr>
          <w:rFonts w:ascii="Times New Roman"/>
          <w:w w:val="105"/>
          <w:sz w:val="11"/>
        </w:rPr>
        <w:t>0</w:t>
        <w:tab/>
        <w:t>10</w:t>
        <w:tab/>
        <w:t>20</w:t>
        <w:tab/>
        <w:t>30</w:t>
        <w:tab/>
        <w:t>40</w:t>
        <w:tab/>
        <w:t>50</w:t>
        <w:tab/>
        <w:t>60</w:t>
        <w:tab/>
        <w:t>70</w:t>
      </w:r>
    </w:p>
    <w:p>
      <w:pPr>
        <w:spacing w:before="69"/>
        <w:ind w:left="1085" w:right="0" w:firstLine="0"/>
        <w:jc w:val="left"/>
        <w:rPr>
          <w:rFonts w:ascii="Times New Roman"/>
          <w:sz w:val="11"/>
        </w:rPr>
      </w:pPr>
      <w:r>
        <w:rPr>
          <w:rFonts w:ascii="Times New Roman"/>
          <w:w w:val="105"/>
          <w:sz w:val="11"/>
        </w:rPr>
        <w:t>Fermentation time (h)</w:t>
      </w:r>
    </w:p>
    <w:p>
      <w:pPr>
        <w:spacing w:after="0"/>
        <w:jc w:val="left"/>
        <w:rPr>
          <w:rFonts w:ascii="Times New Roman"/>
          <w:sz w:val="11"/>
        </w:rPr>
        <w:sectPr>
          <w:type w:val="continuous"/>
          <w:pgSz w:w="12240" w:h="15840"/>
          <w:pgMar w:top="3080" w:bottom="2780" w:left="1440" w:right="0"/>
          <w:cols w:num="2" w:equalWidth="0">
            <w:col w:w="5240" w:space="40"/>
            <w:col w:w="5520"/>
          </w:cols>
        </w:sectPr>
      </w:pPr>
    </w:p>
    <w:p>
      <w:pPr>
        <w:rPr>
          <w:sz w:val="2"/>
          <w:szCs w:val="2"/>
        </w:rPr>
      </w:pPr>
      <w:r>
        <w:rPr/>
        <w:pict>
          <v:group style="position:absolute;margin-left:85.069992pt;margin-top:81.748299pt;width:424.85pt;height:602.65pt;mso-position-horizontal-relative:page;mso-position-vertical-relative:page;z-index:-329008" coordorigin="1701,1635" coordsize="8497,12053">
            <v:shape style="position:absolute;left:1701;top:1635;width:8496;height:12052" type="#_x0000_t75" stroked="false">
              <v:imagedata r:id="rId72" o:title=""/>
            </v:shape>
            <v:shape style="position:absolute;left:6702;top:2460;width:3065;height:2373" type="#_x0000_t75" stroked="false">
              <v:imagedata r:id="rId73" o:title=""/>
            </v:shape>
            <v:shape style="position:absolute;left:6702;top:4935;width:3065;height:2348" type="#_x0000_t75" stroked="false">
              <v:imagedata r:id="rId74" o:title=""/>
            </v:shape>
            <v:rect style="position:absolute;left:6808;top:2460;width:658;height:743" filled="true" fillcolor="#ffffff" stroked="false">
              <v:fill type="solid"/>
            </v:rect>
            <v:shape style="position:absolute;left:6831;top:2525;width:257;height:617" type="#_x0000_t75" stroked="false">
              <v:imagedata r:id="rId75" o:title=""/>
            </v:shape>
            <v:rect style="position:absolute;left:6808;top:4909;width:687;height:744" filled="true" fillcolor="#ffffff" stroked="false">
              <v:fill type="solid"/>
            </v:rect>
            <v:shape style="position:absolute;left:6856;top:4980;width:256;height:613" type="#_x0000_t75" stroked="false">
              <v:imagedata r:id="rId75" o:title=""/>
            </v:shape>
            <w10:wrap type="none"/>
          </v:group>
        </w:pict>
      </w:r>
    </w:p>
    <w:p>
      <w:pPr>
        <w:spacing w:after="0"/>
        <w:rPr>
          <w:sz w:val="2"/>
          <w:szCs w:val="2"/>
        </w:rPr>
        <w:sectPr>
          <w:type w:val="continuous"/>
          <w:pgSz w:w="12240" w:h="15840"/>
          <w:pgMar w:top="3080" w:bottom="2780" w:left="1440" w:right="0"/>
        </w:sectPr>
      </w:pPr>
    </w:p>
    <w:p>
      <w:pPr>
        <w:pStyle w:val="BodyText"/>
        <w:spacing w:before="7"/>
        <w:rPr>
          <w:rFonts w:ascii="Times New Roman"/>
          <w:sz w:val="21"/>
        </w:rPr>
      </w:pPr>
    </w:p>
    <w:p>
      <w:pPr>
        <w:pStyle w:val="BodyText"/>
        <w:ind w:left="261"/>
        <w:rPr>
          <w:rFonts w:ascii="Times New Roman"/>
          <w:sz w:val="20"/>
        </w:rPr>
      </w:pPr>
      <w:r>
        <w:rPr>
          <w:rFonts w:ascii="Times New Roman"/>
          <w:sz w:val="20"/>
        </w:rPr>
        <w:drawing>
          <wp:inline distT="0" distB="0" distL="0" distR="0">
            <wp:extent cx="5386678" cy="7242048"/>
            <wp:effectExtent l="0" t="0" r="0" b="0"/>
            <wp:docPr id="77" name="image40.jpeg" descr=""/>
            <wp:cNvGraphicFramePr>
              <a:graphicFrameLocks noChangeAspect="1"/>
            </wp:cNvGraphicFramePr>
            <a:graphic>
              <a:graphicData uri="http://schemas.openxmlformats.org/drawingml/2006/picture">
                <pic:pic>
                  <pic:nvPicPr>
                    <pic:cNvPr id="78" name="image40.jpeg"/>
                    <pic:cNvPicPr/>
                  </pic:nvPicPr>
                  <pic:blipFill>
                    <a:blip r:embed="rId76" cstate="print"/>
                    <a:stretch>
                      <a:fillRect/>
                    </a:stretch>
                  </pic:blipFill>
                  <pic:spPr>
                    <a:xfrm>
                      <a:off x="0" y="0"/>
                      <a:ext cx="5386678" cy="724204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before="1"/>
        <w:rPr>
          <w:rFonts w:ascii="Times New Roman"/>
          <w:sz w:val="22"/>
        </w:rPr>
      </w:pPr>
    </w:p>
    <w:p>
      <w:pPr>
        <w:pStyle w:val="BodyText"/>
        <w:ind w:left="261"/>
        <w:rPr>
          <w:rFonts w:ascii="Times New Roman"/>
          <w:sz w:val="20"/>
        </w:rPr>
      </w:pPr>
      <w:r>
        <w:rPr>
          <w:rFonts w:ascii="Times New Roman"/>
          <w:sz w:val="20"/>
        </w:rPr>
        <w:pict>
          <v:group style="width:425.1pt;height:608.9pt;mso-position-horizontal-relative:char;mso-position-vertical-relative:line" coordorigin="0,0" coordsize="8502,12178">
            <v:shape style="position:absolute;left:0;top:0;width:8501;height:12178" type="#_x0000_t75" stroked="false">
              <v:imagedata r:id="rId77" o:title=""/>
            </v:shape>
            <v:shape style="position:absolute;left:6492;top:5550;width:56;height:84" coordorigin="6492,5550" coordsize="56,84" path="m6534,5611l6524,5611,6524,5634,6534,5634,6534,5611xm6534,5550l6527,5550,6492,5604,6492,5611,6547,5611,6547,5604,6497,5604,6524,5563,6534,5563,6534,5550xm6534,5563l6524,5563,6524,5604,6534,5604,6534,5563xe" filled="true" fillcolor="#0000ff" stroked="false">
              <v:path arrowok="t"/>
              <v:fill type="solid"/>
            </v:shape>
            <v:shape style="position:absolute;left:6557;top:5550;width:46;height:85" coordorigin="6557,5550" coordsize="46,85" path="m6565,5625l6557,5625,6557,5631,6559,5634,6562,5634,6567,5635,6571,5635,6577,5634,6585,5631,6589,5629,6569,5629,6565,5625xm6593,5558l6581,5558,6582,5563,6588,5563,6588,5564,6589,5568,6589,5578,6588,5583,6582,5584,6582,5587,6579,5588,6577,5591,6569,5591,6569,5593,6572,5593,6577,5594,6581,5594,6585,5598,6588,5598,6589,5601,6593,5608,6593,5621,6589,5624,6589,5625,6588,5627,6582,5629,6589,5629,6595,5625,6599,5621,6602,5615,6603,5611,6603,5603,6599,5594,6593,5588,6589,5587,6588,5584,6593,5583,6598,5577,6598,5573,6599,5568,6599,5564,6593,5558xm6582,5550l6575,5550,6567,5554,6565,5554,6562,5558,6561,5560,6557,5568,6559,5568,6567,5560,6571,5558,6593,5558,6592,5554,6582,5550xe" filled="true" fillcolor="#0000ff" stroked="false">
              <v:path arrowok="t"/>
              <v:fill type="solid"/>
            </v:shape>
            <v:shape style="position:absolute;left:6618;top:5550;width:52;height:85" coordorigin="6618,5550" coordsize="52,85" path="m6640,5554l6632,5554,6629,5558,6623,5564,6622,5568,6619,5574,6619,5581,6618,5587,6618,5601,6619,5608,6623,5621,6628,5627,6633,5631,6639,5634,6644,5635,6646,5635,6649,5634,6652,5631,6644,5631,6640,5629,6636,5629,6633,5625,6633,5621,6632,5617,6629,5608,6629,5568,6633,5560,6640,5554xm6644,5550l6640,5550,6639,5553,6633,5554,6649,5554,6650,5556,6650,5558,6654,5560,6654,5567,6656,5573,6656,5577,6659,5583,6659,5598,6656,5604,6656,5614,6654,5619,6654,5625,6650,5627,6650,5629,6646,5629,6644,5631,6652,5631,6654,5629,6656,5627,6660,5625,6664,5621,6666,5615,6666,5611,6670,5598,6670,5591,6664,5567,6660,5560,6652,5553,6646,5553,6644,5550xe" filled="true" fillcolor="#0000ff" stroked="false">
              <v:path arrowok="t"/>
              <v:fill type="solid"/>
            </v:shape>
            <v:shape style="position:absolute;left:6492;top:5806;width:56;height:83" coordorigin="6492,5806" coordsize="56,83" path="m6534,5867l6524,5867,6524,5888,6534,5888,6534,5867xm6534,5806l6527,5806,6492,5860,6492,5867,6547,5867,6547,5858,6497,5858,6524,5818,6534,5818,6534,5806xm6534,5818l6524,5818,6524,5858,6534,5858,6534,5818xe" filled="true" fillcolor="#0000ff" stroked="false">
              <v:path arrowok="t"/>
              <v:fill type="solid"/>
            </v:shape>
            <v:shape style="position:absolute;left:6552;top:5806;width:56;height:83" coordorigin="6552,5806" coordsize="56,83" path="m6598,5813l6579,5813,6582,5816,6589,5821,6592,5826,6593,5828,6593,5831,6589,5844,6588,5848,6582,5854,6579,5862,6562,5878,6552,5887,6552,5888,6602,5888,6606,5878,6565,5878,6589,5854,6593,5848,6598,5844,6599,5840,6599,5838,6603,5830,6603,5824,6602,5818,6598,5813xm6608,5872l6606,5872,6599,5878,6606,5878,6608,5872xm6588,5806l6571,5806,6567,5807,6562,5811,6561,5816,6557,5818,6557,5821,6555,5828,6557,5828,6557,5826,6561,5821,6561,5820,6562,5818,6567,5816,6569,5816,6572,5813,6598,5813,6592,5807,6588,5806xe" filled="true" fillcolor="#0000ff" stroked="false">
              <v:path arrowok="t"/>
              <v:fill type="solid"/>
            </v:shape>
            <v:shape style="position:absolute;left:6618;top:5806;width:52;height:83" coordorigin="6618,5806" coordsize="52,83" path="m6646,5806l6639,5806,6633,5807,6629,5811,6628,5816,6623,5818,6622,5824,6619,5828,6619,5836,6618,5841,6618,5854,6623,5877,6628,5882,6633,5885,6639,5888,6649,5888,6652,5885,6640,5885,6636,5882,6633,5881,6633,5877,6632,5872,6629,5864,6629,5821,6632,5818,6633,5816,6636,5811,6639,5811,6642,5807,6652,5807,6646,5806xm6652,5807l6644,5807,6646,5810,6649,5810,6654,5816,6654,5821,6656,5826,6656,5831,6659,5838,6659,5851,6656,5860,6656,5868,6654,5872,6654,5878,6649,5885,6654,5885,6664,5875,6666,5871,6666,5864,6669,5860,6670,5854,6670,5847,6669,5838,6666,5828,6664,5821,6660,5816,6652,5807xe" filled="true" fillcolor="#0000ff" stroked="false">
              <v:path arrowok="t"/>
              <v:fill type="solid"/>
            </v:shape>
            <v:shape style="position:absolute;left:6492;top:6059;width:56;height:83" coordorigin="6492,6059" coordsize="56,83" path="m6534,6121l6524,6121,6524,6142,6534,6142,6534,6121xm6534,6059l6527,6059,6492,6115,6492,6121,6547,6121,6547,6114,6497,6114,6524,6070,6534,6070,6534,6059xm6534,6070l6524,6070,6524,6114,6534,6114,6534,6070xe" filled="true" fillcolor="#0000ff" stroked="false">
              <v:path arrowok="t"/>
              <v:fill type="solid"/>
            </v:shape>
            <v:shape style="position:absolute;left:6567;top:6059;width:28;height:83" coordorigin="6567,6059" coordsize="28,83" path="m6588,6059l6585,6059,6567,6069,6575,6069,6577,6070,6577,6138,6572,6142,6595,6142,6593,6140,6589,6140,6589,6138,6588,6138,6588,6059xe" filled="true" fillcolor="#0000ff" stroked="false">
              <v:path arrowok="t"/>
              <v:fill type="solid"/>
            </v:shape>
            <v:shape style="position:absolute;left:6618;top:6059;width:52;height:85" coordorigin="6618,6059" coordsize="52,85" path="m6644,6059l6640,6059,6639,6060,6633,6063,6623,6073,6622,6080,6619,6083,6619,6090,6618,6095,6618,6110,6622,6125,6623,6132,6628,6135,6633,6140,6639,6142,6644,6144,6646,6144,6649,6142,6652,6140,6644,6140,6640,6138,6636,6138,6633,6134,6633,6132,6632,6125,6629,6117,6629,6077,6633,6069,6639,6064,6640,6064,6642,6063,6655,6063,6652,6060,6646,6060,6644,6059xm6655,6063l6644,6063,6646,6064,6650,6064,6650,6067,6654,6069,6654,6074,6656,6081,6656,6085,6659,6091,6659,6107,6656,6115,6656,6121,6654,6128,6654,6134,6650,6135,6650,6138,6646,6138,6644,6140,6652,6140,6654,6138,6656,6135,6660,6134,6664,6130,6666,6125,6666,6120,6669,6115,6670,6107,6670,6101,6669,6091,6664,6074,6660,6069,6655,6063xe" filled="true" fillcolor="#0000ff" stroked="false">
              <v:path arrowok="t"/>
              <v:fill type="solid"/>
            </v:shape>
            <v:shape style="position:absolute;left:6492;top:6314;width:56;height:84" coordorigin="6492,6314" coordsize="56,84" path="m6534,6374l6524,6374,6524,6398,6534,6398,6534,6374xm6534,6314l6527,6314,6492,6368,6492,6374,6547,6374,6547,6368,6497,6368,6524,6326,6534,6326,6534,6314xm6534,6326l6524,6326,6524,6368,6534,6368,6534,6326xe" filled="true" fillcolor="#0000ff" stroked="false">
              <v:path arrowok="t"/>
              <v:fill type="solid"/>
            </v:shape>
            <v:shape style="position:absolute;left:6557;top:6314;width:51;height:84" coordorigin="6557,6314" coordsize="51,84" path="m6577,6317l6571,6317,6565,6324,6561,6333,6557,6344,6557,6371,6561,6378,6562,6385,6567,6391,6571,6395,6577,6398,6588,6398,6589,6395,6581,6395,6577,6394,6572,6389,6571,6385,6571,6381,6569,6373,6567,6367,6567,6353,6569,6348,6569,6330,6571,6328,6572,6324,6572,6322,6577,6320,6577,6317xm6585,6314l6577,6314,6572,6317,6588,6317,6588,6320,6593,6326,6593,6334,6598,6347,6598,6361,6593,6377,6593,6385,6592,6387,6589,6391,6588,6391,6588,6394,6582,6394,6582,6395,6589,6395,6593,6394,6595,6391,6602,6385,6603,6378,6606,6374,6608,6368,6608,6347,6606,6338,6602,6330,6598,6324,6589,6316,6585,6314xe" filled="true" fillcolor="#0000ff" stroked="false">
              <v:path arrowok="t"/>
              <v:fill type="solid"/>
            </v:shape>
            <v:shape style="position:absolute;left:6618;top:6314;width:52;height:84" coordorigin="6618,6314" coordsize="52,84" path="m6640,6317l6632,6317,6629,6322,6623,6328,6622,6333,6619,6338,6619,6344,6618,6351,6618,6364,6619,6371,6622,6378,6623,6385,6628,6391,6633,6395,6639,6398,6649,6398,6652,6395,6644,6395,6636,6391,6633,6389,6633,6385,6629,6373,6629,6330,6632,6328,6633,6324,6640,6317xm6646,6314l6639,6314,6633,6317,6649,6317,6650,6320,6650,6322,6654,6324,6654,6330,6656,6334,6656,6341,6659,6347,6659,6361,6656,6368,6656,6377,6654,6381,6654,6387,6649,6394,6646,6394,6644,6395,6652,6395,6654,6394,6660,6387,6664,6385,6666,6378,6666,6374,6670,6363,6670,6354,6664,6330,6660,6324,6652,6316,6646,6314xe" filled="true" fillcolor="#0000ff" stroked="false">
              <v:path arrowok="t"/>
              <v:fill type="solid"/>
            </v:shape>
            <v:shape style="position:absolute;left:6494;top:6567;width:47;height:85" coordorigin="6494,6567" coordsize="47,85" path="m6517,6651l6500,6651,6504,6652,6508,6652,6517,6651xm6532,6608l6514,6608,6510,6610,6507,6610,6507,6611,6517,6611,6521,6614,6524,6618,6527,6618,6530,6621,6530,6628,6532,6630,6532,6634,6530,6638,6528,6640,6527,6644,6524,6644,6522,6647,6518,6648,6497,6648,6497,6651,6522,6651,6528,6647,6541,6634,6541,6618,6537,6614,6537,6611,6532,6608xm6500,6642l6497,6642,6497,6644,6494,6647,6494,6648,6510,6648,6510,6647,6507,6647,6507,6644,6502,6644,6500,6642xm6528,6604l6521,6604,6518,6608,6530,6608,6528,6604xm6532,6576l6517,6576,6521,6577,6527,6583,6527,6586,6528,6587,6528,6594,6527,6594,6527,6600,6522,6604,6527,6604,6530,6600,6534,6594,6537,6590,6537,6581,6532,6577,6532,6576xm6522,6567l6514,6567,6507,6571,6504,6573,6500,6576,6500,6577,6497,6581,6497,6587,6500,6581,6504,6577,6508,6577,6514,6576,6532,6576,6530,6571,6522,6567xe" filled="true" fillcolor="#0000ff" stroked="false">
              <v:path arrowok="t"/>
              <v:fill type="solid"/>
            </v:shape>
            <v:shape style="position:absolute;left:6557;top:6567;width:51;height:88" coordorigin="6557,6567" coordsize="51,88" path="m6589,6571l6582,6571,6588,6576,6589,6576,6589,6577,6592,6581,6593,6583,6593,6587,6595,6590,6595,6594,6598,6598,6598,6604,6595,6608,6595,6611,6593,6611,6592,6614,6582,6614,6582,6616,6593,6616,6593,6621,6589,6626,6588,6630,6585,6637,6582,6640,6579,6644,6571,6648,6569,6651,6557,6651,6557,6655,6561,6652,6565,6652,6577,6648,6581,6647,6593,6638,6598,6631,6602,6628,6603,6621,6608,6614,6608,6594,6603,6581,6595,6573,6589,6571xm6581,6567l6577,6570,6571,6571,6565,6576,6561,6577,6561,6581,6557,6587,6557,6608,6562,6614,6565,6618,6572,6621,6579,6621,6585,6620,6593,6616,6579,6616,6575,6611,6572,6611,6569,6604,6567,6598,6567,6587,6571,6580,6571,6577,6572,6576,6577,6573,6577,6571,6589,6571,6588,6570,6581,6567xe" filled="true" fillcolor="#0000ff" stroked="false">
              <v:path arrowok="t"/>
              <v:fill type="solid"/>
            </v:shape>
            <v:shape style="position:absolute;left:6618;top:6567;width:52;height:85" coordorigin="6618,6567" coordsize="52,85" path="m6644,6567l6640,6567,6639,6570,6633,6571,6623,6581,6622,6587,6619,6591,6619,6598,6618,6604,6618,6618,6622,6634,6623,6640,6628,6644,6633,6648,6639,6651,6644,6652,6646,6652,6649,6651,6652,6648,6640,6648,6636,6647,6633,6644,6633,6640,6629,6628,6629,6586,6633,6577,6636,6576,6639,6576,6642,6571,6652,6571,6646,6570,6644,6567xm6652,6571l6644,6571,6646,6573,6649,6573,6650,6576,6654,6577,6654,6583,6656,6590,6656,6594,6659,6601,6659,6616,6656,6624,6656,6630,6654,6637,6654,6642,6650,6644,6650,6647,6649,6648,6654,6648,6656,6644,6660,6642,6664,6638,6666,6634,6666,6628,6669,6624,6670,6618,6670,6610,6669,6601,6666,6591,6664,6583,6660,6577,6656,6576,6652,6571xe" filled="true" fillcolor="#0000ff" stroked="false">
              <v:path arrowok="t"/>
              <v:fill type="solid"/>
            </v:shape>
            <v:shape style="position:absolute;left:6494;top:6823;width:47;height:85" coordorigin="6494,6823" coordsize="47,85" path="m6504,6897l6497,6897,6497,6900,6494,6901,6497,6904,6497,6905,6500,6905,6504,6908,6508,6908,6517,6905,6528,6901,6507,6901,6507,6900,6504,6900,6504,6897xm6532,6830l6521,6830,6522,6834,6524,6834,6527,6837,6527,6840,6528,6843,6528,6847,6527,6849,6527,6855,6524,6855,6517,6864,6514,6864,6510,6865,6512,6865,6514,6867,6521,6867,6521,6870,6522,6871,6527,6871,6527,6873,6528,6873,6530,6877,6530,6881,6532,6884,6532,6890,6530,6894,6522,6901,6528,6901,6537,6894,6541,6887,6541,6871,6537,6867,6537,6865,6532,6864,6527,6857,6530,6855,6534,6849,6537,6844,6537,6834,6532,6833,6532,6830xm6522,6823l6514,6823,6507,6827,6504,6827,6500,6830,6500,6833,6497,6837,6497,6840,6504,6833,6508,6830,6532,6830,6530,6827,6522,6823xe" filled="true" fillcolor="#0000ff" stroked="false">
              <v:path arrowok="t"/>
              <v:fill type="solid"/>
            </v:shape>
            <v:shape style="position:absolute;left:6559;top:6823;width:47;height:85" coordorigin="6559,6823" coordsize="47,85" path="m6588,6823l6577,6823,6565,6829,6562,6830,6561,6834,6561,6851,6562,6853,6562,6855,6567,6857,6575,6865,6572,6865,6561,6877,6561,6884,6559,6885,6559,6891,6561,6894,6562,6897,6562,6901,6571,6905,6577,6908,6588,6908,6589,6905,6595,6904,6579,6904,6571,6895,6571,6877,6572,6873,6572,6871,6575,6871,6577,6867,6593,6867,6588,6861,6592,6860,6582,6860,6575,6851,6575,6849,6572,6847,6572,6840,6571,6840,6571,6837,6572,6834,6572,6830,6577,6827,6593,6827,6589,6824,6588,6823xm6593,6867l6577,6867,6581,6873,6588,6877,6589,6881,6593,6885,6593,6895,6592,6897,6589,6901,6588,6901,6582,6904,6595,6904,6599,6901,6603,6894,6606,6891,6606,6884,6603,6881,6599,6873,6593,6867xm6598,6827l6588,6827,6588,6829,6592,6833,6592,6834,6593,6837,6593,6843,6592,6844,6592,6847,6589,6849,6589,6851,6588,6855,6588,6857,6582,6860,6592,6860,6599,6851,6602,6847,6603,6844,6603,6834,6599,6830,6598,6827xe" filled="true" fillcolor="#0000ff" stroked="false">
              <v:path arrowok="t"/>
              <v:fill type="solid"/>
            </v:shape>
            <v:shape style="position:absolute;left:6618;top:6823;width:52;height:85" coordorigin="6618,6823" coordsize="52,85" path="m6640,6827l6632,6827,6629,6830,6623,6837,6622,6840,6619,6847,6619,6853,6618,6860,6618,6873,6619,6881,6623,6894,6628,6900,6633,6904,6639,6905,6644,6908,6646,6908,6649,6905,6652,6904,6644,6904,6640,6901,6636,6901,6633,6897,6633,6894,6632,6890,6629,6881,6629,6840,6633,6833,6640,6827xm6644,6823l6640,6823,6639,6824,6633,6827,6649,6827,6650,6829,6650,6830,6654,6833,6654,6839,6656,6844,6656,6849,6659,6855,6659,6871,6656,6877,6656,6885,6654,6891,6654,6897,6650,6900,6650,6901,6646,6901,6644,6904,6652,6904,6654,6901,6656,6900,6660,6897,6664,6894,6666,6887,6666,6884,6670,6871,6670,6865,6669,6855,6664,6839,6660,6833,6652,6824,6646,6824,6644,6823xe" filled="true" fillcolor="#0000ff" stroked="false">
              <v:path arrowok="t"/>
              <v:fill type="solid"/>
            </v:shape>
            <v:shape style="position:absolute;left:6494;top:7077;width:47;height:84" coordorigin="6494,7077" coordsize="47,84" path="m6532,7084l6517,7084,6521,7086,6527,7092,6527,7094,6528,7097,6528,7103,6527,7104,6527,7108,6517,7118,6507,7118,6507,7121,6517,7121,6521,7123,6521,7124,6522,7124,6524,7127,6527,7127,6530,7131,6530,7137,6532,7138,6532,7144,6530,7147,6528,7151,6524,7154,6522,7154,6518,7157,6497,7157,6497,7161,6517,7161,6528,7154,6541,7143,6541,7127,6537,7123,6537,7121,6532,7118,6527,7113,6534,7104,6537,7097,6537,7090,6532,7088,6532,7084xm6510,7154l6494,7154,6494,7157,6510,7157,6510,7154xm6500,7151l6497,7151,6497,7154,6504,7154,6504,7153,6502,7153,6500,7151xm6527,7077l6510,7077,6507,7080,6504,7082,6500,7084,6500,7088,6497,7090,6497,7096,6500,7090,6508,7086,6514,7084,6532,7084,6530,7080,6527,7077xe" filled="true" fillcolor="#0000ff" stroked="false">
              <v:path arrowok="t"/>
              <v:fill type="solid"/>
            </v:shape>
            <v:shape style="position:absolute;left:6557;top:7077;width:51;height:84" coordorigin="6557,7077" coordsize="51,84" path="m6606,7088l6598,7088,6571,7161,6579,7161,6606,7088xm6608,7077l6562,7077,6557,7097,6565,7090,6569,7090,6571,7088,6606,7088,6608,7082,6608,7077xe" filled="true" fillcolor="#0000ff" stroked="false">
              <v:path arrowok="t"/>
              <v:fill type="solid"/>
            </v:shape>
            <v:shape style="position:absolute;left:6618;top:7077;width:52;height:84" coordorigin="6618,7077" coordsize="52,84" path="m6646,7077l6639,7077,6633,7080,6629,7084,6628,7088,6623,7090,6622,7096,6619,7100,6619,7108,6618,7114,6618,7127,6622,7143,6623,7148,6628,7154,6633,7157,6639,7161,6649,7161,6652,7157,6640,7157,6636,7154,6633,7153,6633,7148,6629,7137,6629,7094,6632,7090,6633,7088,6636,7084,6639,7084,6642,7080,6652,7080,6646,7077xm6652,7080l6644,7080,6646,7082,6649,7082,6654,7088,6654,7094,6656,7097,6656,7104,6659,7110,6659,7124,6656,7133,6656,7141,6654,7144,6654,7151,6649,7157,6654,7157,6664,7147,6666,7143,6666,7137,6669,7133,6670,7127,6670,7118,6669,7110,6666,7100,6664,7094,6660,7088,6652,7080xe" filled="true" fillcolor="#0000ff" stroked="false">
              <v:path arrowok="t"/>
              <v:fill type="solid"/>
            </v:shape>
            <v:shape style="position:absolute;left:6494;top:7331;width:47;height:86" coordorigin="6494,7331" coordsize="47,86" path="m6517,7414l6500,7414,6504,7417,6508,7417,6517,7414xm6500,7406l6497,7406,6497,7408,6494,7410,6497,7411,6497,7414,6522,7414,6528,7410,6507,7410,6507,7408,6502,7408,6500,7406xm6528,7367l6521,7367,6517,7371,6514,7371,6510,7374,6512,7374,6514,7376,6517,7376,6521,7378,6522,7380,6527,7380,6527,7381,6530,7386,6530,7390,6532,7394,6532,7398,6530,7402,6528,7404,6527,7408,6524,7408,6522,7410,6528,7410,6541,7398,6541,7380,6537,7378,6537,7374,6532,7371,6528,7367xm6532,7339l6517,7339,6521,7341,6522,7343,6524,7343,6527,7347,6527,7350,6528,7351,6528,7357,6527,7357,6527,7363,6524,7363,6522,7367,6527,7367,6530,7363,6534,7357,6537,7353,6537,7343,6532,7341,6532,7339xm6522,7331l6514,7331,6507,7336,6504,7337,6500,7339,6500,7341,6497,7346,6497,7351,6504,7341,6508,7341,6514,7339,6532,7339,6530,7336,6522,7331xe" filled="true" fillcolor="#0000ff" stroked="false">
              <v:path arrowok="t"/>
              <v:fill type="solid"/>
            </v:shape>
            <v:shape style="position:absolute;left:6557;top:7331;width:51;height:86" coordorigin="6557,7331" coordsize="51,86" path="m6603,7333l6593,7333,6577,7341,6565,7353,6562,7357,6561,7363,6557,7371,6557,7391,6559,7398,6562,7406,6567,7410,6571,7411,6572,7414,6577,7417,6581,7417,6588,7414,6593,7414,6596,7411,6581,7411,6579,7410,6575,7410,6572,7408,6571,7404,6571,7402,6569,7398,6569,7391,6567,7390,6567,7384,6569,7380,6569,7374,6571,7374,6572,7370,6569,7370,6571,7366,6571,7361,6572,7357,6577,7353,6579,7350,6579,7347,6582,7343,6585,7343,6589,7339,6593,7337,6595,7337,6603,7333xm6598,7367l6582,7367,6588,7370,6593,7376,6593,7380,6598,7388,6598,7398,6593,7406,6589,7410,6588,7410,6585,7411,6596,7411,6602,7406,6603,7402,6608,7398,6608,7378,6603,7374,6602,7370,6598,7367xm6593,7363l6577,7363,6572,7367,6569,7370,6577,7370,6579,7367,6598,7367,6593,7363xm6608,7331l6599,7331,6598,7333,6608,7333,6608,7331xe" filled="true" fillcolor="#0000ff" stroked="false">
              <v:path arrowok="t"/>
              <v:fill type="solid"/>
            </v:shape>
            <v:shape style="position:absolute;left:6618;top:7331;width:52;height:86" coordorigin="6618,7331" coordsize="52,86" path="m6644,7331l6640,7331,6639,7333,6633,7336,6623,7346,6622,7351,6619,7356,6619,7361,6618,7367,6618,7381,6622,7398,6623,7404,6628,7408,6633,7411,6639,7414,6644,7417,6646,7417,6649,7414,6652,7411,6644,7411,6640,7410,6636,7410,6633,7408,6633,7404,6632,7398,6629,7390,6629,7350,6633,7341,6639,7337,6640,7337,6642,7336,6655,7336,6652,7333,6646,7333,6644,7331xm6655,7336l6644,7336,6646,7337,6650,7337,6650,7339,6654,7341,6654,7347,6656,7353,6656,7357,6659,7363,6659,7380,6656,7388,6656,7394,6654,7400,6654,7406,6650,7408,6650,7410,6646,7410,6644,7411,6652,7411,6656,7408,6660,7406,6664,7402,6666,7398,6666,7391,6669,7388,6670,7380,6670,7374,6669,7363,6664,7347,6660,7341,6655,7336xe" filled="true" fillcolor="#0000ff" stroked="false">
              <v:path arrowok="t"/>
              <v:fill type="solid"/>
            </v:shape>
            <v:shape style="position:absolute;left:6494;top:7587;width:47;height:84" coordorigin="6494,7587" coordsize="47,84" path="m6510,7664l6494,7664,6494,7665,6497,7667,6497,7670,6517,7670,6522,7667,6526,7665,6510,7665,6510,7664xm6532,7594l6521,7594,6527,7600,6527,7604,6528,7607,6528,7610,6527,7613,6527,7617,6517,7627,6507,7627,6507,7630,6512,7630,6514,7631,6521,7631,6521,7633,6522,7633,6524,7635,6527,7635,6527,7637,6528,7637,6530,7641,6530,7645,6532,7647,6532,7654,6530,7657,6524,7664,6522,7664,6518,7665,6526,7665,6528,7664,6532,7661,6537,7657,6541,7651,6541,7635,6537,7631,6537,7630,6532,7627,6527,7620,6534,7613,6537,7607,6537,7599,6532,7597,6532,7594xm6504,7661l6497,7661,6497,7664,6504,7664,6504,7661xm6527,7587l6510,7587,6507,7590,6504,7590,6500,7594,6500,7597,6497,7600,6497,7604,6504,7597,6508,7594,6532,7594,6530,7590,6527,7587xe" filled="true" fillcolor="#0000ff" stroked="false">
              <v:path arrowok="t"/>
              <v:fill type="solid"/>
            </v:shape>
            <v:shape style="position:absolute;left:6557;top:7587;width:46;height:84" coordorigin="6557,7587" coordsize="46,84" path="m6582,7667l6561,7667,6561,7670,6581,7670,6582,7667xm6562,7660l6561,7660,6557,7664,6559,7667,6588,7667,6589,7665,6589,7664,6571,7664,6569,7661,6565,7661,6562,7660xm6603,7587l6575,7587,6559,7619,6562,7619,6569,7620,6572,7620,6577,7623,6579,7624,6582,7627,6592,7635,6593,7640,6593,7654,6589,7657,6589,7660,6588,7661,6582,7664,6589,7664,6593,7661,6598,7657,6599,7654,6599,7651,6602,7650,6602,7647,6603,7643,6603,7641,6602,7635,6599,7631,6598,7624,6589,7617,6582,7613,6577,7610,6569,7609,6572,7597,6599,7597,6603,7587xe" filled="true" fillcolor="#0000ff" stroked="false">
              <v:path arrowok="t"/>
              <v:fill type="solid"/>
            </v:shape>
            <v:shape style="position:absolute;left:6618;top:7587;width:52;height:84" coordorigin="6618,7587" coordsize="52,84" path="m6640,7590l6632,7590,6629,7594,6623,7600,6622,7604,6619,7610,6619,7617,6618,7623,6618,7637,6619,7643,6622,7651,6623,7657,6628,7664,6633,7667,6639,7670,6649,7670,6652,7667,6644,7667,6636,7664,6633,7661,6633,7657,6632,7654,6629,7645,6629,7604,6633,7597,6640,7590xm6646,7587l6639,7587,6633,7590,6649,7590,6650,7593,6650,7594,6654,7597,6654,7603,6656,7607,6656,7613,6659,7619,6659,7633,6656,7641,6656,7650,6654,7654,6654,7661,6650,7664,6649,7665,6646,7665,6644,7667,6652,7667,6654,7665,6656,7664,6660,7661,6664,7657,6666,7651,6666,7647,6670,7635,6670,7627,6664,7603,6660,7597,6652,7589,6646,7587xe" filled="true" fillcolor="#0000ff" stroked="false">
              <v:path arrowok="t"/>
              <v:fill type="solid"/>
            </v:shape>
            <v:shape style="position:absolute;left:6494;top:7840;width:47;height:85" coordorigin="6494,7840" coordsize="47,85" path="m6517,7923l6500,7923,6504,7924,6508,7924,6517,7923xm6532,7880l6514,7880,6510,7883,6507,7883,6507,7884,6517,7884,6521,7887,6524,7890,6527,7890,6530,7894,6530,7901,6532,7903,6532,7907,6530,7911,6528,7913,6527,7917,6524,7917,6522,7918,6518,7921,6497,7921,6497,7923,6522,7923,6528,7918,6541,7907,6541,7890,6537,7887,6537,7884,6532,7880xm6500,7914l6497,7914,6497,7917,6494,7918,6494,7921,6510,7921,6510,7918,6507,7918,6507,7917,6502,7917,6500,7914xm6528,7876l6521,7876,6518,7880,6530,7880,6528,7876xm6532,7847l6517,7847,6521,7850,6527,7856,6527,7857,6528,7860,6528,7866,6527,7866,6527,7872,6522,7876,6527,7876,6530,7872,6534,7866,6537,7862,6537,7854,6532,7850,6532,7847xm6522,7840l6514,7840,6507,7844,6504,7846,6500,7847,6500,7850,6497,7854,6497,7860,6500,7854,6504,7850,6508,7850,6514,7847,6532,7847,6530,7844,6522,7840xe" filled="true" fillcolor="#0000ff" stroked="false">
              <v:path arrowok="t"/>
              <v:fill type="solid"/>
            </v:shape>
            <v:shape style="position:absolute;left:6552;top:7840;width:56;height:84" coordorigin="6552,7840" coordsize="56,84" path="m6598,7903l6588,7903,6588,7923,6598,7923,6598,7903xm6598,7840l6589,7840,6552,7897,6552,7903,6608,7903,6608,7894,6559,7894,6588,7854,6598,7854,6598,7840xm6598,7854l6588,7854,6588,7894,6598,7894,6598,7854xe" filled="true" fillcolor="#0000ff" stroked="false">
              <v:path arrowok="t"/>
              <v:fill type="solid"/>
            </v:shape>
            <v:shape style="position:absolute;left:6618;top:7840;width:52;height:85" coordorigin="6618,7840" coordsize="52,85" path="m6644,7840l6640,7840,6639,7842,6633,7844,6623,7854,6622,7860,6619,7864,6619,7870,6618,7876,6618,7890,6622,7907,6623,7913,6628,7917,6633,7921,6639,7923,6644,7924,6646,7924,6649,7923,6652,7921,6640,7921,6636,7918,6633,7917,6633,7913,6629,7901,6629,7857,6633,7850,6636,7847,6639,7847,6642,7844,6652,7844,6646,7842,6644,7840xm6652,7844l6644,7844,6646,7846,6649,7846,6650,7847,6654,7850,6654,7857,6656,7862,6656,7866,6659,7874,6659,7888,6656,7897,6656,7904,6654,7908,6654,7914,6650,7917,6650,7918,6649,7921,6654,7921,6656,7917,6660,7914,6664,7911,6666,7907,6666,7901,6669,7897,6670,7890,6670,7883,6669,7874,6666,7864,6664,7857,6660,7850,6656,7847,6652,7844xe" filled="true" fillcolor="#0000ff" stroked="false">
              <v:path arrowok="t"/>
              <v:fill type="solid"/>
            </v:shape>
            <v:shape style="position:absolute;left:6494;top:8096;width:47;height:85" coordorigin="6494,8096" coordsize="47,85" path="m6504,8170l6497,8170,6497,8171,6494,8174,6497,8177,6497,8178,6500,8178,6504,8180,6508,8180,6517,8178,6528,8174,6507,8174,6507,8171,6504,8171,6504,8170xm6532,8103l6521,8103,6522,8107,6524,8107,6527,8109,6527,8113,6528,8116,6528,8120,6527,8121,6527,8127,6524,8127,6517,8136,6514,8136,6510,8137,6512,8137,6514,8140,6521,8140,6521,8141,6522,8144,6527,8144,6527,8146,6530,8150,6530,8154,6532,8158,6532,8161,6530,8166,6522,8174,6528,8174,6537,8166,6541,8160,6541,8144,6537,8140,6537,8137,6532,8136,6527,8129,6530,8127,6534,8121,6537,8117,6537,8107,6532,8106,6532,8103xm6522,8096l6514,8096,6507,8099,6504,8101,6500,8103,6500,8106,6497,8109,6497,8113,6504,8106,6508,8103,6532,8103,6530,8099,6522,8096xe" filled="true" fillcolor="#0000ff" stroked="false">
              <v:path arrowok="t"/>
              <v:fill type="solid"/>
            </v:shape>
            <v:shape style="position:absolute;left:6557;top:8096;width:46;height:85" coordorigin="6557,8096" coordsize="46,85" path="m6565,8170l6557,8170,6557,8177,6559,8178,6562,8178,6567,8180,6571,8180,6577,8178,6585,8177,6589,8174,6569,8174,6565,8170xm6593,8103l6581,8103,6582,8107,6588,8107,6588,8109,6589,8113,6589,8123,6588,8127,6582,8129,6582,8131,6579,8133,6577,8136,6575,8136,6571,8137,6572,8137,6577,8140,6581,8140,6585,8144,6588,8144,6589,8146,6589,8148,6592,8150,6593,8154,6593,8166,6589,8168,6589,8170,6588,8171,6582,8174,6589,8174,6595,8170,6599,8166,6602,8160,6603,8158,6603,8148,6599,8140,6593,8133,6589,8131,6588,8129,6593,8127,6598,8121,6598,8117,6599,8113,6599,8109,6593,8103xm6582,8096l6575,8096,6567,8099,6561,8106,6557,8113,6559,8113,6567,8106,6571,8103,6593,8103,6592,8099,6582,8096xe" filled="true" fillcolor="#0000ff" stroked="false">
              <v:path arrowok="t"/>
              <v:fill type="solid"/>
            </v:shape>
            <v:shape style="position:absolute;left:6618;top:8096;width:52;height:85" coordorigin="6618,8096" coordsize="52,85" path="m6644,8096l6640,8096,6639,8097,6633,8099,6623,8109,6622,8113,6619,8120,6619,8126,6618,8131,6618,8146,6619,8154,6623,8166,6633,8177,6639,8178,6644,8180,6646,8180,6649,8178,6652,8177,6644,8177,6640,8174,6636,8174,6633,8170,6633,8166,6632,8161,6629,8154,6629,8113,6633,8106,6639,8101,6640,8101,6642,8099,6655,8099,6652,8097,6646,8097,6644,8096xm6655,8099l6644,8099,6646,8101,6650,8101,6650,8103,6654,8106,6654,8111,6656,8117,6656,8121,6659,8127,6659,8144,6656,8150,6656,8158,6654,8164,6654,8170,6650,8171,6650,8174,6646,8174,6644,8177,6652,8177,6654,8174,6656,8171,6660,8170,6664,8166,6666,8160,6666,8156,6670,8144,6670,8137,6669,8127,6664,8111,6660,8106,6655,8099xe" filled="true" fillcolor="#0000ff" stroked="false">
              <v:path arrowok="t"/>
              <v:fill type="solid"/>
            </v:shape>
            <v:shape style="position:absolute;left:6494;top:8350;width:47;height:84" coordorigin="6494,8350" coordsize="47,84" path="m6532,8356l6517,8356,6521,8359,6527,8364,6527,8367,6528,8370,6528,8374,6527,8377,6527,8380,6517,8390,6507,8390,6507,8393,6517,8393,6521,8394,6521,8397,6522,8397,6524,8399,6527,8399,6527,8401,6528,8401,6530,8403,6530,8410,6532,8411,6532,8417,6530,8420,6528,8423,6524,8427,6522,8427,6518,8430,6497,8430,6497,8434,6517,8434,6522,8431,6528,8427,6541,8415,6541,8399,6537,8394,6537,8393,6532,8390,6527,8384,6534,8377,6537,8370,6537,8363,6532,8360,6532,8356xm6510,8427l6494,8427,6494,8430,6510,8430,6510,8427xm6500,8423l6497,8423,6497,8427,6504,8427,6504,8425,6502,8425,6500,8423xm6527,8350l6510,8350,6507,8354,6504,8354,6500,8356,6500,8360,6497,8363,6497,8369,6500,8363,6508,8359,6514,8356,6532,8356,6527,8350xe" filled="true" fillcolor="#0000ff" stroked="false">
              <v:path arrowok="t"/>
              <v:fill type="solid"/>
            </v:shape>
            <v:shape style="position:absolute;left:6552;top:8350;width:56;height:84" coordorigin="6552,8350" coordsize="56,84" path="m6598,8359l6579,8359,6582,8360,6589,8367,6592,8370,6593,8373,6593,8377,6589,8389,6582,8401,6579,8407,6562,8423,6552,8431,6552,8434,6602,8434,6606,8423,6565,8423,6582,8405,6589,8401,6593,8393,6598,8389,6599,8384,6599,8383,6603,8374,6603,8369,6602,8363,6598,8359xm6608,8417l6606,8417,6599,8423,6606,8423,6608,8417xm6588,8350l6571,8350,6567,8354,6562,8356,6561,8360,6557,8363,6557,8367,6555,8373,6557,8373,6557,8370,6561,8367,6561,8364,6562,8363,6567,8360,6569,8360,6572,8359,6598,8359,6595,8356,6592,8354,6588,8350xe" filled="true" fillcolor="#0000ff" stroked="false">
              <v:path arrowok="t"/>
              <v:fill type="solid"/>
            </v:shape>
            <v:shape style="position:absolute;left:6618;top:8350;width:52;height:84" coordorigin="6618,8350" coordsize="52,84" path="m6640,8354l6632,8354,6629,8356,6628,8360,6623,8363,6622,8369,6619,8373,6619,8380,6618,8387,6618,8401,6619,8407,6622,8415,6623,8421,6628,8427,6633,8430,6639,8434,6649,8434,6652,8430,6640,8430,6636,8427,6633,8425,6633,8421,6632,8417,6629,8410,6629,8367,6632,8363,6633,8360,6636,8356,6639,8356,6640,8354xm6646,8350l6639,8350,6633,8354,6649,8354,6654,8360,6654,8367,6656,8370,6656,8377,6659,8383,6659,8397,6656,8405,6656,8413,6654,8417,6654,8423,6649,8430,6654,8430,6656,8427,6664,8420,6666,8415,6666,8410,6669,8405,6670,8399,6670,8390,6669,8383,6666,8373,6664,8367,6660,8360,6652,8353,6646,8350xe" filled="true" fillcolor="#0000ff" stroked="false">
              <v:path arrowok="t"/>
              <v:fill type="solid"/>
            </v:shape>
            <v:shape style="position:absolute;left:6494;top:8603;width:47;height:85" coordorigin="6494,8603" coordsize="47,85" path="m6517,8687l6500,8687,6504,8688,6508,8688,6517,8687xm6500,8678l6497,8678,6497,8680,6494,8683,6497,8684,6497,8687,6522,8687,6528,8683,6507,8683,6507,8680,6502,8680,6500,8678xm6532,8644l6514,8644,6510,8646,6512,8646,6514,8647,6517,8647,6521,8650,6522,8652,6527,8652,6527,8654,6530,8658,6530,8663,6532,8667,6532,8671,6530,8674,6528,8677,6527,8680,6524,8680,6522,8683,6528,8683,6541,8671,6541,8652,6537,8650,6537,8646,6532,8644xm6528,8640l6521,8640,6518,8644,6530,8644,6528,8640xm6532,8612l6517,8612,6521,8614,6522,8616,6524,8616,6527,8620,6527,8622,6528,8624,6528,8630,6527,8630,6527,8636,6524,8636,6522,8640,6527,8640,6530,8636,6534,8630,6537,8626,6537,8616,6532,8614,6532,8612xm6522,8603l6514,8603,6507,8607,6504,8610,6500,8612,6500,8614,6497,8617,6497,8624,6500,8617,6504,8614,6508,8614,6514,8612,6532,8612,6530,8607,6522,8603xe" filled="true" fillcolor="#0000ff" stroked="false">
              <v:path arrowok="t"/>
              <v:fill type="solid"/>
            </v:shape>
            <v:shape style="position:absolute;left:6567;top:8603;width:28;height:84" coordorigin="6567,8603" coordsize="28,84" path="m6588,8603l6585,8603,6567,8614,6575,8614,6577,8616,6577,8683,6572,8687,6595,8687,6593,8684,6589,8684,6589,8683,6588,8683,6588,8603xe" filled="true" fillcolor="#0000ff" stroked="false">
              <v:path arrowok="t"/>
              <v:fill type="solid"/>
            </v:shape>
            <v:shape style="position:absolute;left:6618;top:8603;width:52;height:85" coordorigin="6618,8603" coordsize="52,85" path="m6644,8603l6640,8603,6639,8606,6633,8607,6623,8617,6622,8624,6619,8627,6619,8634,6618,8640,6618,8654,6622,8671,6623,8677,6628,8680,6633,8684,6639,8687,6644,8688,6646,8688,6649,8687,6652,8684,6644,8684,6640,8683,6636,8683,6633,8680,6633,8677,6632,8671,6629,8663,6629,8622,6633,8614,6639,8610,6640,8610,6642,8607,6654,8607,6652,8606,6646,8606,6644,8603xm6654,8607l6644,8607,6646,8610,6650,8610,6650,8612,6654,8614,6654,8620,6656,8626,6656,8630,6659,8636,6659,8652,6656,8660,6656,8667,6654,8673,6654,8678,6650,8680,6650,8683,6646,8683,6644,8684,6652,8684,6654,8683,6656,8680,6660,8678,6664,8674,6666,8671,6666,8664,6669,8660,6670,8652,6670,8646,6669,8636,6664,8620,6660,8614,6654,8607xe" filled="true" fillcolor="#0000ff" stroked="false">
              <v:path arrowok="t"/>
              <v:fill type="solid"/>
            </v:shape>
            <v:shape style="position:absolute;left:6494;top:8859;width:47;height:85" coordorigin="6494,8859" coordsize="47,85" path="m6510,8936l6494,8936,6494,8938,6497,8940,6497,8941,6500,8941,6504,8944,6508,8944,6517,8941,6522,8940,6526,8938,6510,8938,6510,8936xm6532,8867l6521,8867,6527,8873,6527,8877,6528,8879,6528,8883,6527,8886,6527,8889,6517,8900,6507,8900,6507,8901,6512,8901,6514,8903,6521,8903,6521,8906,6522,8906,6524,8907,6527,8907,6527,8910,6528,8910,6530,8913,6530,8917,6532,8920,6532,8926,6530,8930,6524,8936,6522,8936,6518,8938,6526,8938,6528,8936,6532,8934,6537,8930,6541,8924,6541,8907,6537,8903,6537,8901,6532,8900,6527,8893,6534,8886,6537,8879,6537,8871,6532,8869,6532,8867xm6504,8934l6497,8934,6497,8936,6504,8936,6504,8934xm6527,8859l6510,8859,6507,8863,6504,8863,6500,8867,6500,8869,6497,8873,6497,8877,6504,8869,6508,8867,6532,8867,6530,8863,6527,8859xe" filled="true" fillcolor="#0000ff" stroked="false">
              <v:path arrowok="t"/>
              <v:fill type="solid"/>
            </v:shape>
            <v:shape style="position:absolute;left:6557;top:8859;width:51;height:85" coordorigin="6557,8859" coordsize="51,85" path="m6577,8863l6571,8863,6565,8869,6561,8877,6557,8889,6557,8916,6561,8924,6562,8930,6567,8936,6571,8940,6577,8941,6581,8944,6582,8944,6588,8941,6589,8940,6581,8940,6577,8938,6572,8934,6571,8930,6571,8926,6569,8917,6567,8911,6567,8897,6569,8893,6569,8877,6572,8869,6572,8867,6577,8865,6577,8863xm6585,8859l6577,8859,6572,8863,6588,8863,6588,8865,6593,8871,6593,8879,6598,8891,6598,8906,6593,8921,6593,8930,6592,8934,6589,8936,6588,8936,6588,8938,6582,8938,6582,8940,6589,8940,6593,8938,6595,8936,6599,8934,6602,8930,6603,8924,6606,8920,6608,8913,6608,8891,6606,8883,6602,8876,6598,8869,6589,8860,6585,8859xe" filled="true" fillcolor="#0000ff" stroked="false">
              <v:path arrowok="t"/>
              <v:fill type="solid"/>
            </v:shape>
            <v:shape style="position:absolute;left:6618;top:8859;width:52;height:85" coordorigin="6618,8859" coordsize="52,85" path="m6640,8863l6632,8863,6629,8867,6623,8873,6622,8877,6619,8883,6619,8889,6618,8896,6618,8910,6619,8916,6622,8924,6623,8930,6628,8936,6633,8940,6639,8941,6644,8944,6646,8944,6649,8941,6652,8940,6644,8940,6636,8936,6633,8934,6633,8930,6632,8926,6629,8917,6629,8877,6633,8869,6640,8863xm6646,8859l6639,8859,6633,8863,6649,8863,6650,8865,6650,8867,6654,8869,6654,8876,6656,8879,6656,8886,6659,8891,6659,8906,6656,8913,6656,8921,6654,8926,6654,8934,6650,8936,6649,8938,6646,8938,6644,8940,6652,8940,6654,8938,6656,8936,6660,8934,6664,8930,6666,8924,6666,8920,6670,8907,6670,8900,6664,8876,6660,8869,6652,8860,6646,8859xe" filled="true" fillcolor="#0000ff" stroked="false">
              <v:path arrowok="t"/>
              <v:fill type="solid"/>
            </v:shape>
            <v:shape style="position:absolute;left:6492;top:9112;width:56;height:83" coordorigin="6492,9112" coordsize="56,83" path="m6537,9122l6521,9122,6522,9126,6527,9129,6527,9130,6530,9133,6530,9146,6528,9153,6527,9157,6517,9169,6510,9177,6502,9187,6492,9195,6541,9195,6544,9187,6504,9187,6522,9169,6532,9157,6537,9149,6538,9146,6541,9143,6541,9126,6537,9122xm6547,9181l6542,9181,6542,9183,6541,9183,6541,9185,6538,9187,6544,9187,6547,9181xm6522,9112l6512,9112,6504,9116,6498,9122,6494,9130,6494,9137,6497,9133,6507,9122,6537,9122,6532,9120,6530,9116,6522,9112xe" filled="true" fillcolor="#0000ff" stroked="false">
              <v:path arrowok="t"/>
              <v:fill type="solid"/>
            </v:shape>
            <v:shape style="position:absolute;left:6557;top:9112;width:51;height:88" coordorigin="6557,9112" coordsize="51,88" path="m6589,9116l6582,9116,6588,9120,6589,9120,6589,9122,6592,9126,6593,9129,6593,9133,6595,9134,6595,9139,6598,9143,6598,9149,6595,9153,6595,9157,6593,9157,6592,9159,6582,9159,6582,9160,6593,9160,6593,9167,6589,9170,6588,9177,6582,9185,6579,9190,6571,9193,6569,9195,6557,9195,6557,9200,6561,9197,6565,9197,6577,9193,6581,9191,6593,9183,6598,9177,6602,9173,6603,9167,6608,9159,6608,9140,6606,9133,6603,9126,6595,9118,6589,9116xm6581,9112l6577,9113,6571,9116,6565,9120,6561,9122,6561,9126,6557,9133,6557,9153,6562,9159,6565,9163,6572,9167,6579,9167,6585,9164,6593,9160,6579,9160,6575,9157,6572,9157,6569,9149,6567,9143,6567,9133,6571,9124,6571,9122,6572,9120,6577,9118,6577,9116,6589,9116,6588,9113,6581,9112xe" filled="true" fillcolor="#0000ff" stroked="false">
              <v:path arrowok="t"/>
              <v:fill type="solid"/>
            </v:shape>
            <v:shape style="position:absolute;left:6618;top:9112;width:52;height:85" coordorigin="6618,9112" coordsize="52,85" path="m6644,9112l6640,9112,6639,9113,6633,9116,6623,9126,6622,9133,6619,9137,6619,9143,6618,9149,6618,9163,6622,9180,6623,9185,6628,9190,6633,9193,6639,9195,6644,9197,6646,9197,6649,9195,6652,9193,6640,9193,6636,9191,6633,9190,6633,9185,6629,9173,6629,9130,6633,9122,6636,9120,6639,9120,6642,9116,6652,9116,6646,9113,6644,9112xm6652,9116l6644,9116,6646,9118,6649,9118,6650,9120,6654,9122,6654,9130,6656,9134,6656,9140,6659,9146,6659,9160,6656,9169,6656,9177,6654,9181,6654,9187,6650,9190,6650,9191,6649,9193,6654,9193,6656,9190,6660,9187,6664,9183,6666,9180,6666,9173,6669,9169,6670,9163,6670,9154,6669,9146,6666,9137,6664,9130,6660,9122,6656,9120,6652,9116xe" filled="true" fillcolor="#0000ff" stroked="false">
              <v:path arrowok="t"/>
              <v:fill type="solid"/>
            </v:shape>
            <v:shape style="position:absolute;left:6492;top:9367;width:56;height:84" coordorigin="6492,9367" coordsize="56,84" path="m6534,9376l6517,9376,6521,9377,6527,9383,6527,9386,6530,9387,6530,9400,6527,9412,6522,9418,6517,9424,6510,9433,6502,9440,6492,9448,6492,9451,6541,9451,6544,9443,6504,9443,6517,9430,6522,9422,6532,9412,6534,9406,6537,9402,6538,9400,6541,9396,6541,9382,6534,9376xm6547,9437l6542,9437,6541,9438,6541,9440,6537,9440,6534,9443,6544,9443,6547,9437xm6522,9367l6512,9367,6500,9373,6494,9386,6494,9390,6500,9383,6502,9379,6504,9379,6507,9377,6510,9376,6534,9376,6530,9372,6522,9367xe" filled="true" fillcolor="#0000ff" stroked="false">
              <v:path arrowok="t"/>
              <v:fill type="solid"/>
            </v:shape>
            <v:shape style="position:absolute;left:6559;top:9367;width:47;height:87" coordorigin="6559,9367" coordsize="47,87" path="m6588,9367l6577,9367,6565,9373,6562,9376,6561,9379,6561,9396,6562,9397,6562,9400,6567,9402,6575,9410,6572,9410,6561,9422,6561,9427,6559,9430,6559,9437,6561,9440,6562,9443,6562,9447,6571,9451,6577,9453,6588,9453,6589,9451,6595,9448,6579,9448,6571,9440,6571,9422,6572,9420,6572,9416,6575,9416,6577,9412,6594,9412,6588,9406,6592,9404,6582,9404,6575,9396,6575,9394,6572,9392,6572,9386,6571,9386,6571,9382,6572,9379,6572,9376,6575,9373,6577,9373,6579,9372,6595,9372,6589,9369,6588,9367xm6594,9412l6577,9412,6581,9418,6588,9422,6592,9430,6593,9430,6593,9440,6592,9443,6589,9447,6588,9447,6582,9448,6595,9448,6599,9447,6602,9443,6603,9440,6606,9437,6606,9430,6602,9422,6599,9420,6598,9416,6594,9412xm6595,9372l6582,9372,6588,9373,6592,9377,6592,9379,6593,9383,6593,9387,6592,9390,6592,9392,6589,9394,6589,9396,6588,9400,6588,9402,6582,9404,6592,9404,6599,9396,6602,9392,6603,9390,6603,9379,6598,9373,6595,9372xe" filled="true" fillcolor="#0000ff" stroked="false">
              <v:path arrowok="t"/>
              <v:fill type="solid"/>
            </v:shape>
            <v:shape style="position:absolute;left:6618;top:9367;width:52;height:87" coordorigin="6618,9367" coordsize="52,87" path="m6644,9367l6640,9367,6639,9369,6633,9372,6623,9382,6622,9386,6619,9392,6619,9397,6618,9404,6618,9418,6619,9426,6622,9433,6623,9440,6628,9444,6633,9448,6639,9451,6644,9453,6646,9453,6649,9451,6652,9448,6644,9448,6640,9447,6636,9447,6633,9443,6633,9440,6632,9434,6629,9426,6629,9386,6633,9377,6639,9373,6640,9373,6642,9372,6655,9372,6652,9369,6646,9369,6644,9367xm6655,9372l6644,9372,6646,9373,6650,9373,6650,9376,6654,9377,6654,9383,6656,9390,6656,9394,6659,9400,6659,9416,6656,9422,6656,9430,6654,9437,6654,9443,6650,9444,6650,9447,6646,9447,6644,9448,6652,9448,6654,9447,6656,9444,6660,9443,6664,9438,6666,9433,6666,9427,6670,9416,6670,9410,6669,9400,6664,9383,6660,9377,6655,9372xe" filled="true" fillcolor="#0000ff" stroked="false">
              <v:path arrowok="t"/>
              <v:fill type="solid"/>
            </v:shape>
            <v:line style="position:absolute" from="6697,959" to="6747,959" stroked="true" strokeweight=".590302pt" strokecolor="#000000"/>
            <v:line style="position:absolute" from="6964,1014" to="7015,1014" stroked="true" strokeweight=".565003pt" strokecolor="#000000"/>
            <v:shape style="position:absolute;left:6794;top:931;width:55;height:84" coordorigin="6794,931" coordsize="55,84" path="m6836,994l6826,994,6826,1014,6836,1014,6836,994xm6836,931l6831,931,6794,988,6794,994,6849,994,6849,985,6801,985,6826,944,6836,944,6836,931xm6836,944l6826,944,6826,985,6836,985,6836,944xe" filled="true" fillcolor="#ff0000" stroked="false">
              <v:path arrowok="t"/>
              <v:fill type="solid"/>
            </v:shape>
            <v:shape style="position:absolute;left:6861;top:931;width:46;height:85" coordorigin="6861,931" coordsize="46,85" path="m6889,931l6879,931,6871,935,6866,938,6866,941,6863,944,6863,959,6865,961,6866,965,6871,968,6873,971,6876,975,6873,978,6869,981,6866,985,6863,988,6863,991,6861,995,6861,999,6865,1008,6866,1009,6871,1012,6873,1014,6879,1016,6889,1016,6897,1012,6882,1012,6876,1008,6875,1008,6873,1004,6873,985,6876,981,6876,979,6880,978,6879,978,6897,978,6893,975,6889,971,6893,968,6887,968,6876,961,6876,957,6875,955,6875,951,6873,948,6873,944,6875,943,6875,941,6876,938,6882,937,6882,935,6897,935,6889,931xm6897,978l6882,978,6880,978,6883,981,6889,985,6893,994,6896,995,6896,998,6897,998,6897,1004,6896,1004,6893,1008,6893,1009,6892,1012,6897,1012,6902,1009,6907,1004,6907,989,6903,985,6903,984,6897,978xm6897,935l6887,935,6892,938,6893,938,6893,944,6896,947,6896,951,6893,953,6893,961,6887,968,6893,968,6897,965,6903,959,6903,957,6907,953,6907,947,6903,938,6902,937,6897,935xe" filled="true" fillcolor="#ff0000" stroked="false">
              <v:path arrowok="t"/>
              <v:fill type="solid"/>
            </v:shape>
            <v:shape style="position:absolute;left:6794;top:1127;width:55;height:84" coordorigin="6794,1127" coordsize="55,84" path="m6836,1190l6826,1190,6826,1210,6836,1210,6836,1190xm6836,1127l6831,1127,6794,1184,6794,1190,6849,1190,6849,1181,6801,1181,6826,1141,6836,1141,6836,1127xm6836,1141l6826,1141,6826,1181,6836,1181,6836,1141xe" filled="true" fillcolor="#ff0000" stroked="false">
              <v:path arrowok="t"/>
              <v:fill type="solid"/>
            </v:shape>
            <v:shape style="position:absolute;left:6859;top:1130;width:51;height:83" coordorigin="6859,1130" coordsize="51,83" path="m6907,1140l6899,1140,6873,1212,6882,1212,6907,1140xm6910,1130l6866,1130,6859,1150,6861,1150,6861,1147,6866,1141,6871,1141,6873,1140,6907,1140,6910,1133,6910,1130xe" filled="true" fillcolor="#ff0000" stroked="false">
              <v:path arrowok="t"/>
              <v:fill type="solid"/>
            </v:shape>
            <v:shape style="position:absolute;left:6794;top:1323;width:55;height:84" coordorigin="6794,1323" coordsize="55,84" path="m6836,1387l6826,1387,6826,1407,6836,1407,6836,1387xm6836,1323l6831,1323,6794,1380,6794,1387,6849,1387,6849,1379,6801,1379,6826,1338,6836,1338,6836,1323xm6836,1338l6826,1338,6826,1379,6836,1379,6836,1338xe" filled="true" fillcolor="#ff0000" stroked="false">
              <v:path arrowok="t"/>
              <v:fill type="solid"/>
            </v:shape>
            <v:shape style="position:absolute;left:6859;top:1323;width:54;height:86" coordorigin="6859,1323" coordsize="54,86" path="m6902,1360l6887,1360,6892,1362,6893,1364,6897,1373,6897,1379,6899,1380,6899,1390,6896,1399,6892,1403,6892,1404,6873,1404,6882,1409,6883,1409,6889,1407,6896,1407,6902,1403,6903,1399,6907,1394,6912,1387,6912,1377,6910,1370,6907,1366,6902,1360xm6902,1329l6892,1329,6879,1333,6871,1342,6866,1349,6865,1350,6863,1356,6861,1360,6861,1364,6859,1370,6859,1377,6861,1384,6861,1390,6865,1399,6871,1404,6882,1404,6876,1403,6876,1401,6873,1397,6873,1394,6871,1390,6871,1366,6874,1366,6876,1362,6871,1362,6873,1359,6873,1354,6876,1350,6876,1349,6879,1346,6882,1342,6887,1336,6892,1333,6893,1332,6896,1332,6897,1330,6902,1329xm6874,1366l6871,1366,6871,1369,6874,1366xm6893,1356l6886,1356,6882,1359,6875,1360,6871,1362,6882,1362,6882,1360,6902,1360,6893,1356xm6910,1323l6903,1323,6896,1329,6910,1329,6910,1323xe" filled="true" fillcolor="#ff0000" stroked="false">
              <v:path arrowok="t"/>
              <v:fill type="solid"/>
            </v:shape>
            <v:shape style="position:absolute;left:6794;top:1521;width:55;height:83" coordorigin="6794,1521" coordsize="55,83" path="m6836,1583l6826,1583,6826,1603,6836,1603,6836,1583xm6836,1521l6831,1521,6794,1577,6794,1583,6849,1583,6849,1575,6801,1575,6826,1535,6836,1535,6836,1521xm6836,1535l6826,1535,6826,1575,6836,1575,6836,1535xe" filled="true" fillcolor="#ff0000" stroked="false">
              <v:path arrowok="t"/>
              <v:fill type="solid"/>
            </v:shape>
            <v:shape style="position:absolute;left:6861;top:1522;width:46;height:84" coordorigin="6861,1522" coordsize="46,84" path="m6882,1603l6866,1603,6871,1606,6876,1606,6882,1603xm6866,1593l6863,1593,6861,1596,6861,1602,6863,1603,6887,1603,6889,1602,6892,1602,6893,1599,6876,1599,6873,1597,6871,1597,6866,1596,6866,1593xm6907,1522l6876,1522,6861,1555,6871,1555,6875,1556,6879,1556,6883,1561,6892,1565,6893,1566,6893,1571,6896,1575,6897,1577,6897,1586,6896,1589,6887,1597,6883,1599,6893,1599,6893,1597,6896,1597,6897,1593,6903,1587,6903,1582,6906,1577,6906,1575,6903,1571,6903,1565,6902,1561,6887,1546,6879,1545,6871,1545,6876,1532,6902,1532,6907,1522xe" filled="true" fillcolor="#ff0000" stroked="false">
              <v:path arrowok="t"/>
              <v:fill type="solid"/>
            </v:shape>
            <v:shape style="position:absolute;left:6794;top:1717;width:55;height:83" coordorigin="6794,1717" coordsize="55,83" path="m6836,1779l6826,1779,6826,1799,6836,1799,6836,1779xm6836,1717l6831,1717,6794,1774,6794,1779,6849,1779,6849,1771,6801,1771,6826,1731,6836,1731,6836,1717xm6836,1731l6826,1731,6826,1771,6836,1771,6836,1731xe" filled="true" fillcolor="#ff0000" stroked="false">
              <v:path arrowok="t"/>
              <v:fill type="solid"/>
            </v:shape>
            <v:shape style="position:absolute;left:6856;top:1717;width:56;height:83" coordorigin="6856,1717" coordsize="56,83" path="m6899,1779l6889,1779,6889,1799,6899,1799,6899,1779xm6899,1717l6892,1717,6856,1774,6856,1779,6912,1779,6912,1771,6861,1771,6889,1731,6899,1731,6899,1717xm6899,1731l6889,1731,6889,1771,6899,1771,6899,1731xe" filled="true" fillcolor="#ff0000" stroked="false">
              <v:path arrowok="t"/>
              <v:fill type="solid"/>
            </v:shape>
            <v:shape style="position:absolute;left:6794;top:1913;width:55;height:84" coordorigin="6794,1913" coordsize="55,84" path="m6836,1976l6826,1976,6826,1997,6836,1997,6836,1976xm6836,1913l6831,1913,6794,1970,6794,1976,6849,1976,6849,1968,6801,1968,6826,1927,6836,1927,6836,1913xm6836,1927l6826,1927,6826,1968,6836,1968,6836,1927xe" filled="true" fillcolor="#ff0000" stroked="false">
              <v:path arrowok="t"/>
              <v:fill type="solid"/>
            </v:shape>
            <v:shape style="position:absolute;left:6859;top:1913;width:47;height:85" coordorigin="6859,1913" coordsize="47,85" path="m6882,1997l6865,1997,6869,1998,6873,1998,6882,1997xm6897,1954l6876,1954,6873,1956,6871,1956,6871,1958,6882,1958,6883,1960,6886,1960,6889,1964,6892,1964,6893,1967,6893,1970,6896,1972,6896,1974,6897,1976,6897,1980,6896,1984,6893,1987,6892,1991,6889,1991,6887,1992,6883,1995,6861,1995,6861,1997,6887,1997,6893,1992,6902,1984,6906,1976,6906,1968,6902,1960,6902,1958,6897,1954xm6865,1988l6861,1988,6861,1991,6859,1992,6859,1995,6875,1995,6873,1992,6871,1992,6871,1991,6866,1991,6865,1988xm6893,1950l6886,1950,6883,1954,6896,1954,6893,1950xm6897,1921l6882,1921,6883,1923,6887,1926,6892,1930,6892,1931,6893,1933,6893,1940,6892,1940,6892,1946,6887,1950,6892,1950,6896,1946,6899,1940,6902,1936,6902,1927,6897,1923,6897,1921xm6887,1913l6876,1913,6873,1916,6871,1917,6866,1920,6863,1923,6861,1927,6861,1933,6865,1927,6869,1923,6873,1923,6876,1921,6897,1921,6892,1916,6887,1913xe" filled="true" fillcolor="#ff0000" stroked="false">
              <v:path arrowok="t"/>
              <v:fill type="solid"/>
            </v:shape>
            <v:shape style="position:absolute;left:6794;top:2110;width:55;height:84" coordorigin="6794,2110" coordsize="55,84" path="m6836,2173l6826,2173,6826,2193,6836,2193,6836,2173xm6836,2110l6831,2110,6794,2167,6794,2173,6849,2173,6849,2164,6801,2164,6826,2124,6836,2124,6836,2110xm6836,2124l6826,2124,6826,2164,6836,2164,6836,2124xe" filled="true" fillcolor="#ff0000" stroked="false">
              <v:path arrowok="t"/>
              <v:fill type="solid"/>
            </v:shape>
            <v:shape style="position:absolute;left:6856;top:2110;width:56;height:84" coordorigin="6856,2110" coordsize="56,84" path="m6902,2120l6886,2120,6887,2124,6892,2126,6892,2129,6893,2130,6896,2134,6896,2139,6893,2144,6893,2150,6892,2154,6887,2160,6882,2167,6875,2174,6856,2193,6903,2193,6909,2184,6866,2184,6871,2183,6873,2179,6882,2173,6887,2167,6892,2160,6897,2154,6902,2147,6903,2144,6903,2140,6906,2136,6906,2130,6903,2124,6902,2120xm6912,2179l6907,2179,6907,2180,6906,2180,6903,2183,6902,2183,6899,2184,6909,2184,6912,2179xm6887,2110l6876,2110,6869,2113,6863,2120,6859,2129,6856,2134,6859,2134,6861,2130,6863,2129,6863,2126,6866,2124,6871,2120,6902,2120,6897,2119,6892,2112,6887,2110xe" filled="true" fillcolor="#ff0000" stroked="false">
              <v:path arrowok="t"/>
              <v:fill type="solid"/>
            </v:shape>
            <v:shape style="position:absolute;left:6794;top:2306;width:55;height:84" coordorigin="6794,2306" coordsize="55,84" path="m6836,2369l6826,2369,6826,2389,6836,2389,6836,2369xm6836,2306l6831,2306,6794,2363,6794,2369,6849,2369,6849,2362,6801,2362,6826,2321,6836,2321,6836,2306xm6836,2321l6826,2321,6826,2362,6836,2362,6836,2321xe" filled="true" fillcolor="#ff0000" stroked="false">
              <v:path arrowok="t"/>
              <v:fill type="solid"/>
            </v:shape>
            <v:shape style="position:absolute;left:6869;top:2306;width:28;height:84" coordorigin="6869,2306" coordsize="28,84" path="m6896,2387l6876,2387,6876,2389,6897,2389,6896,2387xm6892,2306l6887,2306,6869,2316,6876,2316,6879,2319,6879,2321,6882,2325,6882,2383,6879,2386,6879,2387,6892,2387,6892,2306xe" filled="true" fillcolor="#ff0000" stroked="false">
              <v:path arrowok="t"/>
              <v:fill type="solid"/>
            </v:shape>
            <v:shape style="position:absolute;left:6794;top:2503;width:55;height:83" coordorigin="6794,2503" coordsize="55,83" path="m6836,2566l6826,2566,6826,2586,6836,2586,6836,2566xm6836,2503l6831,2503,6794,2559,6794,2566,6849,2566,6849,2558,6801,2558,6826,2518,6836,2518,6836,2503xm6836,2518l6826,2518,6826,2558,6836,2558,6836,2518xe" filled="true" fillcolor="#ff0000" stroked="false">
              <v:path arrowok="t"/>
              <v:fill type="solid"/>
            </v:shape>
            <v:shape style="position:absolute;left:6859;top:2503;width:54;height:85" coordorigin="6859,2503" coordsize="54,85" path="m6883,2503l6882,2503,6879,2505,6875,2507,6871,2511,6866,2514,6865,2518,6863,2524,6861,2528,6861,2534,6859,2539,6859,2554,6863,2569,6865,2576,6873,2585,6879,2586,6883,2588,6887,2588,6889,2586,6893,2585,6882,2585,6876,2582,6875,2579,6873,2576,6873,2569,6871,2564,6871,2521,6875,2514,6876,2511,6879,2511,6883,2507,6893,2507,6887,2505,6883,2503xm6893,2507l6886,2507,6887,2509,6889,2509,6893,2514,6896,2518,6896,2521,6897,2525,6897,2529,6899,2538,6899,2551,6897,2559,6897,2568,6896,2572,6896,2576,6892,2579,6892,2582,6889,2585,6896,2585,6897,2579,6902,2578,6903,2574,6907,2569,6907,2564,6910,2559,6912,2554,6912,2545,6910,2538,6907,2528,6903,2521,6902,2514,6897,2511,6893,2507xe" filled="true" fillcolor="#ff0000" stroked="false">
              <v:path arrowok="t"/>
              <v:fill type="solid"/>
            </v:shape>
            <v:shape style="position:absolute;left:6798;top:2700;width:47;height:85" coordorigin="6798,2700" coordsize="47,85" path="m6818,2782l6804,2782,6806,2785,6811,2785,6818,2782xm6804,2775l6801,2775,6798,2777,6798,2782,6826,2782,6827,2781,6814,2781,6812,2778,6811,2778,6808,2777,6804,2777,6804,2775xm6836,2740l6816,2740,6812,2742,6811,2742,6811,2744,6821,2744,6822,2747,6825,2747,6826,2748,6826,2750,6831,2750,6831,2751,6832,2754,6832,2757,6835,2758,6835,2771,6831,2775,6831,2777,6826,2777,6825,2778,6821,2781,6827,2781,6831,2778,6836,2775,6841,2771,6845,2762,6845,2754,6841,2747,6839,2744,6836,2740xm6835,2707l6818,2707,6822,2710,6831,2718,6831,2730,6821,2740,6835,2740,6831,2736,6828,2736,6835,2731,6836,2726,6841,2718,6841,2716,6839,2714,6835,2707xm6825,2700l6816,2700,6808,2703,6802,2710,6798,2718,6801,2720,6804,2714,6806,2710,6811,2710,6816,2707,6835,2707,6832,2703,6825,2700xe" filled="true" fillcolor="#ff0000" stroked="false">
              <v:path arrowok="t"/>
              <v:fill type="solid"/>
            </v:shape>
            <v:shape style="position:absolute;left:6859;top:2700;width:54;height:88" coordorigin="6859,2700" coordsize="54,88" path="m6893,2703l6886,2703,6889,2707,6892,2707,6893,2710,6893,2714,6896,2716,6897,2720,6897,2726,6899,2730,6899,2736,6897,2740,6897,2744,6893,2747,6887,2747,6886,2748,6897,2748,6896,2754,6893,2758,6892,2764,6887,2768,6886,2772,6882,2777,6873,2781,6871,2782,6861,2782,6861,2787,6863,2785,6866,2785,6879,2781,6883,2778,6896,2771,6902,2764,6903,2760,6907,2754,6910,2747,6912,2740,6912,2734,6910,2726,6906,2714,6897,2706,6893,2703xm6883,2700l6879,2701,6873,2703,6866,2707,6863,2710,6863,2714,6861,2720,6859,2724,6859,2734,6861,2740,6863,2744,6865,2747,6866,2750,6875,2754,6883,2754,6892,2750,6897,2748,6882,2748,6882,2747,6876,2744,6875,2744,6871,2736,6871,2716,6873,2711,6873,2710,6876,2707,6882,2703,6893,2703,6889,2701,6883,2700xe" filled="true" fillcolor="#ff0000" stroked="false">
              <v:path arrowok="t"/>
              <v:fill type="solid"/>
            </v:shape>
            <v:shape style="position:absolute;left:6798;top:2896;width:47;height:85" coordorigin="6798,2896" coordsize="47,85" path="m6818,2980l6804,2980,6806,2981,6811,2981,6818,2980xm6804,2971l6801,2971,6798,2973,6798,2980,6826,2980,6828,2977,6814,2977,6812,2975,6811,2975,6808,2973,6804,2973,6804,2971xm6836,2937l6816,2937,6812,2939,6811,2939,6811,2940,6821,2940,6822,2943,6825,2943,6826,2944,6826,2947,6831,2947,6831,2949,6832,2950,6832,2953,6835,2954,6835,2967,6831,2971,6831,2973,6826,2973,6825,2975,6821,2977,6828,2977,6831,2975,6836,2971,6841,2967,6845,2959,6845,2950,6841,2943,6839,2940,6836,2937xm6835,2904l6818,2904,6822,2906,6831,2914,6831,2927,6821,2937,6835,2937,6831,2933,6828,2933,6835,2929,6836,2923,6841,2914,6841,2912,6839,2910,6835,2904xm6825,2896l6816,2896,6808,2900,6802,2906,6798,2914,6801,2916,6804,2910,6806,2906,6811,2906,6816,2904,6835,2904,6832,2900,6825,2896xe" filled="true" fillcolor="#ff0000" stroked="false">
              <v:path arrowok="t"/>
              <v:fill type="solid"/>
            </v:shape>
            <v:shape style="position:absolute;left:6861;top:2896;width:46;height:85" coordorigin="6861,2896" coordsize="46,85" path="m6889,2896l6879,2896,6871,2900,6866,2904,6866,2906,6863,2910,6863,2924,6865,2927,6866,2930,6871,2933,6873,2937,6876,2940,6873,2943,6869,2947,6866,2950,6863,2953,6863,2957,6861,2960,6861,2964,6865,2973,6866,2975,6871,2977,6873,2980,6879,2981,6889,2981,6897,2977,6882,2977,6876,2973,6875,2973,6873,2971,6873,2950,6876,2947,6876,2944,6879,2943,6879,2943,6897,2943,6893,2940,6889,2937,6893,2933,6887,2933,6876,2927,6876,2923,6875,2920,6875,2916,6873,2914,6873,2910,6875,2909,6875,2906,6876,2904,6882,2902,6882,2900,6897,2900,6889,2896xm6897,2943l6882,2943,6879,2943,6883,2947,6889,2950,6893,2959,6896,2960,6896,2963,6897,2963,6897,2969,6893,2973,6893,2975,6892,2977,6897,2977,6902,2975,6907,2969,6907,2954,6903,2950,6903,2949,6897,2943xm6897,2900l6887,2900,6892,2904,6893,2904,6893,2910,6896,2912,6896,2916,6893,2919,6893,2927,6887,2933,6893,2933,6897,2930,6903,2924,6903,2923,6907,2919,6907,2912,6903,2904,6902,2902,6897,2900xe" filled="true" fillcolor="#ff0000" stroked="false">
              <v:path arrowok="t"/>
              <v:fill type="solid"/>
            </v:shape>
            <v:shape style="position:absolute;left:6798;top:3092;width:47;height:85" coordorigin="6798,3092" coordsize="47,85" path="m6818,3176l6804,3176,6806,3177,6811,3177,6818,3176xm6804,3167l6801,3167,6798,3169,6798,3176,6826,3176,6829,3173,6814,3173,6812,3172,6811,3172,6808,3169,6804,3169,6804,3167xm6836,3133l6816,3133,6812,3136,6811,3136,6811,3137,6821,3137,6822,3139,6825,3139,6826,3142,6826,3143,6831,3143,6831,3145,6832,3147,6832,3149,6835,3152,6835,3163,6831,3167,6831,3169,6826,3169,6825,3172,6821,3173,6829,3173,6831,3172,6836,3167,6841,3163,6845,3156,6845,3147,6841,3139,6839,3137,6836,3133xm6835,3101l6818,3101,6822,3102,6831,3111,6831,3123,6821,3133,6835,3133,6831,3129,6828,3129,6835,3125,6836,3119,6841,3111,6841,3109,6839,3106,6836,3102,6835,3101xm6825,3092l6816,3092,6808,3096,6802,3102,6798,3111,6801,3112,6804,3106,6806,3102,6811,3102,6816,3101,6835,3101,6832,3096,6825,3092xe" filled="true" fillcolor="#ff0000" stroked="false">
              <v:path arrowok="t"/>
              <v:fill type="solid"/>
            </v:shape>
            <v:shape style="position:absolute;left:6859;top:3095;width:51;height:83" coordorigin="6859,3095" coordsize="51,83" path="m6907,3105l6899,3105,6873,3177,6882,3177,6907,3105xm6910,3095l6866,3095,6859,3115,6861,3115,6861,3112,6866,3106,6871,3106,6873,3105,6907,3105,6910,3099,6910,3095xe" filled="true" fillcolor="#ff0000" stroked="false">
              <v:path arrowok="t"/>
              <v:fill type="solid"/>
            </v:shape>
            <v:shape style="position:absolute;left:6798;top:3289;width:47;height:86" coordorigin="6798,3289" coordsize="47,86" path="m6818,3372l6804,3372,6806,3375,6811,3375,6818,3372xm6804,3365l6801,3365,6798,3366,6798,3372,6826,3372,6829,3370,6814,3370,6812,3368,6811,3368,6808,3366,6804,3366,6804,3365xm6836,3329l6816,3329,6812,3331,6811,3331,6811,3334,6821,3334,6822,3336,6825,3336,6826,3338,6826,3339,6831,3339,6831,3342,6832,3344,6832,3346,6835,3348,6835,3359,6831,3365,6831,3366,6826,3366,6825,3368,6821,3370,6829,3370,6831,3368,6836,3365,6841,3359,6845,3352,6845,3344,6841,3336,6839,3334,6836,3329xm6835,3298l6818,3298,6822,3299,6831,3308,6831,3319,6821,3329,6835,3329,6831,3325,6828,3325,6835,3321,6836,3318,6839,3311,6841,3308,6841,3305,6839,3304,6836,3299,6835,3298xm6825,3289l6816,3289,6808,3294,6802,3299,6798,3308,6801,3309,6804,3304,6806,3299,6811,3299,6816,3298,6835,3298,6832,3294,6825,3289xe" filled="true" fillcolor="#ff0000" stroked="false">
              <v:path arrowok="t"/>
              <v:fill type="solid"/>
            </v:shape>
            <v:shape style="position:absolute;left:6859;top:3289;width:54;height:86" coordorigin="6859,3289" coordsize="54,86" path="m6902,3325l6887,3325,6892,3328,6893,3329,6897,3338,6897,3344,6899,3346,6899,3356,6896,3365,6892,3368,6892,3370,6873,3370,6882,3375,6883,3375,6889,3372,6896,3372,6902,3368,6903,3365,6907,3359,6912,3352,6912,3342,6910,3336,6907,3331,6902,3325xm6902,3294l6892,3294,6879,3299,6871,3308,6866,3314,6861,3325,6861,3329,6859,3336,6859,3342,6861,3349,6861,3356,6865,3365,6871,3370,6882,3370,6876,3368,6876,3366,6873,3365,6873,3359,6871,3356,6871,3331,6874,3331,6876,3328,6871,3328,6873,3324,6873,3319,6876,3318,6876,3314,6879,3311,6882,3308,6887,3301,6892,3299,6893,3298,6896,3298,6897,3295,6902,3294xm6874,3331l6871,3331,6871,3334,6874,3331xm6893,3321l6886,3321,6882,3324,6875,3325,6871,3328,6882,3328,6882,3325,6902,3325,6893,3321xm6910,3289l6903,3289,6896,3294,6910,3294,6910,3289xe" filled="true" fillcolor="#ff0000" stroked="false">
              <v:path arrowok="t"/>
              <v:fill type="solid"/>
            </v:shape>
            <v:shape style="position:absolute;left:6798;top:3486;width:47;height:85" coordorigin="6798,3486" coordsize="47,85" path="m6818,3568l6804,3568,6806,3571,6811,3571,6818,3568xm6804,3561l6801,3561,6798,3562,6798,3568,6826,3568,6827,3567,6814,3567,6812,3565,6811,3565,6808,3562,6804,3562,6804,3561xm6836,3526l6816,3526,6812,3528,6811,3528,6811,3530,6821,3530,6822,3532,6825,3532,6826,3534,6826,3537,6831,3537,6831,3538,6832,3540,6832,3542,6835,3545,6835,3557,6831,3561,6831,3562,6826,3562,6825,3565,6821,3567,6827,3567,6831,3565,6836,3561,6841,3557,6845,3548,6845,3540,6841,3532,6839,3530,6836,3526xm6835,3494l6818,3494,6822,3496,6831,3504,6831,3517,6821,3526,6835,3526,6831,3522,6828,3522,6835,3518,6839,3508,6841,3504,6841,3502,6839,3500,6836,3496,6835,3494xm6825,3486l6816,3486,6808,3490,6802,3496,6798,3504,6801,3506,6804,3500,6806,3496,6811,3496,6816,3494,6835,3494,6832,3490,6825,3486xe" filled="true" fillcolor="#ff0000" stroked="false">
              <v:path arrowok="t"/>
              <v:fill type="solid"/>
            </v:shape>
            <v:shape style="position:absolute;left:6861;top:3487;width:46;height:84" coordorigin="6861,3487" coordsize="46,84" path="m6882,3568l6866,3568,6871,3571,6876,3571,6882,3568xm6866,3561l6861,3561,6861,3567,6863,3568,6887,3568,6889,3567,6892,3567,6893,3565,6876,3565,6873,3562,6871,3562,6866,3561xm6907,3487l6876,3487,6861,3520,6871,3520,6875,3522,6879,3522,6883,3526,6892,3530,6893,3532,6893,3537,6896,3540,6897,3542,6897,3551,6896,3555,6893,3557,6892,3561,6889,3561,6887,3562,6883,3565,6893,3565,6893,3562,6896,3562,6897,3561,6899,3557,6903,3552,6903,3547,6906,3542,6906,3540,6903,3537,6903,3530,6902,3526,6892,3517,6879,3510,6871,3510,6876,3498,6902,3498,6907,3487xe" filled="true" fillcolor="#ff0000" stroked="false">
              <v:path arrowok="t"/>
              <v:fill type="solid"/>
            </v:shape>
            <v:shape style="position:absolute;left:6798;top:3682;width:47;height:85" coordorigin="6798,3682" coordsize="47,85" path="m6818,3765l6804,3765,6806,3767,6811,3767,6818,3765xm6804,3757l6801,3757,6798,3760,6798,3765,6826,3765,6827,3764,6814,3764,6812,3761,6811,3761,6808,3760,6804,3760,6804,3757xm6836,3723l6816,3723,6812,3724,6811,3724,6811,3727,6821,3727,6822,3729,6825,3729,6826,3730,6826,3733,6831,3733,6831,3734,6832,3737,6832,3739,6835,3740,6835,3753,6831,3757,6831,3760,6826,3760,6825,3761,6821,3764,6827,3764,6831,3761,6836,3757,6841,3753,6845,3744,6845,3737,6841,3729,6839,3727,6836,3723xm6835,3690l6818,3690,6822,3692,6831,3700,6831,3713,6821,3723,6835,3723,6831,3719,6828,3719,6835,3714,6836,3710,6839,3704,6841,3700,6841,3699,6839,3696,6836,3692,6835,3690xm6825,3682l6816,3682,6808,3686,6802,3692,6798,3700,6801,3703,6804,3696,6806,3692,6811,3692,6816,3690,6835,3690,6832,3686,6825,3682xe" filled="true" fillcolor="#ff0000" stroked="false">
              <v:path arrowok="t"/>
              <v:fill type="solid"/>
            </v:shape>
            <v:shape style="position:absolute;left:6856;top:3682;width:56;height:83" coordorigin="6856,3682" coordsize="56,83" path="m6899,3744l6889,3744,6889,3765,6899,3765,6899,3744xm6899,3682l6892,3682,6856,3739,6856,3744,6912,3744,6912,3737,6861,3737,6889,3696,6899,3696,6899,3682xm6899,3696l6889,3696,6889,3737,6899,3737,6899,3696xe" filled="true" fillcolor="#ff0000" stroked="false">
              <v:path arrowok="t"/>
              <v:fill type="solid"/>
            </v:shape>
            <v:shape style="position:absolute;left:6798;top:3879;width:47;height:85" coordorigin="6798,3879" coordsize="47,85" path="m6818,3962l6804,3962,6806,3964,6811,3964,6818,3962xm6804,3953l6801,3953,6798,3956,6798,3962,6826,3962,6828,3960,6814,3960,6812,3957,6811,3957,6808,3956,6804,3956,6804,3953xm6836,3919l6816,3919,6812,3922,6811,3922,6811,3923,6821,3923,6822,3926,6825,3926,6826,3927,6826,3929,6831,3929,6831,3932,6832,3933,6832,3936,6835,3937,6835,3949,6831,3953,6831,3956,6826,3956,6825,3957,6821,3960,6828,3960,6831,3957,6836,3953,6841,3949,6845,3942,6845,3933,6841,3926,6839,3923,6836,3919xm6835,3886l6818,3886,6822,3889,6831,3896,6831,3909,6821,3919,6835,3919,6831,3916,6828,3916,6835,3912,6836,3907,6839,3901,6841,3896,6841,3895,6839,3892,6836,3889,6835,3886xm6825,3879l6816,3879,6808,3882,6802,3889,6798,3896,6801,3899,6804,3892,6806,3889,6811,3889,6816,3886,6835,3886,6832,3882,6825,3879xe" filled="true" fillcolor="#ff0000" stroked="false">
              <v:path arrowok="t"/>
              <v:fill type="solid"/>
            </v:shape>
            <v:shape style="position:absolute;left:6859;top:3879;width:47;height:85" coordorigin="6859,3879" coordsize="47,85" path="m6882,3962l6865,3962,6869,3964,6873,3964,6882,3962xm6897,3919l6876,3919,6873,3922,6871,3922,6871,3923,6882,3923,6883,3926,6886,3926,6889,3929,6892,3929,6893,3932,6893,3936,6896,3937,6896,3939,6897,3942,6897,3946,6893,3953,6892,3956,6889,3956,6887,3957,6883,3960,6861,3960,6861,3962,6887,3962,6893,3957,6902,3949,6906,3942,6906,3933,6902,3926,6902,3923,6897,3919xm6865,3953l6861,3953,6861,3956,6859,3957,6859,3960,6875,3960,6873,3957,6871,3957,6871,3956,6866,3956,6865,3953xm6893,3916l6886,3916,6883,3919,6896,3919,6893,3916xm6897,3886l6882,3886,6883,3889,6887,3891,6892,3895,6892,3896,6893,3899,6893,3905,6892,3907,6892,3912,6887,3916,6892,3916,6899,3907,6902,3901,6902,3892,6897,3889,6897,3886xm6887,3879l6876,3879,6873,3881,6871,3882,6866,3885,6863,3889,6861,3892,6861,3899,6865,3892,6869,3889,6873,3889,6876,3886,6897,3886,6892,3881,6887,3879xe" filled="true" fillcolor="#ff0000" stroked="false">
              <v:path arrowok="t"/>
              <v:fill type="solid"/>
            </v:shape>
            <v:shape style="position:absolute;left:6798;top:4075;width:47;height:85" coordorigin="6798,4075" coordsize="47,85" path="m6818,4158l6804,4158,6806,4160,6811,4160,6818,4158xm6804,4149l6801,4149,6798,4152,6798,4158,6826,4158,6829,4156,6814,4156,6812,4155,6811,4155,6808,4152,6804,4152,6804,4149xm6836,4116l6816,4116,6812,4118,6811,4118,6811,4119,6821,4119,6822,4122,6825,4122,6826,4124,6826,4126,6831,4126,6831,4128,6832,4129,6832,4132,6835,4134,6835,4146,6831,4149,6831,4152,6826,4152,6825,4155,6821,4156,6829,4156,6831,4155,6836,4149,6841,4146,6845,4138,6845,4129,6841,4122,6839,4119,6836,4116xm6835,4084l6818,4084,6822,4085,6831,4094,6831,4105,6821,4116,6835,4116,6831,4112,6828,4112,6835,4108,6839,4098,6841,4094,6841,4091,6839,4089,6836,4085,6835,4084xm6825,4075l6816,4075,6808,4079,6802,4085,6798,4094,6801,4095,6804,4089,6806,4085,6811,4085,6816,4084,6835,4084,6832,4079,6825,4075xe" filled="true" fillcolor="#ff0000" stroked="false">
              <v:path arrowok="t"/>
              <v:fill type="solid"/>
            </v:shape>
            <v:shape style="position:absolute;left:6856;top:4075;width:56;height:84" coordorigin="6856,4075" coordsize="56,84" path="m6912,4145l6907,4145,6907,4146,6906,4146,6903,4148,6903,4149,6866,4149,6856,4158,6903,4158,6912,4145xm6902,4085l6886,4085,6887,4089,6892,4091,6892,4094,6893,4095,6896,4099,6896,4104,6893,4109,6893,4116,6892,4119,6887,4126,6882,4132,6875,4140,6866,4149,6871,4148,6873,4145,6882,4138,6887,4132,6892,4126,6897,4119,6902,4112,6903,4109,6903,4105,6906,4101,6906,4095,6903,4089,6902,4085xm6887,4075l6876,4075,6869,4079,6863,4085,6859,4094,6856,4099,6859,4099,6861,4095,6863,4094,6863,4091,6866,4089,6871,4085,6902,4085,6897,4084,6892,4077,6887,4075xe" filled="true" fillcolor="#ff0000" stroked="false">
              <v:path arrowok="t"/>
              <v:fill type="solid"/>
            </v:shape>
            <v:shape style="position:absolute;left:6798;top:4271;width:47;height:86" coordorigin="6798,4271" coordsize="47,86" path="m6818,4355l6804,4355,6806,4357,6811,4357,6818,4355xm6804,4347l6801,4347,6798,4348,6798,4355,6826,4355,6829,4352,6814,4352,6812,4351,6811,4351,6808,4348,6804,4348,6804,4347xm6836,4312l6816,4312,6812,4314,6811,4314,6811,4317,6821,4317,6822,4318,6825,4318,6826,4321,6826,4322,6831,4322,6831,4325,6832,4327,6832,4328,6835,4331,6835,4342,6831,4347,6831,4348,6826,4348,6825,4351,6821,4352,6829,4352,6831,4351,6836,4347,6841,4342,6845,4335,6845,4327,6841,4318,6839,4317,6836,4312xm6835,4280l6818,4280,6822,4281,6831,4290,6831,4301,6821,4312,6835,4312,6831,4308,6828,4308,6835,4304,6839,4294,6841,4290,6841,4288,6839,4286,6836,4281,6835,4280xm6825,4271l6816,4271,6808,4276,6802,4281,6798,4290,6801,4291,6804,4286,6806,4281,6811,4281,6816,4280,6835,4280,6832,4276,6825,4271xe" filled="true" fillcolor="#ff0000" stroked="false">
              <v:path arrowok="t"/>
              <v:fill type="solid"/>
            </v:shape>
            <v:shape style="position:absolute;left:6869;top:4271;width:28;height:84" coordorigin="6869,4271" coordsize="28,84" path="m6896,4352l6876,4352,6876,4355,6897,4355,6896,4352xm6892,4271l6887,4271,6869,4281,6876,4281,6879,4284,6879,4286,6882,4290,6882,4348,6879,4351,6879,4352,6892,4352,6892,4271xe" filled="true" fillcolor="#ff0000" stroked="false">
              <v:path arrowok="t"/>
              <v:fill type="solid"/>
            </v:shape>
            <v:shape style="position:absolute;left:6798;top:4469;width:47;height:85" coordorigin="6798,4469" coordsize="47,85" path="m6818,4551l6804,4551,6806,4554,6811,4554,6818,4551xm6804,4543l6801,4543,6798,4545,6798,4551,6826,4551,6827,4550,6814,4550,6812,4547,6811,4547,6808,4545,6804,4545,6804,4543xm6836,4509l6816,4509,6812,4510,6811,4510,6811,4513,6821,4513,6822,4514,6825,4514,6826,4517,6826,4519,6831,4519,6831,4521,6832,4523,6832,4525,6835,4527,6835,4540,6831,4543,6831,4545,6826,4545,6825,4547,6821,4550,6827,4550,6831,4547,6836,4543,6841,4540,6845,4531,6845,4523,6841,4514,6839,4513,6836,4509xm6835,4477l6818,4477,6822,4479,6831,4487,6831,4499,6821,4509,6835,4509,6831,4504,6828,4504,6835,4500,6836,4497,6839,4490,6841,4487,6841,4484,6839,4483,6836,4479,6835,4477xm6825,4469l6816,4469,6808,4473,6802,4479,6798,4487,6801,4489,6804,4483,6806,4479,6811,4479,6816,4477,6835,4477,6832,4473,6825,4469xe" filled="true" fillcolor="#ff0000" stroked="false">
              <v:path arrowok="t"/>
              <v:fill type="solid"/>
            </v:shape>
            <v:shape style="position:absolute;left:6859;top:4469;width:54;height:85" coordorigin="6859,4469" coordsize="54,85" path="m6883,4469l6882,4469,6879,4470,6875,4473,6871,4477,6866,4479,6865,4483,6863,4489,6861,4493,6861,4499,6859,4504,6859,4519,6863,4535,6865,4541,6873,4550,6879,4551,6883,4554,6887,4554,6889,4551,6893,4550,6882,4550,6876,4547,6875,4545,6873,4541,6873,4535,6871,4530,6871,4487,6875,4479,6876,4477,6879,4477,6883,4473,6893,4473,6887,4470,6883,4469xm6893,4473l6886,4473,6887,4474,6889,4474,6893,4479,6896,4483,6896,4487,6897,4490,6897,4497,6899,4503,6899,4517,6897,4525,6897,4534,6896,4537,6896,4541,6892,4545,6892,4547,6889,4550,6896,4550,6897,4545,6902,4543,6903,4540,6907,4535,6907,4530,6910,4525,6912,4519,6912,4510,6910,4503,6907,4493,6903,4487,6902,4479,6897,4477,6893,4473xe" filled="true" fillcolor="#ff0000" stroked="false">
              <v:path arrowok="t"/>
              <v:fill type="solid"/>
            </v:shape>
            <v:shape style="position:absolute;left:6794;top:4665;width:55;height:85" coordorigin="6794,4665" coordsize="55,85" path="m6841,4675l6825,4675,6826,4679,6832,4685,6835,4689,6835,4693,6831,4706,6828,4709,6821,4722,6814,4729,6804,4740,6794,4747,6794,4750,6843,4750,6846,4740,6806,4740,6831,4716,6835,4709,6836,4706,6841,4702,6841,4699,6845,4692,6845,4685,6843,4679,6841,4675xm6849,4734l6846,4734,6841,4740,6846,4740,6849,4734xm6825,4665l6814,4665,6806,4669,6804,4672,6801,4675,6798,4679,6798,4683,6796,4689,6798,4689,6798,4685,6806,4676,6811,4675,6841,4675,6836,4672,6832,4669,6825,4665xe" filled="true" fillcolor="#ff0000" stroked="false">
              <v:path arrowok="t"/>
              <v:fill type="solid"/>
            </v:shape>
            <v:shape style="position:absolute;left:6859;top:4665;width:54;height:88" coordorigin="6859,4665" coordsize="54,88" path="m6863,4750l6861,4750,6861,4752,6863,4750xm6893,4669l6886,4669,6889,4672,6892,4672,6893,4675,6893,4679,6896,4682,6897,4685,6897,4692,6899,4695,6899,4702,6897,4706,6897,4709,6893,4712,6887,4712,6886,4713,6897,4713,6896,4719,6893,4723,6892,4729,6887,4734,6886,4737,6882,4742,6873,4746,6871,4747,6866,4747,6863,4750,6873,4750,6879,4746,6883,4744,6896,4736,6902,4729,6903,4726,6907,4719,6910,4712,6912,4706,6912,4699,6910,4693,6907,4685,6906,4679,6897,4671,6893,4669xm6883,4665l6879,4666,6873,4669,6866,4672,6863,4675,6863,4679,6861,4685,6859,4689,6859,4699,6861,4706,6863,4709,6865,4712,6866,4716,6875,4719,6883,4719,6892,4716,6897,4713,6882,4713,6882,4712,6876,4709,6875,4709,6871,4702,6871,4682,6873,4676,6873,4675,6876,4672,6882,4669,6893,4669,6889,4666,6883,4665xe" filled="true" fillcolor="#ff0000" stroked="false">
              <v:path arrowok="t"/>
              <v:fill type="solid"/>
            </v:shape>
            <v:shape style="position:absolute;left:6794;top:4861;width:55;height:85" coordorigin="6794,4861" coordsize="55,85" path="m6841,4871l6825,4871,6826,4875,6832,4881,6835,4886,6835,4889,6831,4902,6828,4906,6821,4918,6814,4926,6804,4936,6794,4945,6794,4946,6843,4946,6846,4936,6806,4936,6831,4912,6835,4906,6836,4902,6841,4898,6841,4896,6845,4888,6845,4881,6843,4875,6841,4871xm6849,4930l6846,4930,6841,4936,6846,4936,6849,4930xm6825,4861l6814,4861,6806,4865,6804,4869,6801,4871,6798,4875,6798,4879,6796,4886,6798,4886,6798,4881,6806,4874,6811,4871,6841,4871,6836,4869,6832,4865,6825,4861xe" filled="true" fillcolor="#ff0000" stroked="false">
              <v:path arrowok="t"/>
              <v:fill type="solid"/>
            </v:shape>
            <v:shape style="position:absolute;left:6861;top:4861;width:46;height:85" coordorigin="6861,4861" coordsize="46,85" path="m6889,4861l6879,4861,6871,4865,6866,4869,6866,4871,6863,4875,6863,4889,6865,4892,6866,4896,6871,4898,6873,4902,6876,4906,6873,4908,6869,4912,6866,4916,6863,4918,6863,4922,6861,4926,6861,4930,6865,4939,6866,4940,6871,4943,6873,4946,6893,4946,6897,4943,6882,4943,6876,4939,6875,4939,6873,4936,6873,4916,6876,4912,6876,4909,6879,4909,6879,4908,6897,4908,6893,4906,6889,4902,6893,4898,6887,4898,6876,4892,6876,4888,6875,4886,6875,4881,6873,4879,6873,4875,6875,4874,6875,4871,6876,4869,6882,4868,6882,4865,6897,4865,6889,4861xm6897,4908l6882,4908,6879,4909,6883,4912,6889,4916,6893,4924,6896,4926,6896,4928,6897,4928,6897,4935,6893,4939,6893,4940,6892,4943,6897,4943,6902,4940,6907,4935,6907,4920,6903,4916,6903,4915,6897,4908xm6897,4865l6887,4865,6892,4869,6893,4869,6893,4875,6896,4878,6896,4881,6893,4884,6893,4892,6887,4898,6893,4898,6897,4896,6903,4889,6903,4888,6907,4884,6907,4878,6903,4869,6902,4868,6897,4865xe" filled="true" fillcolor="#ff0000" stroked="false">
              <v:path arrowok="t"/>
              <v:fill type="solid"/>
            </v:shape>
            <v:shape style="position:absolute;left:6798;top:5415;width:47;height:83" coordorigin="6798,5415" coordsize="47,83" path="m6804,5487l6801,5487,6801,5489,6798,5492,6801,5496,6802,5497,6822,5497,6825,5496,6826,5496,6831,5493,6831,5492,6812,5492,6811,5489,6806,5489,6804,5487xm6845,5415l6816,5415,6801,5446,6804,5446,6811,5449,6814,5449,6816,5451,6825,5455,6832,5463,6835,5467,6835,5482,6831,5486,6831,5487,6826,5489,6825,5492,6831,5492,6835,5489,6836,5487,6836,5486,6841,5482,6841,5479,6843,5477,6843,5475,6845,5472,6845,5469,6843,5463,6841,5459,6839,5453,6831,5445,6825,5441,6816,5439,6811,5436,6814,5425,6841,5425,6845,5415xe" filled="true" fillcolor="#ff0000" stroked="false">
              <v:path arrowok="t"/>
              <v:fill type="solid"/>
            </v:shape>
            <v:shape style="position:absolute;left:6859;top:5415;width:54;height:83" coordorigin="6859,5415" coordsize="54,83" path="m6882,5419l6873,5419,6871,5422,6866,5425,6863,5432,6861,5439,6861,5445,6859,5451,6859,5466,6861,5472,6863,5479,6865,5486,6869,5492,6873,5496,6879,5497,6889,5497,6893,5496,6883,5496,6882,5493,6876,5492,6875,5489,6873,5486,6873,5482,6871,5473,6871,5432,6875,5425,6882,5419xm6887,5415l6879,5415,6875,5419,6889,5419,6892,5421,6892,5422,6896,5426,6896,5431,6897,5435,6897,5441,6899,5446,6899,5462,6897,5469,6897,5477,6896,5482,6896,5486,6893,5489,6889,5493,6887,5493,6886,5496,6893,5496,6896,5493,6897,5492,6902,5489,6903,5486,6907,5479,6907,5475,6912,5463,6912,5455,6907,5439,6903,5431,6902,5425,6893,5416,6887,5415xe" filled="true" fillcolor="#ff0000" stroked="false">
              <v:path arrowok="t"/>
              <v:fill type="solid"/>
            </v:shape>
            <v:shape style="position:absolute;left:6794;top:5662;width:55;height:84" coordorigin="6794,5662" coordsize="55,84" path="m6836,5723l6826,5723,6826,5745,6836,5745,6836,5723xm6836,5662l6831,5662,6794,5716,6794,5723,6849,5723,6849,5715,6801,5715,6826,5674,6836,5674,6836,5662xm6836,5674l6826,5674,6826,5715,6836,5715,6836,5674xe" filled="true" fillcolor="#ff0000" stroked="false">
              <v:path arrowok="t"/>
              <v:fill type="solid"/>
            </v:shape>
            <v:shape style="position:absolute;left:6859;top:5662;width:54;height:85" coordorigin="6859,5662" coordsize="54,85" path="m6863,5745l6861,5745,6861,5746,6863,5745xm6897,5666l6887,5666,6889,5668,6892,5668,6893,5672,6893,5674,6896,5676,6897,5679,6897,5686,6899,5689,6899,5698,6897,5699,6897,5705,6893,5706,6893,5708,6897,5708,6896,5715,6893,5719,6892,5725,6887,5729,6886,5733,6882,5736,6873,5740,6871,5743,6866,5743,6863,5745,6873,5745,6879,5740,6883,5739,6896,5730,6902,5725,6903,5720,6907,5715,6912,5702,6912,5695,6906,5676,6902,5669,6897,5666xm6889,5662l6879,5662,6873,5664,6866,5668,6863,5672,6863,5676,6861,5679,6859,5686,6859,5695,6861,5699,6865,5708,6866,5710,6875,5715,6883,5715,6892,5710,6897,5708,6882,5708,6876,5705,6875,5705,6871,5696,6871,5676,6873,5672,6873,5669,6876,5668,6879,5666,6897,5666,6889,5662xe" filled="true" fillcolor="#ff0000" stroked="false">
              <v:path arrowok="t"/>
              <v:fill type="solid"/>
            </v:shape>
            <v:shape style="position:absolute;left:6794;top:5908;width:55;height:84" coordorigin="6794,5908" coordsize="55,84" path="m6836,5969l6826,5969,6826,5992,6836,5992,6836,5969xm6836,5908l6831,5908,6794,5963,6794,5969,6849,5969,6849,5962,6801,5962,6826,5921,6836,5921,6836,5908xm6836,5921l6826,5921,6826,5962,6836,5962,6836,5921xe" filled="true" fillcolor="#ff0000" stroked="false">
              <v:path arrowok="t"/>
              <v:fill type="solid"/>
            </v:shape>
            <v:shape style="position:absolute;left:6861;top:5908;width:46;height:84" coordorigin="6861,5908" coordsize="46,84" path="m6893,5908l6875,5908,6871,5911,6866,5915,6866,5917,6863,5921,6863,5935,6865,5938,6866,5941,6871,5943,6873,5948,6876,5952,6873,5953,6869,5958,6866,5962,6863,5963,6863,5968,6861,5972,6861,5976,6865,5983,6866,5986,6871,5988,6873,5992,6893,5992,6897,5988,6882,5988,6876,5983,6875,5983,6873,5982,6873,5962,6876,5958,6876,5955,6880,5954,6879,5953,6894,5953,6889,5948,6893,5945,6887,5945,6876,5938,6876,5933,6875,5932,6875,5928,6873,5925,6873,5921,6875,5919,6876,5915,6882,5912,6882,5911,6899,5911,6893,5908xm6894,5953l6882,5953,6880,5954,6883,5958,6889,5962,6893,5969,6896,5972,6896,5973,6897,5976,6897,5980,6893,5983,6893,5986,6892,5988,6897,5988,6902,5986,6907,5980,6907,5965,6903,5962,6903,5959,6902,5958,6897,5955,6894,5953xm6899,5911l6887,5911,6892,5915,6893,5915,6893,5921,6896,5923,6896,5929,6893,5929,6893,5938,6889,5941,6887,5945,6893,5945,6903,5935,6903,5933,6907,5929,6907,5923,6903,5915,6902,5912,6899,5911xe" filled="true" fillcolor="#ff0000" stroked="false">
              <v:path arrowok="t"/>
              <v:fill type="solid"/>
            </v:shape>
            <v:shape style="position:absolute;left:6794;top:6154;width:55;height:83" coordorigin="6794,6154" coordsize="55,83" path="m6836,6216l6826,6216,6826,6237,6836,6237,6836,6216xm6836,6154l6831,6154,6794,6211,6794,6216,6849,6216,6849,6209,6801,6209,6826,6168,6836,6168,6836,6154xm6836,6168l6826,6168,6826,6209,6836,6209,6836,6168xe" filled="true" fillcolor="#ff0000" stroked="false">
              <v:path arrowok="t"/>
              <v:fill type="solid"/>
            </v:shape>
            <v:shape style="position:absolute;left:6859;top:6155;width:51;height:84" coordorigin="6859,6155" coordsize="51,84" path="m6908,6165l6899,6165,6873,6239,6882,6239,6908,6165xm6910,6155l6866,6155,6859,6176,6861,6176,6861,6174,6866,6168,6871,6168,6873,6165,6908,6165,6910,6161,6910,6155xe" filled="true" fillcolor="#ff0000" stroked="false">
              <v:path arrowok="t"/>
              <v:fill type="solid"/>
            </v:shape>
            <v:shape style="position:absolute;left:6794;top:6401;width:55;height:84" coordorigin="6794,6401" coordsize="55,84" path="m6836,6464l6826,6464,6826,6485,6836,6485,6836,6464xm6836,6401l6831,6401,6794,6458,6794,6464,6849,6464,6849,6456,6801,6456,6826,6415,6836,6415,6836,6401xm6836,6415l6826,6415,6826,6456,6836,6456,6836,6415xe" filled="true" fillcolor="#ff0000" stroked="false">
              <v:path arrowok="t"/>
              <v:fill type="solid"/>
            </v:shape>
            <v:shape style="position:absolute;left:6859;top:6401;width:54;height:85" coordorigin="6859,6401" coordsize="54,85" path="m6902,6405l6892,6405,6879,6411,6871,6419,6866,6425,6865,6428,6863,6434,6861,6438,6861,6442,6859,6448,6859,6454,6861,6462,6861,6468,6865,6476,6871,6479,6873,6482,6882,6486,6883,6486,6889,6485,6896,6485,6899,6482,6883,6482,6882,6479,6876,6479,6876,6478,6873,6474,6873,6472,6871,6468,6871,6444,6873,6444,6876,6439,6871,6439,6873,6435,6873,6431,6876,6428,6876,6425,6879,6424,6882,6419,6887,6414,6892,6411,6896,6407,6897,6407,6902,6405xm6901,6438l6887,6438,6892,6439,6893,6442,6897,6449,6897,6454,6899,6458,6899,6468,6896,6476,6892,6479,6887,6482,6899,6482,6902,6479,6903,6476,6907,6472,6912,6464,6912,6454,6910,6448,6907,6444,6901,6438xm6897,6434l6882,6434,6875,6438,6871,6439,6882,6439,6882,6438,6901,6438,6897,6434xm6910,6401l6903,6401,6896,6405,6910,6405,6910,6401xe" filled="true" fillcolor="#ff0000" stroked="false">
              <v:path arrowok="t"/>
              <v:fill type="solid"/>
            </v:shape>
            <v:shape style="position:absolute;left:6794;top:6648;width:55;height:84" coordorigin="6794,6648" coordsize="55,84" path="m6836,6711l6826,6711,6826,6732,6836,6732,6836,6711xm6836,6648l6831,6648,6794,6705,6794,6711,6849,6711,6849,6703,6801,6703,6826,6661,6836,6661,6836,6648xm6836,6661l6826,6661,6826,6703,6836,6703,6836,6661xe" filled="true" fillcolor="#ff0000" stroked="false">
              <v:path arrowok="t"/>
              <v:fill type="solid"/>
            </v:shape>
            <v:shape style="position:absolute;left:6861;top:6651;width:46;height:83" coordorigin="6861,6651" coordsize="46,83" path="m6882,6732l6866,6732,6871,6733,6876,6733,6882,6732xm6866,6722l6863,6722,6861,6723,6861,6729,6863,6732,6887,6732,6891,6728,6876,6728,6873,6725,6871,6725,6866,6723,6866,6722xm6907,6651l6876,6651,6861,6681,6866,6681,6875,6685,6879,6685,6883,6687,6887,6691,6892,6692,6893,6695,6893,6698,6897,6705,6897,6713,6896,6718,6887,6725,6883,6728,6891,6728,6893,6725,6896,6725,6897,6722,6903,6715,6903,6709,6906,6705,6906,6703,6903,6698,6903,6692,6902,6687,6897,6685,6887,6675,6871,6671,6876,6661,6902,6661,6907,6651xe" filled="true" fillcolor="#ff0000" stroked="false">
              <v:path arrowok="t"/>
              <v:fill type="solid"/>
            </v:shape>
            <v:shape style="position:absolute;left:6794;top:6895;width:55;height:84" coordorigin="6794,6895" coordsize="55,84" path="m6836,6958l6826,6958,6826,6979,6836,6979,6836,6958xm6836,6895l6831,6895,6794,6951,6794,6958,6849,6958,6849,6951,6801,6951,6826,6908,6836,6908,6836,6895xm6836,6908l6826,6908,6826,6951,6836,6951,6836,6908xe" filled="true" fillcolor="#ff0000" stroked="false">
              <v:path arrowok="t"/>
              <v:fill type="solid"/>
            </v:shape>
            <v:shape style="position:absolute;left:6856;top:6895;width:56;height:84" coordorigin="6856,6895" coordsize="56,84" path="m6899,6958l6889,6958,6889,6979,6899,6979,6899,6958xm6899,6895l6892,6895,6856,6951,6856,6958,6912,6958,6912,6951,6861,6951,6889,6908,6899,6908,6899,6895xm6899,6908l6889,6908,6889,6951,6899,6951,6899,6908xe" filled="true" fillcolor="#ff0000" stroked="false">
              <v:path arrowok="t"/>
              <v:fill type="solid"/>
            </v:shape>
            <v:shape style="position:absolute;left:6794;top:7143;width:55;height:83" coordorigin="6794,7143" coordsize="55,83" path="m6836,7204l6826,7204,6826,7226,6836,7226,6836,7204xm6836,7143l6831,7143,6794,7198,6794,7204,6849,7204,6849,7198,6801,7198,6826,7154,6836,7154,6836,7143xm6836,7154l6826,7154,6826,7198,6836,7198,6836,7154xe" filled="true" fillcolor="#ff0000" stroked="false">
              <v:path arrowok="t"/>
              <v:fill type="solid"/>
            </v:shape>
            <v:shape style="position:absolute;left:6859;top:7143;width:47;height:85" coordorigin="6859,7143" coordsize="47,85" path="m6873,7219l6859,7219,6859,7222,6861,7224,6861,7226,6865,7226,6869,7228,6873,7228,6882,7226,6887,7224,6890,7222,6875,7222,6873,7219xm6897,7151l6883,7151,6887,7154,6889,7154,6892,7157,6892,7161,6893,7164,6893,7167,6892,7169,6892,7174,6882,7184,6871,7184,6871,7185,6876,7185,6879,7188,6883,7188,6887,7191,6892,7191,6892,7194,6893,7194,6893,7198,6896,7201,6897,7204,6897,7209,6896,7214,6889,7219,6887,7219,6883,7222,6890,7222,6893,7219,6897,7218,6902,7214,6903,7208,6906,7204,6906,7195,6902,7188,6902,7185,6897,7184,6892,7177,6899,7169,6902,7165,6902,7154,6897,7153,6897,7151xm6866,7218l6861,7218,6861,7219,6869,7219,6866,7218xm6887,7143l6876,7143,6873,7144,6871,7147,6866,7147,6865,7151,6863,7153,6861,7157,6861,7161,6869,7153,6873,7151,6897,7151,6892,7144,6887,7143xe" filled="true" fillcolor="#ff0000" stroked="false">
              <v:path arrowok="t"/>
              <v:fill type="solid"/>
            </v:shape>
            <v:shape style="position:absolute;left:6794;top:7390;width:55;height:83" coordorigin="6794,7390" coordsize="55,83" path="m6836,7451l6826,7451,6826,7473,6836,7473,6836,7451xm6836,7390l6831,7390,6794,7445,6794,7451,6849,7451,6849,7445,6801,7445,6826,7402,6836,7402,6836,7390xm6836,7402l6826,7402,6826,7445,6836,7445,6836,7402xe" filled="true" fillcolor="#ff0000" stroked="false">
              <v:path arrowok="t"/>
              <v:fill type="solid"/>
            </v:shape>
            <v:shape style="position:absolute;left:6856;top:7390;width:56;height:83" coordorigin="6856,7390" coordsize="56,83" path="m6899,7398l6882,7398,6886,7400,6887,7402,6892,7404,6892,7408,6893,7410,6896,7414,6896,7417,6893,7422,6893,7428,6892,7435,6887,7441,6882,7447,6875,7455,6866,7462,6856,7471,6856,7473,6903,7473,6908,7465,6866,7465,6871,7461,6873,7457,6882,7451,6897,7435,6899,7428,6902,7424,6903,7422,6903,7418,6906,7414,6906,7408,6902,7400,6899,7398xm6912,7457l6907,7457,6907,7458,6906,7461,6903,7461,6903,7462,6902,7462,6899,7465,6908,7465,6912,7457xm6892,7390l6873,7390,6869,7394,6865,7396,6856,7411,6859,7411,6863,7408,6863,7404,6866,7402,6869,7400,6871,7400,6875,7398,6899,7398,6897,7396,6893,7394,6892,7390xe" filled="true" fillcolor="#ff0000" stroked="false">
              <v:path arrowok="t"/>
              <v:fill type="solid"/>
            </v:shape>
            <v:shape style="position:absolute;left:6794;top:7637;width:55;height:84" coordorigin="6794,7637" coordsize="55,84" path="m6836,7698l6826,7698,6826,7720,6836,7720,6836,7698xm6836,7637l6831,7637,6794,7692,6794,7698,6849,7698,6849,7690,6801,7690,6826,7650,6836,7650,6836,7637xm6836,7650l6826,7650,6826,7690,6836,7690,6836,7650xe" filled="true" fillcolor="#ff0000" stroked="false">
              <v:path arrowok="t"/>
              <v:fill type="solid"/>
            </v:shape>
            <v:shape style="position:absolute;left:6869;top:7637;width:34;height:84" coordorigin="6869,7637" coordsize="34,84" path="m6902,7718l6871,7718,6871,7720,6902,7720,6902,7718xm6896,7715l6876,7715,6876,7718,6897,7718,6896,7715xm6892,7645l6876,7645,6876,7647,6879,7647,6879,7651,6882,7654,6882,7712,6879,7714,6879,7715,6892,7715,6892,7645xm6892,7637l6887,7637,6869,7645,6869,7647,6871,7647,6873,7645,6892,7645,6892,7637xe" filled="true" fillcolor="#ff0000" stroked="false">
              <v:path arrowok="t"/>
              <v:fill type="solid"/>
            </v:shape>
            <v:shape style="position:absolute;left:6794;top:7884;width:55;height:84" coordorigin="6794,7884" coordsize="55,84" path="m6836,7945l6826,7945,6826,7968,6836,7968,6836,7945xm6836,7884l6831,7884,6794,7939,6794,7945,6849,7945,6849,7937,6801,7937,6826,7897,6836,7897,6836,7884xm6836,7897l6826,7897,6826,7937,6836,7937,6836,7897xe" filled="true" fillcolor="#ff0000" stroked="false">
              <v:path arrowok="t"/>
              <v:fill type="solid"/>
            </v:shape>
            <v:shape style="position:absolute;left:6859;top:7884;width:54;height:84" coordorigin="6859,7884" coordsize="54,84" path="m6887,7884l6879,7884,6875,7887,6865,7897,6863,7903,6861,7907,6861,7913,6859,7921,6859,7933,6863,7949,6865,7955,6873,7964,6879,7968,6889,7968,6893,7964,6882,7964,6876,7961,6875,7959,6873,7955,6873,7951,6871,7944,6871,7901,6873,7897,6875,7894,6876,7890,6879,7890,6883,7887,6893,7887,6887,7884xm6893,7887l6886,7887,6887,7888,6889,7888,6892,7890,6893,7894,6896,7897,6896,7901,6897,7904,6897,7911,6899,7917,6899,7931,6897,7939,6897,7947,6896,7951,6896,7955,6892,7959,6892,7961,6889,7964,6896,7964,6897,7959,6902,7957,6903,7954,6907,7949,6907,7944,6910,7939,6912,7933,6912,7924,6910,7917,6907,7907,6903,7901,6902,7894,6893,7887xe" filled="true" fillcolor="#ff0000" stroked="false">
              <v:path arrowok="t"/>
              <v:fill type="solid"/>
            </v:shape>
            <v:shape style="position:absolute;left:6798;top:8129;width:47;height:85" coordorigin="6798,8129" coordsize="47,85" path="m6818,8212l6804,8212,6806,8214,6811,8214,6818,8212xm6804,8205l6801,8205,6798,8207,6798,8212,6826,8212,6827,8211,6814,8211,6812,8208,6811,8208,6808,8207,6804,8207,6804,8205xm6836,8170l6816,8170,6812,8171,6811,8171,6811,8174,6821,8174,6822,8177,6825,8177,6826,8178,6826,8180,6831,8180,6831,8181,6832,8184,6832,8186,6835,8188,6835,8201,6831,8205,6831,8207,6826,8207,6825,8208,6821,8211,6827,8211,6831,8208,6836,8205,6841,8201,6845,8192,6845,8184,6841,8177,6839,8174,6836,8170xm6835,8137l6818,8137,6822,8140,6831,8148,6831,8160,6821,8170,6835,8170,6831,8166,6828,8166,6835,8161,6839,8151,6841,8148,6841,8146,6839,8144,6835,8137xm6825,8129l6816,8129,6808,8133,6802,8140,6798,8148,6801,8150,6804,8144,6806,8140,6811,8140,6816,8137,6835,8137,6832,8133,6825,8129xe" filled="true" fillcolor="#ff0000" stroked="false">
              <v:path arrowok="t"/>
              <v:fill type="solid"/>
            </v:shape>
            <v:shape style="position:absolute;left:6859;top:8129;width:54;height:88" coordorigin="6859,8129" coordsize="54,88" path="m6893,8133l6886,8133,6889,8137,6892,8137,6893,8140,6893,8144,6896,8146,6897,8150,6897,8156,6899,8160,6899,8166,6897,8170,6897,8174,6893,8177,6887,8177,6886,8178,6897,8178,6896,8184,6893,8188,6892,8194,6887,8198,6886,8202,6882,8207,6873,8211,6871,8212,6861,8212,6861,8217,6863,8214,6866,8214,6879,8211,6883,8208,6896,8201,6902,8194,6903,8190,6907,8184,6910,8177,6912,8170,6912,8164,6910,8158,6907,8150,6906,8144,6897,8136,6893,8133xm6883,8129l6879,8131,6873,8133,6866,8137,6863,8140,6863,8144,6861,8150,6859,8154,6859,8164,6861,8170,6863,8174,6865,8177,6866,8180,6875,8184,6883,8184,6892,8180,6897,8178,6882,8178,6882,8177,6876,8174,6875,8174,6871,8166,6871,8146,6873,8141,6873,8140,6876,8137,6882,8133,6893,8133,6889,8131,6883,8129xe" filled="true" fillcolor="#ff0000" stroked="false">
              <v:path arrowok="t"/>
              <v:fill type="solid"/>
            </v:shape>
            <v:shape style="position:absolute;left:6798;top:8377;width:47;height:85" coordorigin="6798,8377" coordsize="47,85" path="m6818,8460l6804,8460,6806,8462,6811,8462,6818,8460xm6804,8451l6801,8451,6798,8454,6798,8460,6826,8460,6831,8455,6811,8455,6808,8454,6804,8454,6804,8451xm6836,8417l6816,8417,6812,8420,6814,8420,6816,8421,6821,8421,6822,8423,6825,8423,6826,8425,6826,8427,6831,8427,6831,8430,6832,8431,6832,8434,6835,8435,6835,8447,6831,8450,6831,8454,6826,8454,6825,8455,6831,8455,6836,8451,6841,8447,6845,8440,6845,8430,6843,8427,6839,8420,6836,8417xm6835,8384l6818,8384,6822,8387,6831,8394,6831,8407,6828,8410,6826,8410,6825,8413,6821,8417,6835,8417,6831,8413,6828,8413,6835,8410,6836,8403,6841,8394,6841,8393,6839,8390,6836,8387,6835,8384xm6825,8377l6816,8377,6808,8380,6802,8387,6798,8394,6801,8397,6804,8390,6806,8387,6811,8387,6816,8384,6835,8384,6832,8380,6825,8377xe" filled="true" fillcolor="#ff0000" stroked="false">
              <v:path arrowok="t"/>
              <v:fill type="solid"/>
            </v:shape>
            <v:shape style="position:absolute;left:6861;top:8377;width:46;height:85" coordorigin="6861,8377" coordsize="46,85" path="m6889,8377l6879,8377,6866,8383,6866,8387,6863,8390,6863,8405,6871,8413,6873,8417,6876,8420,6863,8434,6863,8437,6861,8440,6861,8445,6865,8454,6866,8455,6871,8458,6873,8460,6879,8462,6889,8462,6897,8458,6882,8458,6882,8455,6876,8454,6875,8454,6873,8450,6873,8431,6876,8427,6876,8425,6880,8424,6879,8423,6897,8423,6893,8420,6889,8417,6893,8413,6887,8413,6876,8407,6876,8403,6875,8401,6875,8397,6873,8394,6873,8390,6875,8389,6875,8387,6876,8384,6876,8383,6882,8383,6882,8380,6897,8380,6889,8377xm6897,8423l6882,8423,6880,8424,6883,8427,6889,8431,6893,8440,6896,8440,6896,8444,6897,8444,6897,8450,6896,8450,6893,8454,6893,8455,6889,8455,6887,8458,6897,8458,6902,8455,6907,8450,6907,8435,6903,8431,6903,8430,6897,8423xm6897,8380l6887,8380,6889,8383,6892,8383,6893,8384,6893,8390,6896,8393,6896,8397,6893,8399,6893,8407,6887,8413,6893,8413,6897,8410,6902,8407,6903,8405,6903,8403,6907,8399,6907,8393,6903,8384,6902,8383,6897,8380xe" filled="true" fillcolor="#ff0000" stroked="false">
              <v:path arrowok="t"/>
              <v:fill type="solid"/>
            </v:shape>
            <v:shape style="position:absolute;left:6798;top:8624;width:47;height:85" coordorigin="6798,8624" coordsize="47,85" path="m6818,8707l6804,8707,6806,8708,6811,8708,6818,8707xm6804,8698l6801,8698,6798,8701,6798,8707,6826,8707,6831,8703,6811,8703,6808,8701,6804,8701,6804,8698xm6835,8632l6818,8632,6822,8634,6825,8636,6826,8636,6828,8640,6831,8642,6831,8652,6828,8656,6826,8656,6825,8660,6821,8663,6818,8664,6816,8664,6812,8667,6814,8667,6816,8668,6821,8668,6822,8671,6825,8671,6826,8673,6828,8673,6831,8674,6831,8677,6832,8678,6832,8680,6835,8683,6835,8694,6831,8697,6831,8701,6826,8701,6825,8703,6831,8703,6836,8698,6841,8694,6845,8687,6845,8677,6843,8673,6841,8671,6839,8667,6835,8663,6831,8660,6828,8660,6835,8656,6836,8650,6841,8642,6841,8640,6839,8636,6835,8632xm6825,8624l6816,8624,6808,8627,6802,8634,6798,8642,6801,8644,6804,8637,6806,8634,6811,8634,6816,8632,6835,8632,6832,8627,6825,8624xe" filled="true" fillcolor="#ff0000" stroked="false">
              <v:path arrowok="t"/>
              <v:fill type="solid"/>
            </v:shape>
            <v:shape style="position:absolute;left:6859;top:8626;width:51;height:82" coordorigin="6859,8626" coordsize="51,82" path="m6907,8636l6899,8636,6873,8708,6882,8708,6907,8636xm6910,8626l6866,8626,6859,8646,6861,8646,6861,8644,6869,8636,6907,8636,6910,8630,6910,8626xe" filled="true" fillcolor="#ff0000" stroked="false">
              <v:path arrowok="t"/>
              <v:fill type="solid"/>
            </v:shape>
            <v:shape style="position:absolute;left:6798;top:8871;width:47;height:86" coordorigin="6798,8871" coordsize="47,86" path="m6806,8946l6798,8946,6798,8952,6801,8954,6804,8954,6806,8956,6811,8956,6826,8952,6831,8950,6811,8950,6808,8948,6806,8948,6806,8946xm6835,8879l6822,8879,6825,8883,6826,8883,6828,8887,6831,8889,6831,8900,6828,8903,6826,8903,6825,8906,6825,8907,6821,8910,6818,8911,6816,8911,6812,8913,6814,8913,6816,8916,6822,8916,6826,8920,6828,8920,6831,8921,6831,8924,6832,8926,6835,8930,6835,8941,6831,8944,6831,8946,6826,8948,6825,8950,6831,8950,6836,8946,6841,8941,6843,8936,6845,8934,6845,8924,6841,8916,6835,8910,6831,8907,6828,8906,6835,8903,6836,8897,6841,8889,6841,8887,6839,8883,6835,8879xm6825,8871l6816,8871,6808,8876,6802,8881,6798,8889,6801,8889,6804,8886,6806,8881,6811,8879,6835,8879,6832,8876,6825,8871xe" filled="true" fillcolor="#ff0000" stroked="false">
              <v:path arrowok="t"/>
              <v:fill type="solid"/>
            </v:shape>
            <v:shape style="position:absolute;left:6859;top:8871;width:54;height:86" coordorigin="6859,8871" coordsize="54,86" path="m6906,8873l6896,8873,6879,8881,6866,8893,6865,8897,6863,8903,6861,8906,6861,8911,6859,8917,6859,8924,6861,8931,6861,8938,6865,8946,6871,8950,6873,8952,6882,8956,6883,8956,6898,8952,6883,8952,6882,8950,6876,8950,6876,8946,6873,8944,6873,8941,6871,8938,6871,8913,6873,8913,6875,8910,6871,8910,6873,8906,6873,8901,6876,8897,6876,8896,6879,8893,6882,8889,6883,8887,6886,8883,6887,8883,6892,8879,6893,8879,6896,8877,6897,8877,6906,8873xm6902,8907l6887,8907,6892,8910,6893,8911,6897,8920,6897,8924,6899,8928,6899,8938,6896,8946,6892,8950,6887,8952,6898,8952,6902,8950,6903,8946,6907,8941,6910,8936,6912,8934,6912,8924,6910,8917,6907,8913,6903,8910,6902,8907xm6897,8903l6882,8903,6875,8906,6871,8910,6882,8910,6882,8907,6902,8907,6902,8906,6897,8903xm6910,8871l6903,8871,6899,8873,6910,8873,6910,8871xe" filled="true" fillcolor="#ff0000" stroked="false">
              <v:path arrowok="t"/>
              <v:fill type="solid"/>
            </v:shape>
            <v:shape style="position:absolute;left:6798;top:9118;width:47;height:85" coordorigin="6798,9118" coordsize="47,85" path="m6806,9193l6798,9193,6798,9200,6801,9201,6804,9201,6806,9203,6811,9203,6826,9200,6828,9197,6814,9197,6812,9195,6806,9195,6806,9193xm6835,9126l6822,9126,6825,9130,6826,9130,6828,9133,6831,9137,6831,9146,6825,9153,6825,9154,6821,9157,6818,9159,6811,9159,6811,9160,6814,9160,6816,9163,6822,9163,6826,9167,6828,9167,6831,9169,6835,9177,6835,9190,6831,9191,6831,9193,6826,9195,6825,9195,6821,9197,6828,9197,6831,9195,6836,9193,6841,9190,6843,9183,6845,9180,6845,9170,6841,9163,6835,9157,6831,9154,6828,9153,6835,9149,6841,9137,6841,9133,6835,9126xm6825,9118l6816,9118,6808,9122,6806,9122,6804,9126,6802,9129,6798,9137,6801,9137,6804,9133,6806,9129,6811,9126,6835,9126,6832,9122,6825,9118xe" filled="true" fillcolor="#ff0000" stroked="false">
              <v:path arrowok="t"/>
              <v:fill type="solid"/>
            </v:shape>
            <v:shape style="position:absolute;left:6861;top:9120;width:46;height:84" coordorigin="6861,9120" coordsize="46,84" path="m6882,9201l6866,9201,6871,9203,6876,9203,6882,9201xm6887,9200l6863,9200,6863,9201,6883,9201,6887,9200xm6866,9191l6863,9191,6861,9193,6861,9200,6889,9200,6894,9195,6873,9195,6871,9193,6866,9193,6866,9191xm6907,9120l6876,9120,6861,9150,6866,9150,6871,9153,6875,9153,6887,9159,6893,9164,6893,9167,6897,9174,6897,9183,6896,9187,6887,9195,6894,9195,6902,9187,6903,9183,6903,9180,6906,9174,6906,9173,6903,9167,6903,9163,6902,9157,6897,9153,6892,9149,6887,9144,6871,9140,6876,9130,6902,9130,6907,9120xe" filled="true" fillcolor="#ff0000" stroked="false">
              <v:path arrowok="t"/>
              <v:fill type="solid"/>
            </v:shape>
            <v:shape style="position:absolute;left:6798;top:9366;width:47;height:83" coordorigin="6798,9366" coordsize="47,83" path="m6806,9440l6798,9440,6798,9447,6801,9448,6818,9448,6826,9447,6829,9444,6814,9444,6812,9443,6806,9443,6806,9440xm6835,9373l6822,9373,6828,9379,6831,9383,6831,9394,6825,9400,6825,9402,6821,9404,6818,9406,6811,9406,6811,9407,6814,9407,6816,9410,6822,9410,6825,9412,6826,9412,6826,9414,6828,9414,6831,9416,6832,9420,6835,9422,6835,9437,6831,9438,6831,9440,6826,9443,6825,9443,6821,9444,6829,9444,6831,9443,6836,9440,6841,9437,6843,9430,6845,9426,6845,9418,6841,9410,6835,9404,6831,9402,6828,9400,6835,9396,6836,9392,6839,9386,6841,9383,6841,9379,6835,9373xm6828,9366l6812,9366,6808,9369,6806,9369,6804,9373,6802,9376,6798,9383,6801,9383,6804,9379,6806,9376,6811,9373,6835,9373,6832,9369,6828,9366xe" filled="true" fillcolor="#ff0000" stroked="false">
              <v:path arrowok="t"/>
              <v:fill type="solid"/>
            </v:shape>
            <v:shape style="position:absolute;left:6856;top:9366;width:56;height:83" coordorigin="6856,9366" coordsize="56,83" path="m6899,9426l6889,9426,6889,9448,6899,9448,6899,9426xm6899,9366l6892,9366,6856,9420,6856,9426,6912,9426,6912,9420,6861,9420,6889,9377,6899,9377,6899,9366xm6899,9377l6889,9377,6889,9420,6899,9420,6899,9377xe" filled="true" fillcolor="#ff0000" stroked="false">
              <v:path arrowok="t"/>
              <v:fill type="solid"/>
            </v:shape>
            <v:line style="position:absolute" from="6322,953" to="6322,4904" stroked="true" strokeweight=".632621pt" strokecolor="#000000"/>
            <v:line style="position:absolute" from="6740,953" to="6740,4904" stroked="true" strokeweight=".708536pt" strokecolor="#000000"/>
            <v:line style="position:absolute" from="6746,5455" to="6746,9412" stroked="true" strokeweight=".565142pt" strokecolor="#000000"/>
            <v:line style="position:absolute" from="7015,953" to="7015,4904" stroked="true" strokeweight=".624186pt" strokecolor="#000000"/>
            <v:line style="position:absolute" from="7040,5455" to="7040,9412" stroked="true" strokeweight=".565142pt" strokecolor="#000000"/>
            <v:line style="position:absolute" from="1435,953" to="1435,4904" stroked="true" strokeweight=".690822pt" strokecolor="#000000"/>
            <v:line style="position:absolute" from="1421,5457" to="1421,9420" stroked="true" strokeweight=".754084pt" strokecolor="#000000"/>
            <v:shape style="position:absolute;left:7068;top:971;width:51;height:85" coordorigin="7068,971" coordsize="51,85" path="m7110,975l7100,975,7088,981,7079,989,7075,995,7074,998,7072,1004,7068,1012,7068,1032,7069,1038,7074,1046,7078,1050,7082,1052,7085,1055,7088,1056,7092,1056,7098,1055,7105,1055,7107,1052,7092,1052,7090,1050,7086,1050,7085,1048,7082,1044,7082,1042,7079,1038,7079,1032,7078,1029,7078,1024,7079,1022,7079,1014,7082,1014,7086,1009,7079,1009,7082,1005,7082,1001,7085,998,7088,994,7090,989,7090,988,7095,985,7100,979,7105,978,7106,978,7110,975xm7108,1008l7095,1008,7098,1009,7105,1016,7105,1020,7108,1028,7108,1038,7105,1046,7100,1050,7098,1050,7096,1052,7107,1052,7112,1046,7115,1042,7119,1038,7119,1018,7115,1014,7112,1009,7108,1008xm7105,1004l7088,1004,7085,1008,7079,1009,7088,1009,7090,1008,7108,1008,7105,1004xm7119,971l7110,971,7108,974,7105,975,7119,975,7119,971xe" filled="true" fillcolor="#ff00ff" stroked="false">
              <v:path arrowok="t"/>
              <v:fill type="solid"/>
            </v:shape>
            <v:shape style="position:absolute;left:7133;top:1042;width:14;height:14" coordorigin="7133,1042" coordsize="14,14" path="m7140,1055l7136,1055,7139,1056,7140,1056,7140,1055xm7147,1048l7133,1048,7133,1050,7135,1052,7135,1055,7145,1055,7145,1052,7147,1050,7147,1048xm7145,1044l7135,1044,7135,1048,7145,1048,7145,1044xm7140,1042l7139,1042,7136,1044,7140,1044,7140,1042xe" filled="true" fillcolor="#ff00ff" stroked="false">
              <v:path arrowok="t"/>
              <v:fill type="solid"/>
            </v:shape>
            <v:shape style="position:absolute;left:7159;top:971;width:47;height:85" coordorigin="7159,971" coordsize="47,85" path="m7181,1055l7165,1055,7169,1056,7173,1056,7181,1055xm7165,1046l7160,1046,7160,1048,7159,1050,7160,1052,7160,1055,7187,1055,7193,1050,7170,1050,7170,1048,7167,1048,7165,1046xm7197,1012l7177,1012,7175,1014,7177,1014,7179,1016,7181,1016,7186,1018,7190,1022,7191,1022,7196,1026,7196,1032,7197,1035,7197,1038,7196,1042,7193,1044,7191,1048,7190,1048,7187,1050,7193,1050,7201,1042,7206,1035,7206,1024,7204,1022,7201,1018,7201,1014,7197,1012xm7193,1008l7186,1008,7183,1012,7196,1012,7193,1008xm7197,979l7181,979,7186,981,7191,988,7191,989,7193,991,7193,998,7191,998,7191,1004,7190,1004,7187,1008,7191,1008,7196,1004,7200,998,7201,994,7201,985,7197,981,7197,979xm7187,971l7177,971,7175,974,7167,978,7165,979,7165,981,7160,985,7160,991,7165,985,7169,981,7173,981,7177,979,7197,979,7196,975,7187,971xe" filled="true" fillcolor="#ff00ff" stroked="false">
              <v:path arrowok="t"/>
              <v:fill type="solid"/>
            </v:shape>
            <v:shape style="position:absolute;left:7221;top:974;width:47;height:83" coordorigin="7221,974" coordsize="47,83" path="m7242,1055l7230,1055,7232,1056,7238,1056,7242,1055xm7237,1048l7221,1048,7221,1050,7224,1052,7224,1055,7248,1055,7252,1052,7254,1050,7238,1050,7237,1048xm7268,974l7240,974,7224,1004,7227,1004,7234,1005,7238,1008,7242,1008,7244,1012,7252,1016,7254,1018,7257,1022,7258,1024,7258,1040,7254,1042,7254,1044,7252,1046,7244,1050,7254,1050,7254,1048,7258,1048,7260,1044,7260,1042,7264,1040,7264,1038,7267,1035,7267,1032,7268,1028,7268,1026,7267,1022,7264,1016,7262,1012,7258,1008,7254,1001,7248,998,7242,995,7234,995,7238,984,7264,984,7268,974xm7227,1044l7224,1044,7224,1048,7232,1048,7227,1044xe" filled="true" fillcolor="#ff00ff" stroked="false">
              <v:path arrowok="t"/>
              <v:fill type="solid"/>
            </v:shape>
            <v:shape style="position:absolute;left:7068;top:1313;width:51;height:87" coordorigin="7068,1313" coordsize="51,87" path="m7107,1350l7095,1350,7098,1352,7105,1359,7105,1362,7106,1369,7108,1370,7108,1380,7105,1389,7098,1394,7082,1394,7085,1397,7088,1399,7092,1399,7098,1397,7105,1397,7112,1389,7115,1384,7119,1380,7119,1360,7115,1356,7112,1352,7107,1350xm7110,1318l7100,1318,7088,1323,7079,1332,7075,1338,7068,1354,7068,1374,7069,1380,7074,1389,7078,1394,7088,1394,7082,1389,7082,1384,7079,1380,7079,1374,7078,1373,7078,1369,7079,1364,7079,1356,7082,1356,7086,1352,7079,1352,7082,1349,7082,1344,7085,1342,7086,1338,7088,1336,7090,1332,7090,1330,7095,1329,7100,1322,7105,1322,7106,1320,7110,1318xm7082,1356l7079,1356,7079,1359,7082,1356xm7100,1346l7095,1346,7079,1352,7088,1352,7090,1350,7107,1350,7100,1346xm7119,1313l7110,1313,7108,1316,7105,1318,7119,1318,7119,1313xe" filled="true" fillcolor="#ff00ff" stroked="false">
              <v:path arrowok="t"/>
              <v:fill type="solid"/>
            </v:shape>
            <v:shape style="position:absolute;left:7133;top:1384;width:14;height:15" coordorigin="7133,1384" coordsize="14,15" path="m7140,1397l7136,1397,7139,1399,7140,1399,7140,1397xm7145,1394l7135,1394,7135,1397,7145,1397,7145,1394xm7147,1390l7133,1390,7133,1394,7147,1394,7147,1390xm7143,1387l7135,1387,7135,1390,7145,1390,7145,1389,7143,1387xm7140,1384l7139,1384,7136,1387,7140,1387,7140,1384xe" filled="true" fillcolor="#ff00ff" stroked="false">
              <v:path arrowok="t"/>
              <v:fill type="solid"/>
            </v:shape>
            <v:shape style="position:absolute;left:7159;top:1313;width:47;height:87" coordorigin="7159,1313" coordsize="47,87" path="m7181,1397l7165,1397,7169,1399,7173,1399,7181,1397xm7197,1354l7177,1354,7175,1356,7170,1356,7170,1359,7181,1359,7186,1360,7190,1364,7191,1364,7196,1369,7196,1374,7197,1377,7197,1380,7193,1389,7191,1390,7190,1390,7187,1393,7183,1394,7160,1394,7160,1397,7187,1397,7193,1393,7201,1384,7206,1377,7206,1369,7201,1360,7201,1359,7197,1354xm7165,1389l7160,1389,7160,1390,7159,1393,7159,1394,7175,1394,7175,1393,7170,1393,7170,1390,7167,1390,7165,1389xm7193,1350l7186,1350,7183,1354,7196,1354,7193,1350xm7197,1322l7181,1322,7186,1323,7191,1330,7191,1332,7193,1333,7193,1340,7191,1342,7191,1346,7187,1350,7191,1350,7200,1342,7201,1336,7201,1329,7197,1323,7197,1322xm7187,1313l7177,1313,7175,1316,7167,1320,7165,1322,7165,1323,7160,1329,7160,1333,7165,1329,7169,1323,7173,1323,7177,1322,7197,1322,7196,1318,7187,1313xe" filled="true" fillcolor="#ff00ff" stroked="false">
              <v:path arrowok="t"/>
              <v:fill type="solid"/>
            </v:shape>
            <v:shape style="position:absolute;left:7221;top:1313;width:51;height:87" coordorigin="7221,1313" coordsize="51,87" path="m7247,1313l7244,1313,7242,1316,7234,1320,7230,1323,7227,1329,7224,1333,7224,1338,7221,1344,7221,1373,7224,1380,7227,1387,7237,1394,7242,1397,7247,1399,7248,1399,7252,1397,7254,1394,7242,1394,7238,1390,7237,1387,7234,1380,7234,1374,7232,1369,7232,1354,7234,1349,7234,1329,7238,1323,7238,1322,7242,1322,7242,1320,7244,1318,7254,1318,7247,1313xm7254,1318l7248,1318,7250,1320,7252,1320,7252,1322,7254,1322,7257,1323,7258,1329,7258,1336,7260,1342,7260,1370,7258,1379,7258,1387,7252,1393,7252,1394,7258,1394,7260,1390,7264,1389,7268,1380,7271,1374,7271,1370,7272,1364,7272,1356,7271,1349,7271,1338,7267,1332,7262,1323,7258,1322,7254,1318xe" filled="true" fillcolor="#ff00ff" stroked="false">
              <v:path arrowok="t"/>
              <v:fill type="solid"/>
            </v:shape>
            <v:shape style="position:absolute;left:7068;top:1658;width:51;height:84" coordorigin="7068,1658" coordsize="51,84" path="m7100,1688l7095,1688,7079,1694,7098,1694,7105,1701,7105,1704,7106,1711,7108,1714,7108,1725,7106,1727,7102,1735,7100,1735,7098,1738,7082,1738,7085,1741,7098,1741,7105,1739,7112,1731,7115,1727,7119,1723,7119,1704,7115,1698,7112,1694,7100,1688xm7110,1660l7100,1660,7092,1664,7088,1668,7085,1670,7079,1674,7075,1681,7068,1697,7068,1717,7069,1725,7078,1738,7088,1738,7082,1731,7082,1727,7079,1725,7079,1717,7078,1714,7078,1711,7079,1707,7079,1698,7082,1698,7086,1694,7079,1694,7082,1691,7082,1688,7086,1681,7088,1678,7090,1674,7090,1673,7095,1670,7100,1664,7105,1664,7106,1663,7110,1660xm7082,1698l7079,1698,7079,1701,7082,1698xm7119,1658l7108,1658,7105,1660,7119,1660,7119,1658xe" filled="true" fillcolor="#ff00ff" stroked="false">
              <v:path arrowok="t"/>
              <v:fill type="solid"/>
            </v:shape>
            <v:shape style="position:absolute;left:7133;top:1727;width:14;height:15" coordorigin="7133,1727" coordsize="14,15" path="m7145,1738l7135,1738,7135,1741,7143,1741,7145,1739,7145,1738xm7143,1728l7135,1728,7135,1734,7133,1735,7133,1738,7147,1738,7147,1735,7145,1734,7145,1731,7143,1728xm7140,1727l7139,1727,7136,1728,7140,1728,7140,1727xe" filled="true" fillcolor="#ff00ff" stroked="false">
              <v:path arrowok="t"/>
              <v:fill type="solid"/>
            </v:shape>
            <v:shape style="position:absolute;left:7157;top:1658;width:55;height:84" coordorigin="7157,1658" coordsize="55,84" path="m7211,1725l7207,1725,7207,1727,7206,1727,7204,1728,7204,1731,7167,1731,7157,1739,7157,1741,7204,1741,7211,1725xm7200,1666l7181,1666,7186,1668,7187,1670,7191,1673,7191,1674,7196,1678,7196,1691,7193,1697,7191,1701,7187,1707,7181,1714,7175,1721,7167,1731,7170,1728,7187,1713,7191,1707,7197,1701,7201,1693,7204,1691,7204,1687,7206,1683,7206,1676,7204,1670,7200,1666xm7191,1658l7173,1658,7169,1660,7165,1664,7163,1668,7160,1670,7159,1674,7157,1681,7159,1681,7160,1678,7163,1674,7169,1668,7170,1668,7175,1666,7200,1666,7197,1664,7196,1660,7191,1658xe" filled="true" fillcolor="#ff00ff" stroked="false">
              <v:path arrowok="t"/>
              <v:fill type="solid"/>
            </v:shape>
            <v:shape style="position:absolute;left:7221;top:1658;width:47;height:84" coordorigin="7221,1658" coordsize="47,84" path="m7230,1731l7224,1731,7224,1734,7221,1735,7224,1738,7224,1739,7226,1741,7247,1741,7248,1739,7252,1738,7254,1738,7254,1735,7237,1735,7234,1734,7232,1734,7230,1731xm7268,1658l7240,1658,7224,1691,7234,1691,7242,1694,7244,1697,7252,1701,7254,1704,7257,1707,7258,1711,7258,1725,7254,1727,7254,1731,7252,1731,7248,1735,7254,1735,7258,1734,7260,1731,7260,1727,7264,1725,7264,1723,7267,1721,7267,1717,7268,1714,7268,1711,7264,1701,7262,1697,7254,1688,7242,1681,7234,1681,7238,1668,7264,1668,7268,1658xe" filled="true" fillcolor="#ff00ff" stroked="false">
              <v:path arrowok="t"/>
              <v:fill type="solid"/>
            </v:shape>
            <v:shape style="position:absolute;left:7068;top:2001;width:51;height:83" coordorigin="7068,2001" coordsize="51,83" path="m7106,2005l7096,2005,7092,2007,7085,2015,7079,2017,7075,2022,7069,2035,7068,2041,7068,2062,7069,2068,7078,2079,7082,2082,7085,2083,7098,2083,7105,2082,7092,2082,7090,2079,7088,2079,7082,2073,7082,2072,7079,2068,7079,2062,7078,2058,7078,2053,7079,2049,7079,2041,7081,2041,7086,2037,7079,2037,7082,2032,7082,2031,7085,2027,7086,2025,7090,2017,7090,2015,7095,2012,7100,2007,7105,2007,7106,2005xm7100,2031l7095,2031,7088,2032,7079,2037,7098,2037,7100,2041,7105,2043,7105,2048,7106,2053,7108,2058,7108,2068,7106,2072,7105,2073,7102,2078,7100,2078,7096,2082,7105,2082,7115,2072,7119,2065,7119,2048,7115,2041,7112,2037,7100,2031xm7081,2041l7079,2041,7079,2043,7081,2041xm7119,2001l7108,2001,7100,2005,7110,2005,7115,2002,7119,2002,7119,2001xe" filled="true" fillcolor="#ff00ff" stroked="false">
              <v:path arrowok="t"/>
              <v:fill type="solid"/>
            </v:shape>
            <v:shape style="position:absolute;left:7133;top:2072;width:14;height:12" coordorigin="7133,2072" coordsize="14,12" path="m7143,2072l7135,2072,7135,2075,7133,2078,7133,2079,7135,2082,7135,2083,7143,2083,7147,2079,7147,2078,7145,2075,7145,2073,7143,2072xe" filled="true" fillcolor="#ff00ff" stroked="false">
              <v:path arrowok="t"/>
              <v:fill type="solid"/>
            </v:shape>
            <v:shape style="position:absolute;left:7157;top:2001;width:55;height:83" coordorigin="7157,2001" coordsize="55,83" path="m7211,2068l7207,2068,7207,2069,7206,2072,7204,2072,7204,2073,7167,2073,7157,2082,7157,2083,7204,2083,7211,2068xm7199,2008l7181,2008,7186,2011,7187,2012,7191,2015,7191,2017,7196,2021,7196,2032,7193,2039,7187,2052,7175,2063,7167,2073,7170,2072,7191,2052,7197,2043,7201,2035,7204,2032,7204,2028,7206,2025,7206,2018,7201,2011,7199,2008xm7191,2001l7173,2001,7169,2005,7165,2007,7160,2015,7159,2017,7157,2022,7159,2022,7160,2021,7163,2017,7169,2011,7170,2011,7175,2008,7199,2008,7191,2001xe" filled="true" fillcolor="#ff00ff" stroked="false">
              <v:path arrowok="t"/>
              <v:fill type="solid"/>
            </v:shape>
            <v:shape style="position:absolute;left:7221;top:2001;width:51;height:83" coordorigin="7221,2001" coordsize="51,83" path="m7242,2005l7234,2005,7232,2007,7227,2015,7224,2018,7224,2025,7221,2031,7221,2058,7224,2065,7232,2078,7237,2082,7242,2083,7252,2083,7254,2082,7247,2082,7242,2079,7238,2075,7234,2068,7234,2059,7232,2053,7232,2039,7234,2032,7234,2015,7238,2011,7238,2007,7242,2007,7242,2005xm7250,2001l7242,2001,7238,2005,7252,2005,7252,2007,7254,2007,7257,2011,7258,2012,7258,2021,7260,2027,7260,2055,7258,2063,7258,2072,7257,2073,7254,2078,7252,2078,7252,2079,7248,2079,7248,2082,7254,2082,7258,2079,7260,2078,7267,2072,7268,2065,7271,2062,7271,2055,7272,2049,7272,2041,7271,2032,7271,2025,7267,2017,7262,2011,7254,2002,7250,2001xe" filled="true" fillcolor="#ff00ff" stroked="false">
              <v:path arrowok="t"/>
              <v:fill type="solid"/>
            </v:shape>
            <v:shape style="position:absolute;left:7068;top:2342;width:51;height:85" coordorigin="7068,2342" coordsize="51,85" path="m7106,2346l7096,2346,7092,2352,7088,2353,7075,2366,7069,2377,7068,2383,7068,2404,7069,2410,7074,2417,7078,2422,7082,2424,7085,2426,7088,2427,7092,2427,7105,2424,7092,2424,7090,2422,7088,2422,7082,2416,7082,2414,7079,2410,7079,2404,7078,2399,7078,2396,7079,2392,7079,2383,7082,2383,7086,2379,7079,2379,7082,2377,7082,2373,7085,2369,7086,2367,7088,2363,7090,2362,7090,2357,7095,2355,7098,2352,7100,2352,7105,2349,7106,2346xm7100,2373l7095,2373,7088,2376,7079,2379,7098,2379,7100,2383,7105,2387,7105,2389,7106,2396,7108,2399,7108,2410,7105,2417,7102,2420,7100,2420,7096,2424,7105,2424,7108,2420,7112,2417,7115,2414,7119,2407,7119,2389,7115,2383,7112,2379,7100,2373xm7082,2383l7079,2383,7079,2386,7082,2383xm7119,2342l7108,2342,7100,2346,7110,2346,7115,2345,7119,2345,7119,2342xe" filled="true" fillcolor="#ff00ff" stroked="false">
              <v:path arrowok="t"/>
              <v:fill type="solid"/>
            </v:shape>
            <v:shape style="position:absolute;left:7133;top:2414;width:14;height:14" coordorigin="7133,2414" coordsize="14,14" path="m7140,2426l7136,2426,7139,2427,7140,2427,7140,2426xm7143,2414l7135,2414,7135,2417,7133,2420,7133,2422,7135,2424,7135,2426,7143,2426,7147,2422,7147,2420,7145,2417,7145,2416,7143,2414xe" filled="true" fillcolor="#ff00ff" stroked="false">
              <v:path arrowok="t"/>
              <v:fill type="solid"/>
            </v:shape>
            <v:shape style="position:absolute;left:7169;top:2342;width:32;height:84" coordorigin="7169,2342" coordsize="32,84" path="m7201,2424l7170,2424,7170,2426,7201,2426,7201,2424xm7191,2352l7177,2352,7177,2353,7179,2353,7179,2357,7181,2359,7181,2417,7179,2420,7179,2422,7177,2424,7191,2424,7191,2352xm7191,2342l7187,2342,7169,2352,7169,2353,7170,2353,7173,2352,7191,2352,7191,2342xe" filled="true" fillcolor="#ff00ff" stroked="false">
              <v:path arrowok="t"/>
              <v:fill type="solid"/>
            </v:shape>
            <v:shape style="position:absolute;left:7221;top:2342;width:47;height:85" coordorigin="7221,2342" coordsize="47,85" path="m7242,2426l7230,2426,7232,2427,7238,2427,7242,2426xm7227,2416l7224,2416,7224,2417,7221,2420,7224,2424,7226,2426,7247,2426,7248,2424,7252,2424,7254,2422,7254,2420,7237,2420,7234,2417,7230,2417,7227,2416xm7268,2342l7240,2342,7224,2376,7227,2376,7234,2377,7238,2377,7242,2379,7244,2382,7248,2383,7257,2392,7258,2396,7258,2410,7254,2414,7254,2416,7252,2417,7248,2420,7254,2420,7258,2417,7260,2416,7260,2414,7264,2410,7264,2407,7267,2406,7267,2404,7268,2399,7268,2397,7267,2392,7264,2387,7262,2382,7254,2373,7248,2369,7242,2367,7234,2366,7238,2353,7264,2353,7268,2342xe" filled="true" fillcolor="#ff00ff" stroked="false">
              <v:path arrowok="t"/>
              <v:fill type="solid"/>
            </v:shape>
            <v:shape style="position:absolute;left:7068;top:2686;width:51;height:85" coordorigin="7068,2686" coordsize="51,85" path="m7106,2690l7096,2690,7092,2693,7088,2696,7075,2707,7074,2711,7072,2718,7069,2720,7068,2726,7068,2747,7069,2751,7074,2760,7078,2764,7082,2767,7085,2768,7088,2771,7092,2771,7105,2767,7092,2767,7090,2764,7086,2764,7085,2760,7082,2758,7082,2757,7079,2751,7079,2747,7078,2744,7078,2738,7079,2734,7079,2726,7081,2726,7085,2724,7079,2724,7082,2720,7082,2716,7085,2711,7088,2707,7090,2703,7090,2700,7095,2697,7096,2697,7098,2693,7100,2693,7105,2691,7106,2690xm7110,2721l7095,2721,7098,2724,7105,2730,7105,2734,7108,2742,7108,2751,7105,2760,7100,2764,7098,2764,7096,2767,7105,2767,7108,2764,7112,2760,7115,2757,7119,2750,7119,2731,7115,2726,7110,2721xm7081,2726l7079,2726,7079,2728,7081,2726xm7105,2718l7088,2718,7085,2720,7079,2724,7088,2724,7090,2721,7110,2721,7108,2720,7105,2718xm7115,2687l7105,2687,7100,2690,7110,2690,7115,2687xm7119,2686l7110,2686,7108,2687,7119,2687,7119,2686xe" filled="true" fillcolor="#ff00ff" stroked="false">
              <v:path arrowok="t"/>
              <v:fill type="solid"/>
            </v:shape>
            <v:shape style="position:absolute;left:7133;top:2757;width:14;height:15" coordorigin="7133,2757" coordsize="14,15" path="m7140,2768l7136,2768,7139,2771,7140,2771,7140,2768xm7143,2757l7135,2757,7135,2760,7133,2762,7133,2764,7135,2767,7135,2768,7143,2768,7147,2764,7147,2762,7145,2760,7145,2758,7143,2757xe" filled="true" fillcolor="#ff00ff" stroked="false">
              <v:path arrowok="t"/>
              <v:fill type="solid"/>
            </v:shape>
            <v:shape style="position:absolute;left:7169;top:2686;width:32;height:83" coordorigin="7169,2686" coordsize="32,83" path="m7201,2767l7170,2767,7170,2768,7201,2768,7201,2767xm7191,2693l7177,2693,7177,2696,7179,2697,7179,2700,7181,2701,7181,2760,7179,2764,7177,2767,7191,2767,7191,2693xm7191,2686l7187,2686,7169,2693,7169,2696,7170,2696,7173,2693,7191,2693,7191,2686xe" filled="true" fillcolor="#ff00ff" stroked="false">
              <v:path arrowok="t"/>
              <v:fill type="solid"/>
            </v:shape>
            <v:shape style="position:absolute;left:7221;top:2686;width:51;height:85" coordorigin="7221,2686" coordsize="51,85" path="m7242,2690l7234,2690,7232,2693,7230,2696,7227,2700,7224,2703,7224,2710,7221,2716,7221,2744,7224,2750,7232,2762,7237,2767,7242,2768,7247,2771,7248,2771,7252,2768,7254,2767,7247,2767,7242,2764,7240,2764,7234,2751,7234,2744,7232,2738,7232,2724,7234,2720,7234,2700,7238,2696,7238,2693,7242,2691,7242,2690xm7247,2686l7244,2686,7242,2687,7238,2690,7252,2690,7252,2691,7258,2697,7258,2707,7260,2711,7260,2740,7258,2748,7258,2757,7257,2760,7252,2764,7248,2764,7248,2767,7254,2767,7258,2764,7260,2762,7264,2760,7267,2757,7268,2750,7271,2747,7271,2740,7272,2734,7272,2726,7271,2718,7271,2710,7267,2701,7262,2696,7254,2687,7250,2687,7247,2686xe" filled="true" fillcolor="#ff00ff" stroked="false">
              <v:path arrowok="t"/>
              <v:fill type="solid"/>
            </v:shape>
            <v:shape style="position:absolute;left:7068;top:3028;width:51;height:85" coordorigin="7068,3028" coordsize="51,85" path="m7115,3030l7105,3030,7088,3038,7075,3051,7074,3054,7072,3060,7068,3068,7068,3089,7069,3095,7074,3102,7078,3106,7082,3109,7085,3111,7088,3112,7092,3112,7098,3111,7105,3111,7107,3109,7092,3109,7090,3106,7086,3106,7085,3102,7082,3101,7082,3099,7079,3095,7079,3089,7078,3086,7078,3081,7079,3076,7079,3071,7082,3071,7085,3066,7079,3066,7082,3062,7082,3058,7085,3054,7088,3051,7090,3045,7090,3044,7095,3040,7096,3040,7098,3036,7100,3036,7105,3034,7106,3034,7115,3030xm7108,3064l7095,3064,7098,3066,7105,3072,7105,3076,7108,3085,7108,3095,7105,3102,7100,3106,7098,3106,7096,3109,7107,3109,7112,3102,7115,3099,7119,3092,7119,3074,7115,3071,7112,3066,7108,3064xm7105,3060l7088,3060,7085,3064,7079,3066,7088,3066,7090,3064,7108,3064,7105,3060xm7119,3028l7110,3028,7108,3030,7119,3030,7119,3028xe" filled="true" fillcolor="#ff00ff" stroked="false">
              <v:path arrowok="t"/>
              <v:fill type="solid"/>
            </v:shape>
            <v:shape style="position:absolute;left:7133;top:3099;width:14;height:14" coordorigin="7133,3099" coordsize="14,14" path="m7140,3111l7136,3111,7139,3112,7140,3112,7140,3111xm7145,3101l7135,3101,7135,3102,7133,3105,7133,3106,7135,3109,7135,3111,7145,3111,7145,3109,7147,3106,7147,3105,7145,3102,7145,3101xm7140,3099l7139,3099,7136,3101,7140,3101,7140,3099xe" filled="true" fillcolor="#ff00ff" stroked="false">
              <v:path arrowok="t"/>
              <v:fill type="solid"/>
            </v:shape>
            <v:shape style="position:absolute;left:7159;top:3028;width:52;height:85" coordorigin="7159,3028" coordsize="52,85" path="m7186,3028l7181,3028,7179,3030,7175,3032,7170,3036,7167,3038,7163,3045,7160,3052,7160,3058,7159,3064,7159,3079,7160,3086,7163,3092,7165,3101,7169,3105,7175,3109,7179,3111,7186,3112,7187,3112,7190,3111,7193,3109,7186,3109,7181,3106,7177,3106,7175,3102,7175,3101,7173,3095,7170,3086,7170,3045,7175,3038,7179,3034,7181,3034,7183,3032,7195,3032,7193,3030,7187,3030,7186,3028xm7195,3032l7186,3032,7187,3034,7191,3034,7191,3036,7196,3038,7196,3044,7197,3051,7197,3054,7200,3060,7200,3076,7197,3082,7197,3091,7196,3096,7196,3102,7191,3105,7191,3106,7187,3106,7186,3109,7193,3109,7197,3105,7201,3102,7204,3099,7207,3092,7207,3089,7211,3076,7211,3071,7210,3060,7207,3052,7204,3044,7201,3038,7195,3032xe" filled="true" fillcolor="#ff00ff" stroked="false">
              <v:path arrowok="t"/>
              <v:fill type="solid"/>
            </v:shape>
            <v:shape style="position:absolute;left:7221;top:3030;width:47;height:82" coordorigin="7221,3030" coordsize="47,82" path="m7242,3111l7230,3111,7232,3112,7238,3112,7242,3111xm7227,3101l7224,3101,7224,3102,7221,3105,7221,3106,7224,3109,7224,3111,7248,3111,7252,3109,7254,3106,7238,3106,7234,3102,7230,3102,7227,3101xm7268,3030l7240,3030,7224,3060,7227,3060,7234,3062,7238,3064,7242,3064,7248,3071,7252,3072,7257,3076,7258,3081,7258,3096,7254,3099,7254,3101,7252,3102,7244,3106,7254,3106,7254,3105,7258,3102,7260,3101,7260,3099,7264,3096,7264,3092,7267,3091,7267,3089,7268,3085,7268,3082,7267,3076,7264,3072,7262,3066,7258,3064,7254,3058,7248,3054,7242,3052,7234,3051,7238,3040,7264,3040,7268,3030xe" filled="true" fillcolor="#ff00ff" stroked="false">
              <v:path arrowok="t"/>
              <v:fill type="solid"/>
            </v:shape>
            <v:shape style="position:absolute;left:7068;top:3370;width:51;height:87" coordorigin="7068,3370" coordsize="51,87" path="m7115,3372l7105,3372,7088,3380,7075,3393,7074,3396,7072,3403,7068,3410,7068,3430,7069,3437,7074,3446,7078,3450,7082,3451,7085,3453,7088,3456,7092,3456,7098,3453,7105,3453,7107,3451,7092,3451,7090,3450,7086,3450,7085,3447,7082,3443,7082,3441,7079,3437,7079,3430,7078,3429,7078,3423,7079,3419,7079,3413,7082,3413,7086,3409,7079,3409,7082,3405,7082,3400,7085,3396,7088,3393,7090,3389,7090,3386,7095,3382,7096,3382,7100,3378,7105,3376,7106,3376,7115,3372xm7108,3406l7095,3406,7098,3409,7105,3415,7105,3419,7108,3426,7108,3437,7105,3446,7100,3450,7098,3450,7096,3451,7107,3451,7112,3446,7115,3441,7119,3437,7119,3416,7115,3413,7112,3409,7108,3406xm7105,3403l7088,3403,7085,3406,7079,3409,7088,3409,7090,3406,7108,3406,7105,3403xm7119,3370l7110,3370,7108,3372,7119,3372,7119,3370xe" filled="true" fillcolor="#ff00ff" stroked="false">
              <v:path arrowok="t"/>
              <v:fill type="solid"/>
            </v:shape>
            <v:shape style="position:absolute;left:7133;top:3441;width:14;height:15" coordorigin="7133,3441" coordsize="14,15" path="m7140,3453l7136,3453,7139,3456,7140,3456,7140,3453xm7147,3447l7133,3447,7133,3450,7135,3451,7135,3453,7145,3453,7145,3451,7147,3450,7147,3447xm7145,3443l7135,3443,7135,3447,7145,3447,7145,3443xm7140,3441l7139,3441,7136,3443,7140,3443,7140,3441xe" filled="true" fillcolor="#ff00ff" stroked="false">
              <v:path arrowok="t"/>
              <v:fill type="solid"/>
            </v:shape>
            <v:shape style="position:absolute;left:7159;top:3370;width:52;height:87" coordorigin="7159,3370" coordsize="52,87" path="m7186,3370l7181,3370,7179,3372,7175,3375,7170,3378,7167,3380,7165,3385,7163,3390,7160,3395,7160,3400,7159,3406,7159,3420,7163,3437,7165,3443,7169,3447,7175,3451,7179,3453,7186,3456,7187,3456,7190,3453,7193,3451,7186,3451,7181,3450,7177,3450,7175,3447,7175,3443,7173,3437,7170,3429,7170,3389,7175,3380,7179,3376,7181,3376,7183,3375,7196,3375,7193,3372,7187,3372,7186,3370xm7196,3375l7186,3375,7187,3376,7191,3376,7191,3378,7196,3380,7196,3386,7197,3393,7197,3396,7200,3403,7200,3419,7197,3426,7197,3433,7196,3439,7196,3446,7191,3447,7191,3450,7187,3450,7186,3451,7193,3451,7196,3450,7197,3447,7201,3446,7204,3441,7207,3437,7207,3430,7210,3426,7211,3419,7211,3413,7210,3403,7207,3395,7204,3386,7201,3380,7196,3375xe" filled="true" fillcolor="#ff00ff" stroked="false">
              <v:path arrowok="t"/>
              <v:fill type="solid"/>
            </v:shape>
            <v:shape style="position:absolute;left:7221;top:3370;width:51;height:87" coordorigin="7221,3370" coordsize="51,87" path="m7247,3370l7244,3370,7242,3372,7234,3376,7230,3380,7227,3385,7224,3390,7224,3395,7221,3400,7221,3429,7224,3437,7227,3443,7237,3451,7242,3453,7247,3456,7248,3456,7252,3453,7254,3451,7247,3451,7242,3450,7240,3450,7238,3447,7237,3443,7234,3437,7234,3429,7232,3423,7232,3410,7234,3405,7234,3385,7238,3380,7238,3378,7242,3376,7244,3375,7257,3375,7254,3372,7250,3372,7247,3370xm7257,3375l7248,3375,7250,3376,7252,3376,7258,3382,7258,3393,7260,3396,7260,3426,7258,3433,7258,3443,7252,3450,7248,3450,7248,3451,7254,3451,7258,3450,7260,3447,7264,3446,7268,3437,7271,3430,7271,3426,7272,3419,7272,3413,7271,3403,7271,3395,7267,3386,7262,3380,7257,3375xe" filled="true" fillcolor="#ff00ff" stroked="false">
              <v:path arrowok="t"/>
              <v:fill type="solid"/>
            </v:shape>
            <v:shape style="position:absolute;left:7068;top:3714;width:47;height:84" coordorigin="7068,3714" coordsize="47,84" path="m7088,3795l7075,3795,7078,3797,7085,3797,7088,3795xm7082,3790l7068,3790,7068,3791,7072,3795,7095,3795,7098,3794,7100,3794,7100,3791,7085,3791,7082,3790xm7115,3714l7086,3714,7069,3747,7079,3747,7085,3750,7088,3750,7090,3753,7098,3757,7100,3760,7102,3764,7105,3765,7105,3781,7100,3784,7100,3785,7098,3787,7090,3791,7100,3791,7100,3790,7105,3790,7106,3785,7110,3781,7110,3780,7112,3775,7112,3774,7115,3770,7115,3767,7112,3764,7108,3753,7105,3750,7100,3743,7095,3739,7088,3737,7079,3737,7085,3724,7110,3724,7115,3714xm7074,3785l7072,3785,7069,3787,7069,3790,7078,3790,7074,3785xe" filled="true" fillcolor="#ff00ff" stroked="false">
              <v:path arrowok="t"/>
              <v:fill type="solid"/>
            </v:shape>
            <v:shape style="position:absolute;left:7133;top:3784;width:14;height:14" coordorigin="7133,3784" coordsize="14,14" path="m7140,3795l7136,3795,7139,3797,7140,3797,7140,3795xm7145,3794l7135,3794,7135,3795,7145,3795,7145,3794xm7147,3790l7133,3790,7133,3794,7147,3794,7147,3790xm7145,3785l7135,3785,7135,3790,7145,3790,7145,3785xm7140,3784l7139,3784,7136,3785,7140,3785,7140,3784xe" filled="true" fillcolor="#ff00ff" stroked="false">
              <v:path arrowok="t"/>
              <v:fill type="solid"/>
            </v:shape>
            <v:shape style="position:absolute;left:7159;top:3713;width:52;height:88" coordorigin="7159,3713" coordsize="52,88" path="m7193,3717l7186,3717,7187,3719,7190,3719,7193,3723,7196,3727,7196,3729,7197,3733,7197,3739,7200,3743,7200,3750,7197,3753,7197,3757,7196,3760,7187,3760,7186,3761,7197,3761,7196,3765,7193,3771,7191,3775,7187,3781,7186,3785,7181,3790,7177,3791,7175,3794,7170,3795,7160,3795,7160,3800,7163,3797,7167,3797,7175,3795,7179,3794,7186,3791,7190,3787,7196,3784,7201,3777,7207,3765,7211,3753,7211,3747,7210,3739,7206,3727,7197,3719,7193,3717xm7186,3713l7167,3719,7163,3727,7160,3733,7159,3737,7159,3747,7160,3753,7163,3757,7165,3760,7167,3764,7170,3765,7187,3765,7191,3764,7197,3761,7181,3761,7181,3760,7177,3757,7175,3757,7175,3753,7170,3750,7170,3729,7173,3724,7181,3717,7193,3717,7186,3713xe" filled="true" fillcolor="#ff00ff" stroked="false">
              <v:path arrowok="t"/>
              <v:fill type="solid"/>
            </v:shape>
            <v:shape style="position:absolute;left:7221;top:3714;width:47;height:84" coordorigin="7221,3714" coordsize="47,84" path="m7242,3795l7230,3795,7232,3797,7238,3797,7242,3795xm7237,3790l7221,3790,7221,3791,7224,3794,7224,3795,7248,3795,7252,3794,7254,3794,7254,3791,7238,3791,7237,3790xm7268,3714l7240,3714,7224,3747,7234,3747,7238,3750,7242,3750,7244,3753,7252,3757,7254,3760,7257,3764,7258,3765,7258,3781,7254,3784,7254,3785,7252,3787,7244,3791,7254,3791,7254,3790,7258,3790,7260,3785,7260,3784,7264,3781,7264,3780,7267,3775,7267,3774,7268,3770,7268,3767,7264,3757,7262,3753,7258,3750,7254,3743,7248,3739,7242,3737,7234,3737,7238,3724,7264,3724,7268,3714xm7227,3785l7224,3785,7224,3790,7232,3790,7227,3785xe" filled="true" fillcolor="#ff00ff" stroked="false">
              <v:path arrowok="t"/>
              <v:fill type="solid"/>
            </v:shape>
            <v:shape style="position:absolute;left:7068;top:4057;width:47;height:83" coordorigin="7068,4057" coordsize="47,83" path="m7082,4132l7068,4132,7068,4134,7072,4138,7072,4140,7092,4140,7095,4138,7098,4136,7100,4136,7100,4134,7085,4134,7082,4132xm7115,4057l7086,4057,7069,4089,7079,4089,7088,4094,7090,4095,7098,4099,7100,4104,7102,4105,7105,4109,7105,4124,7100,4126,7100,4129,7098,4129,7090,4134,7100,4134,7100,4132,7105,4132,7106,4129,7108,4126,7110,4124,7110,4122,7112,4119,7112,4116,7115,4112,7115,4109,7112,4105,7110,4099,7108,4095,7105,4091,7100,4085,7095,4084,7088,4079,7079,4079,7085,4068,7110,4068,7115,4057xm7075,4129l7069,4129,7069,4132,7078,4132,7075,4129xe" filled="true" fillcolor="#ff00ff" stroked="false">
              <v:path arrowok="t"/>
              <v:fill type="solid"/>
            </v:shape>
            <v:shape style="position:absolute;left:7133;top:4126;width:14;height:14" coordorigin="7133,4126" coordsize="14,14" path="m7145,4136l7135,4136,7135,4140,7143,4140,7145,4138,7145,4136xm7147,4132l7133,4132,7133,4136,7147,4136,7147,4132xm7143,4128l7135,4128,7135,4132,7145,4132,7145,4129,7143,4128xm7140,4126l7139,4126,7136,4128,7140,4128,7140,4126xe" filled="true" fillcolor="#ff00ff" stroked="false">
              <v:path arrowok="t"/>
              <v:fill type="solid"/>
            </v:shape>
            <v:shape style="position:absolute;left:7159;top:4057;width:52;height:85" coordorigin="7159,4057" coordsize="52,85" path="m7163,4140l7160,4140,7160,4142,7163,4140xm7193,4059l7186,4059,7190,4064,7191,4064,7193,4065,7196,4069,7196,4071,7197,4075,7197,4081,7200,4085,7200,4094,7197,4095,7197,4099,7193,4104,7197,4104,7196,4109,7193,4114,7191,4119,7187,4124,7186,4128,7181,4132,7177,4134,7175,4136,7170,4138,7167,4138,7165,4140,7175,4140,7179,4136,7186,4134,7190,4129,7196,4126,7201,4119,7204,4116,7207,4109,7210,4104,7211,4095,7211,4089,7210,4084,7207,4075,7206,4069,7197,4061,7193,4059xm7190,4057l7179,4057,7173,4059,7167,4064,7165,4065,7163,4069,7160,4075,7159,4079,7159,4089,7160,4095,7165,4104,7167,4105,7175,4109,7183,4109,7191,4105,7197,4104,7181,4104,7177,4099,7175,4099,7175,4095,7170,4091,7170,4071,7173,4068,7181,4059,7193,4059,7190,4057xe" filled="true" fillcolor="#ff00ff" stroked="false">
              <v:path arrowok="t"/>
              <v:fill type="solid"/>
            </v:shape>
            <v:shape style="position:absolute;left:7221;top:4057;width:51;height:83" coordorigin="7221,4057" coordsize="51,83" path="m7250,4057l7242,4057,7234,4061,7230,4065,7227,4069,7224,4075,7224,4079,7221,4085,7221,4114,7224,4122,7227,4128,7242,4140,7252,4140,7254,4136,7242,4136,7238,4132,7237,4128,7234,4122,7234,4116,7232,4109,7232,4095,7234,4089,7234,4069,7238,4065,7238,4064,7242,4064,7242,4061,7244,4059,7254,4059,7250,4057xm7254,4059l7248,4059,7250,4061,7252,4061,7252,4064,7254,4064,7257,4065,7258,4069,7258,4077,7260,4084,7260,4112,7258,4119,7258,4128,7252,4134,7252,4136,7258,4136,7260,4132,7264,4129,7268,4122,7271,4116,7271,4112,7272,4105,7272,4098,7271,4089,7271,4079,7267,4074,7262,4065,7258,4064,7254,4059xe" filled="true" fillcolor="#ff00ff" stroked="false">
              <v:path arrowok="t"/>
              <v:fill type="solid"/>
            </v:shape>
            <v:shape style="position:absolute;left:7068;top:4399;width:47;height:84" coordorigin="7068,4399" coordsize="47,84" path="m7075,4473l7069,4473,7069,4474,7068,4477,7072,4480,7072,4483,7092,4483,7095,4480,7098,4479,7100,4479,7100,4477,7082,4477,7079,4474,7078,4474,7075,4473xm7115,4399l7086,4399,7069,4432,7079,4432,7088,4436,7090,4438,7098,4442,7100,4446,7102,4449,7105,4452,7105,4466,7100,4469,7100,4473,7098,4473,7095,4477,7100,4477,7105,4474,7106,4473,7108,4469,7110,4466,7110,4464,7112,4462,7112,4458,7115,4456,7115,4452,7112,4449,7110,4442,7108,4438,7100,4430,7088,4422,7079,4422,7085,4409,7110,4409,7115,4399xe" filled="true" fillcolor="#ff00ff" stroked="false">
              <v:path arrowok="t"/>
              <v:fill type="solid"/>
            </v:shape>
            <v:shape style="position:absolute;left:7133;top:4469;width:14;height:15" coordorigin="7133,4469" coordsize="14,15" path="m7145,4479l7135,4479,7135,4483,7143,4483,7145,4480,7145,4479xm7143,4470l7135,4470,7135,4474,7133,4477,7133,4479,7147,4479,7147,4477,7145,4474,7145,4473,7143,4470xm7140,4469l7139,4469,7136,4470,7140,4470,7140,4469xe" filled="true" fillcolor="#ff00ff" stroked="false">
              <v:path arrowok="t"/>
              <v:fill type="solid"/>
            </v:shape>
            <v:shape style="position:absolute;left:7160;top:4399;width:47;height:84" coordorigin="7160,4399" coordsize="47,84" path="m7193,4399l7175,4399,7170,4403,7167,4405,7167,4408,7163,4415,7163,4422,7165,4423,7165,4430,7167,4432,7170,4433,7173,4438,7177,4442,7173,4443,7169,4449,7167,4452,7163,4456,7163,4458,7160,4462,7160,4466,7165,4474,7167,4477,7170,4479,7175,4483,7193,4483,7197,4479,7181,4479,7177,4477,7175,4474,7175,4469,7173,4466,7173,4460,7175,4458,7175,4450,7177,4449,7177,4446,7180,4444,7179,4443,7196,4443,7196,4442,7190,4438,7196,4436,7187,4436,7177,4428,7177,4423,7175,4422,7175,4409,7177,4405,7181,4403,7197,4403,7193,4399xm7196,4443l7181,4443,7180,4444,7186,4450,7190,4452,7191,4456,7196,4460,7196,4464,7197,4466,7197,4470,7196,4473,7196,4474,7191,4479,7197,4479,7201,4477,7207,4470,7207,4456,7204,4452,7204,4450,7201,4449,7197,4446,7196,4443xm7201,4403l7190,4403,7191,4405,7193,4405,7196,4409,7196,4422,7193,4426,7193,4428,7190,4432,7187,4436,7196,4436,7197,4432,7201,4430,7204,4426,7204,4423,7207,4419,7207,4413,7204,4405,7201,4403xe" filled="true" fillcolor="#ff00ff" stroked="false">
              <v:path arrowok="t"/>
              <v:fill type="solid"/>
            </v:shape>
            <v:shape style="position:absolute;left:7221;top:4399;width:47;height:84" coordorigin="7221,4399" coordsize="47,84" path="m7230,4473l7224,4473,7224,4474,7221,4477,7224,4479,7224,4480,7226,4483,7247,4483,7248,4480,7252,4479,7254,4479,7254,4477,7237,4477,7234,4474,7232,4474,7230,4473xm7268,4399l7240,4399,7224,4432,7234,4432,7242,4436,7244,4438,7252,4442,7254,4446,7257,4449,7258,4452,7258,4466,7254,4469,7254,4473,7252,4473,7248,4477,7254,4477,7258,4474,7260,4473,7260,4469,7264,4466,7264,4464,7267,4462,7267,4458,7268,4456,7268,4452,7267,4449,7264,4442,7262,4438,7254,4430,7242,4422,7234,4422,7238,4409,7264,4409,7268,4399xe" filled="true" fillcolor="#ff00ff" stroked="false">
              <v:path arrowok="t"/>
              <v:fill type="solid"/>
            </v:shape>
            <v:shape style="position:absolute;left:7068;top:4742;width:47;height:83" coordorigin="7068,4742" coordsize="47,83" path="m7095,4823l7072,4823,7072,4824,7092,4824,7095,4823xm7075,4814l7069,4814,7069,4817,7068,4818,7069,4823,7098,4823,7100,4821,7100,4818,7082,4818,7079,4817,7078,4817,7075,4814xm7115,4742l7086,4742,7069,4774,7074,4774,7079,4776,7085,4776,7088,4778,7090,4780,7095,4783,7102,4791,7105,4794,7105,4808,7100,4813,7100,4814,7098,4814,7095,4818,7100,4818,7105,4817,7108,4813,7110,4808,7110,4807,7112,4804,7112,4803,7115,4798,7115,4797,7112,4791,7110,4787,7108,4780,7100,4773,7095,4767,7088,4766,7079,4764,7085,4752,7110,4752,7115,4742xe" filled="true" fillcolor="#ff00ff" stroked="false">
              <v:path arrowok="t"/>
              <v:fill type="solid"/>
            </v:shape>
            <v:shape style="position:absolute;left:7133;top:4813;width:14;height:12" coordorigin="7133,4813" coordsize="14,12" path="m7143,4813l7135,4813,7135,4817,7133,4818,7133,4821,7135,4823,7135,4824,7143,4824,7147,4821,7147,4818,7145,4817,7145,4814,7143,4813xe" filled="true" fillcolor="#ff00ff" stroked="false">
              <v:path arrowok="t"/>
              <v:fill type="solid"/>
            </v:shape>
            <v:shape style="position:absolute;left:7160;top:4742;width:47;height:83" coordorigin="7160,4742" coordsize="47,83" path="m7193,4742l7175,4742,7170,4746,7167,4747,7167,4750,7163,4757,7163,4764,7165,4766,7165,4773,7167,4774,7170,4776,7173,4780,7177,4784,7173,4787,7169,4791,7167,4794,7163,4798,7163,4803,7160,4804,7160,4808,7165,4817,7170,4823,7175,4824,7193,4824,7197,4823,7181,4823,7181,4821,7177,4818,7175,4817,7175,4813,7173,4808,7173,4803,7175,4801,7175,4793,7177,4791,7177,4788,7180,4787,7179,4787,7197,4787,7196,4784,7190,4780,7196,4778,7187,4778,7177,4770,7177,4766,7175,4764,7175,4752,7177,4750,7177,4747,7181,4746,7197,4746,7193,4742xm7197,4787l7181,4787,7180,4787,7196,4803,7196,4807,7197,4808,7197,4813,7196,4814,7196,4817,7191,4821,7190,4821,7187,4823,7197,4823,7207,4813,7207,4798,7204,4797,7204,4793,7201,4791,7197,4788,7197,4787xm7201,4746l7190,4746,7196,4752,7196,4766,7193,4767,7193,4770,7191,4773,7190,4776,7187,4778,7196,4778,7197,4774,7201,4773,7204,4767,7204,4766,7207,4763,7207,4756,7206,4752,7204,4750,7201,4746xe" filled="true" fillcolor="#ff00ff" stroked="false">
              <v:path arrowok="t"/>
              <v:fill type="solid"/>
            </v:shape>
            <v:shape style="position:absolute;left:7221;top:4742;width:51;height:83" coordorigin="7221,4742" coordsize="51,83" path="m7242,4746l7234,4746,7232,4750,7230,4752,7227,4756,7224,4760,7224,4766,7221,4773,7221,4798,7224,4807,7232,4818,7237,4823,7242,4824,7252,4824,7254,4823,7247,4823,7242,4821,7238,4817,7234,4808,7234,4801,7232,4794,7232,4780,7234,4776,7234,4756,7238,4752,7238,4750,7242,4747,7242,4746xm7250,4742l7242,4742,7238,4746,7252,4746,7252,4747,7258,4754,7258,4763,7260,4767,7260,4797,7258,4804,7258,4813,7257,4814,7254,4818,7252,4818,7252,4821,7248,4821,7248,4823,7254,4823,7258,4821,7260,4818,7267,4813,7268,4807,7271,4803,7271,4797,7272,4791,7272,4783,7271,4774,7271,4766,7267,4757,7262,4752,7254,4744,7250,4742xe" filled="true" fillcolor="#ff00ff" stroked="false">
              <v:path arrowok="t"/>
              <v:fill type="solid"/>
            </v:shape>
            <v:shape style="position:absolute;left:7078;top:5425;width:52;height:85" coordorigin="7078,5425" coordsize="52,85" path="m7122,5462l7106,5462,7110,5463,7112,5466,7116,5473,7119,5479,7119,5496,7115,5499,7115,5502,7110,5503,7110,5506,7092,5506,7100,5510,7105,5510,7108,5507,7115,5507,7120,5503,7125,5499,7130,5487,7130,5477,7129,5472,7125,5463,7122,5462xm7120,5429l7110,5429,7108,5431,7105,5432,7098,5435,7090,5442,7088,5449,7085,5451,7082,5457,7082,5462,7079,5466,7078,5472,7078,5477,7079,5486,7082,5492,7085,5499,7090,5506,7100,5506,7096,5502,7095,5497,7092,5496,7090,5492,7090,5467,7095,5467,7095,5466,7098,5463,7090,5463,7096,5451,7098,5449,7098,5446,7100,5442,7105,5439,7108,5436,7112,5432,7115,5432,7119,5431,7120,5429xm7095,5467l7090,5467,7090,5469,7095,5467xm7112,5457l7105,5457,7100,5459,7095,5462,7090,5463,7100,5463,7100,5462,7122,5462,7112,5457xm7129,5425l7122,5425,7115,5429,7129,5429,7129,5425xe" filled="true" fillcolor="#ff00ff" stroked="false">
              <v:path arrowok="t"/>
              <v:fill type="solid"/>
            </v:shape>
            <v:shape style="position:absolute;left:7145;top:5496;width:12;height:15" coordorigin="7145,5496" coordsize="12,15" path="m7153,5507l7147,5507,7149,5510,7150,5510,7153,5507xm7155,5497l7145,5497,7145,5507,7157,5507,7157,5499,7155,5497xm7150,5496l7149,5496,7147,5497,7153,5497,7150,5496xe" filled="true" fillcolor="#ff00ff" stroked="false">
              <v:path arrowok="t"/>
              <v:fill type="solid"/>
            </v:shape>
            <v:shape style="position:absolute;left:7170;top:5425;width:48;height:85" coordorigin="7170,5425" coordsize="48,85" path="m7191,5507l7177,5507,7181,5510,7186,5510,7191,5507xm7177,5499l7173,5499,7170,5502,7170,5507,7200,5507,7201,5506,7187,5506,7186,5503,7183,5503,7181,5502,7177,5502,7177,5499xm7210,5466l7190,5466,7186,5467,7183,5467,7183,5469,7193,5469,7196,5472,7197,5472,7201,5475,7204,5475,7204,5477,7206,5479,7206,5482,7207,5483,7207,5496,7204,5497,7204,5502,7201,5502,7197,5503,7196,5506,7201,5506,7204,5503,7210,5499,7214,5496,7217,5487,7217,5479,7214,5472,7211,5469,7210,5466xm7207,5432l7191,5432,7196,5435,7197,5436,7201,5439,7201,5441,7204,5442,7204,5455,7201,5457,7201,5459,7197,5462,7196,5466,7207,5466,7204,5462,7201,5462,7207,5457,7211,5451,7211,5446,7214,5442,7214,5441,7211,5439,7210,5435,7207,5432xm7197,5425l7190,5425,7181,5429,7175,5435,7170,5442,7173,5445,7177,5439,7181,5435,7186,5435,7190,5432,7207,5432,7206,5429,7197,5425xe" filled="true" fillcolor="#ff00ff" stroked="false">
              <v:path arrowok="t"/>
              <v:fill type="solid"/>
            </v:shape>
            <v:shape style="position:absolute;left:7234;top:5426;width:47;height:84" coordorigin="7234,5426" coordsize="47,84" path="m7254,5507l7242,5507,7244,5510,7250,5510,7254,5507xm7240,5497l7237,5497,7234,5499,7234,5506,7237,5507,7260,5507,7262,5506,7264,5506,7266,5503,7250,5503,7248,5502,7244,5502,7240,5497xm7281,5426l7252,5426,7234,5459,7244,5459,7248,5462,7252,5462,7257,5466,7264,5469,7267,5472,7268,5475,7268,5479,7271,5482,7271,5489,7268,5493,7260,5502,7257,5503,7266,5503,7267,5502,7268,5502,7271,5497,7278,5489,7278,5475,7277,5469,7274,5466,7260,5451,7252,5449,7244,5449,7250,5436,7274,5436,7281,5426xe" filled="true" fillcolor="#ff00ff" stroked="false">
              <v:path arrowok="t"/>
              <v:fill type="solid"/>
            </v:shape>
            <v:shape style="position:absolute;left:7078;top:5716;width:52;height:85" coordorigin="7078,5716" coordsize="52,85" path="m7125,5719l7115,5719,7110,5720,7108,5723,7105,5725,7098,5726,7090,5735,7088,5739,7085,5743,7082,5749,7082,5750,7078,5763,7078,5769,7079,5777,7082,5783,7085,5791,7090,5796,7092,5797,7100,5801,7105,5801,7108,5800,7116,5797,7105,5797,7100,5796,7098,5796,7096,5791,7092,5787,7090,5783,7090,5759,7095,5759,7095,5755,7090,5755,7096,5743,7098,5740,7098,5739,7100,5735,7102,5733,7105,5729,7108,5729,7110,5725,7112,5725,7115,5723,7119,5723,7120,5720,7125,5719xm7122,5753l7106,5753,7110,5755,7112,5756,7119,5769,7119,5787,7115,5791,7115,5793,7110,5796,7108,5797,7116,5797,7120,5796,7125,5791,7126,5787,7129,5781,7130,5780,7130,5769,7129,5763,7125,5755,7122,5753xm7116,5749l7100,5749,7095,5750,7090,5755,7100,5755,7100,5753,7122,5753,7120,5750,7116,5749xm7129,5716l7122,5716,7119,5719,7129,5719,7129,5716xe" filled="true" fillcolor="#ff00ff" stroked="false">
              <v:path arrowok="t"/>
              <v:fill type="solid"/>
            </v:shape>
            <v:shape style="position:absolute;left:7145;top:5787;width:12;height:14" coordorigin="7145,5787" coordsize="12,14" path="m7155,5787l7147,5787,7145,5790,7145,5797,7149,5801,7150,5801,7153,5800,7155,5800,7155,5797,7157,5797,7157,5791,7155,5790,7155,5787xe" filled="true" fillcolor="#ff00ff" stroked="false">
              <v:path arrowok="t"/>
              <v:fill type="solid"/>
            </v:shape>
            <v:shape style="position:absolute;left:7170;top:5716;width:48;height:85" coordorigin="7170,5716" coordsize="48,85" path="m7179,5791l7170,5791,7170,5797,7173,5800,7177,5800,7181,5801,7186,5801,7191,5800,7200,5797,7204,5796,7183,5796,7179,5791xm7207,5725l7196,5725,7197,5729,7201,5729,7201,5733,7204,5735,7204,5745,7201,5749,7197,5750,7197,5753,7196,5755,7191,5756,7190,5756,7186,5759,7187,5759,7191,5760,7196,5760,7200,5766,7201,5766,7204,5767,7204,5769,7206,5771,7207,5776,7207,5787,7204,5790,7204,5791,7201,5793,7197,5796,7204,5796,7210,5791,7214,5787,7216,5781,7217,5780,7217,5769,7214,5760,7207,5755,7204,5753,7201,5750,7207,5749,7211,5743,7211,5739,7214,5735,7214,5733,7211,5729,7207,5725xm7197,5716l7190,5716,7181,5720,7175,5726,7170,5735,7173,5735,7181,5726,7186,5725,7207,5725,7206,5720,7197,5716xe" filled="true" fillcolor="#ff00ff" stroked="false">
              <v:path arrowok="t"/>
              <v:fill type="solid"/>
            </v:shape>
            <v:shape style="position:absolute;left:7232;top:5716;width:54;height:85" coordorigin="7232,5716" coordsize="54,85" path="m7258,5716l7254,5716,7252,5719,7248,5720,7238,5730,7237,5735,7234,5740,7234,5746,7232,5753,7232,5767,7234,5776,7238,5787,7242,5793,7248,5797,7252,5800,7258,5801,7260,5801,7262,5800,7267,5797,7258,5797,7254,5796,7252,5796,7248,5791,7248,5787,7247,5783,7244,5776,7244,5735,7248,5726,7252,5723,7254,5723,7257,5720,7268,5720,7267,5719,7260,5719,7258,5716xm7268,5720l7258,5720,7260,5723,7264,5723,7264,5725,7268,5726,7268,5733,7271,5739,7271,5743,7272,5749,7272,5766,7271,5771,7271,5780,7268,5786,7268,5791,7264,5793,7264,5796,7260,5796,7258,5797,7267,5797,7271,5793,7274,5791,7278,5787,7281,5781,7281,5777,7285,5766,7285,5759,7282,5749,7278,5733,7274,5726,7268,5720xe" filled="true" fillcolor="#ff00ff" stroked="false">
              <v:path arrowok="t"/>
              <v:fill type="solid"/>
            </v:shape>
            <v:shape style="position:absolute;left:7078;top:6008;width:52;height:83" coordorigin="7078,6008" coordsize="52,83" path="m7112,6039l7105,6039,7100,6040,7095,6043,7090,6044,7110,6044,7112,6049,7115,6050,7116,6054,7119,6060,7119,6080,7115,6081,7115,6085,7110,6085,7110,6087,7092,6087,7096,6091,7108,6091,7115,6090,7120,6085,7126,6080,7129,6073,7130,6069,7130,6059,7129,6054,7126,6049,7125,6044,7112,6039xm7119,6012l7108,6012,7105,6013,7098,6019,7095,6022,7090,6024,7088,6030,7085,6034,7082,6039,7082,6043,7078,6054,7078,6060,7079,6069,7085,6081,7090,6087,7100,6087,7092,6080,7090,6074,7090,6049,7095,6049,7095,6047,7098,6044,7090,6044,7092,6040,7095,6039,7096,6034,7098,6033,7098,6029,7100,6024,7105,6020,7108,6019,7112,6013,7115,6013,7119,6012xm7095,6049l7090,6049,7090,6050,7095,6049xm7129,6008l7119,6008,7110,6012,7120,6012,7125,6010,7129,6010,7129,6008xe" filled="true" fillcolor="#ff00ff" stroked="false">
              <v:path arrowok="t"/>
              <v:fill type="solid"/>
            </v:shape>
            <v:shape style="position:absolute;left:7145;top:6080;width:12;height:12" coordorigin="7145,6080" coordsize="12,12" path="m7155,6080l7147,6080,7145,6081,7145,6090,7147,6091,7155,6091,7155,6090,7157,6090,7157,6081,7155,6081,7155,6080xe" filled="true" fillcolor="#ff00ff" stroked="false">
              <v:path arrowok="t"/>
              <v:fill type="solid"/>
            </v:shape>
            <v:shape style="position:absolute;left:7167;top:6008;width:55;height:83" coordorigin="7167,6008" coordsize="55,83" path="m7212,6016l7193,6016,7197,6019,7204,6024,7207,6033,7207,6034,7204,6047,7197,6059,7193,6064,7177,6081,7167,6090,7167,6091,7216,6091,7219,6081,7179,6081,7197,6063,7204,6059,7207,6050,7211,6047,7214,6043,7214,6040,7217,6033,7217,6026,7214,6019,7212,6016xm7221,6074l7220,6074,7217,6077,7217,6080,7216,6080,7214,6081,7219,6081,7221,6074xm7201,6008l7186,6008,7181,6012,7177,6013,7175,6019,7170,6022,7170,6024,7169,6030,7170,6030,7170,6029,7175,6024,7175,6022,7177,6020,7181,6019,7183,6019,7187,6016,7212,6016,7210,6013,7206,6012,7201,6008xe" filled="true" fillcolor="#ff00ff" stroked="false">
              <v:path arrowok="t"/>
              <v:fill type="solid"/>
            </v:shape>
            <v:shape style="position:absolute;left:7234;top:6008;width:47;height:83" coordorigin="7234,6008" coordsize="47,83" path="m7242,6081l7234,6081,7234,6087,7238,6091,7258,6091,7262,6087,7264,6087,7267,6085,7248,6085,7244,6083,7242,6081xm7281,6008l7252,6008,7234,6040,7244,6040,7264,6050,7267,6054,7268,6057,7268,6060,7271,6064,7271,6070,7267,6080,7264,6081,7262,6081,7260,6085,7267,6085,7272,6080,7274,6074,7278,6070,7278,6057,7277,6050,7274,6047,7271,6043,7264,6039,7260,6034,7244,6030,7250,6019,7274,6019,7281,6008xe" filled="true" fillcolor="#ff00ff" stroked="false">
              <v:path arrowok="t"/>
              <v:fill type="solid"/>
            </v:shape>
            <v:shape style="position:absolute;left:7078;top:6297;width:52;height:86" coordorigin="7078,6297" coordsize="52,86" path="m7120,6334l7106,6334,7110,6337,7112,6338,7119,6351,7119,6368,7115,6373,7115,6374,7110,6377,7110,6378,7092,6378,7100,6383,7105,6383,7108,6381,7115,6381,7125,6373,7130,6361,7130,6351,7129,6344,7125,6337,7120,6334xm7120,6302l7110,6302,7108,6304,7105,6306,7098,6307,7090,6316,7088,6322,7085,6324,7082,6330,7082,6334,7079,6338,7078,6344,7078,6351,7079,6358,7082,6364,7085,6373,7090,6378,7100,6378,7096,6374,7095,6371,7092,6368,7090,6364,7090,6341,7095,6341,7095,6338,7098,6337,7090,6337,7096,6324,7098,6322,7098,6320,7100,6316,7105,6313,7108,6310,7115,6304,7119,6304,7120,6302xm7116,6330l7100,6330,7095,6334,7090,6337,7100,6337,7100,6334,7120,6334,7116,6330xm7129,6297l7122,6297,7115,6302,7129,6302,7129,6297xe" filled="true" fillcolor="#ff00ff" stroked="false">
              <v:path arrowok="t"/>
              <v:fill type="solid"/>
            </v:shape>
            <v:shape style="position:absolute;left:7145;top:6368;width:12;height:15" coordorigin="7145,6368" coordsize="12,15" path="m7153,6381l7147,6381,7149,6383,7150,6383,7153,6381xm7155,6371l7145,6371,7145,6381,7157,6381,7157,6373,7155,6371xm7150,6368l7149,6368,7147,6371,7153,6371,7150,6368xe" filled="true" fillcolor="#ff00ff" stroked="false">
              <v:path arrowok="t"/>
              <v:fill type="solid"/>
            </v:shape>
            <v:shape style="position:absolute;left:7167;top:6297;width:55;height:84" coordorigin="7167,6297" coordsize="55,84" path="m7214,6307l7197,6307,7200,6313,7206,6317,7207,6322,7207,6326,7206,6330,7204,6338,7201,6343,7193,6354,7187,6363,7177,6371,7167,6381,7216,6381,7219,6373,7179,6373,7204,6348,7211,6338,7214,6334,7214,6330,7216,6328,7217,6324,7217,6317,7216,6313,7214,6307xm7221,6367l7220,6367,7216,6371,7214,6371,7211,6373,7219,6373,7221,6367xm7197,6297l7187,6297,7186,6300,7177,6304,7175,6307,7170,6313,7170,6316,7169,6322,7170,6322,7170,6317,7175,6316,7175,6314,7177,6313,7181,6310,7183,6307,7214,6307,7210,6304,7197,6297xe" filled="true" fillcolor="#ff00ff" stroked="false">
              <v:path arrowok="t"/>
              <v:fill type="solid"/>
            </v:shape>
            <v:shape style="position:absolute;left:7232;top:6297;width:54;height:86" coordorigin="7232,6297" coordsize="54,86" path="m7258,6297l7254,6297,7252,6300,7248,6302,7238,6313,7237,6317,7234,6322,7234,6328,7232,6334,7232,6348,7237,6364,7238,6371,7242,6374,7248,6378,7252,6381,7258,6383,7260,6383,7262,6381,7267,6378,7254,6378,7252,6377,7248,6374,7248,6371,7244,6358,7244,6316,7248,6307,7252,6304,7254,6304,7257,6302,7267,6302,7260,6300,7258,6297xm7267,6302l7258,6302,7260,6304,7264,6304,7264,6306,7268,6307,7268,6314,7271,6320,7271,6324,7272,6330,7272,6347,7271,6354,7271,6361,7268,6367,7268,6373,7264,6374,7264,6377,7262,6378,7268,6378,7271,6374,7274,6373,7278,6368,7281,6364,7281,6358,7282,6354,7285,6348,7285,6341,7282,6330,7278,6314,7274,6307,7271,6304,7267,6302xe" filled="true" fillcolor="#ff00ff" stroked="false">
              <v:path arrowok="t"/>
              <v:fill type="solid"/>
            </v:shape>
            <v:shape style="position:absolute;left:7078;top:6590;width:52;height:85" coordorigin="7078,6590" coordsize="52,85" path="m7119,6594l7108,6594,7105,6598,7098,6600,7090,6608,7088,6611,7085,6616,7082,6621,7082,6624,7078,6637,7078,6642,7079,6651,7082,6657,7085,6665,7090,6668,7092,6671,7100,6675,7105,6675,7108,6672,7112,6671,7105,6671,7100,6668,7098,6668,7096,6665,7092,6661,7090,6657,7090,6630,7095,6630,7095,6628,7090,6628,7096,6616,7098,6614,7098,6611,7102,6604,7105,6601,7108,6601,7110,6598,7112,6598,7115,6596,7119,6594xm7122,6626l7106,6626,7110,6628,7112,6630,7119,6642,7119,6661,7115,6665,7115,6667,7110,6668,7108,6671,7112,6671,7120,6668,7125,6665,7126,6661,7129,6655,7130,6651,7130,6640,7129,6637,7126,6630,7122,6626xm7095,6630l7090,6630,7090,6631,7095,6630xm7116,6621l7100,6621,7095,6624,7090,6628,7100,6628,7100,6626,7122,6626,7120,6624,7116,6621xm7125,6591l7115,6591,7110,6594,7120,6594,7125,6591xm7129,6590l7122,6590,7119,6591,7129,6591,7129,6590xe" filled="true" fillcolor="#ff00ff" stroked="false">
              <v:path arrowok="t"/>
              <v:fill type="solid"/>
            </v:shape>
            <v:shape style="position:absolute;left:7145;top:6661;width:12;height:14" coordorigin="7145,6661" coordsize="12,14" path="m7155,6661l7147,6661,7145,6662,7145,6671,7149,6675,7150,6675,7153,6672,7155,6672,7155,6671,7157,6671,7157,6665,7155,6662,7155,6661xe" filled="true" fillcolor="#ff00ff" stroked="false">
              <v:path arrowok="t"/>
              <v:fill type="solid"/>
            </v:shape>
            <v:shape style="position:absolute;left:7181;top:6590;width:31;height:83" coordorigin="7181,6590" coordsize="31,83" path="m7211,6671l7181,6671,7181,6672,7211,6672,7211,6671xm7201,6598l7187,6598,7191,6601,7191,6668,7190,6671,7204,6671,7204,6668,7201,6668,7201,6598xm7201,6590l7200,6590,7181,6598,7181,6600,7186,6598,7201,6598,7201,6590xe" filled="true" fillcolor="#ff00ff" stroked="false">
              <v:path arrowok="t"/>
              <v:fill type="solid"/>
            </v:shape>
            <v:shape style="position:absolute;left:7234;top:6591;width:47;height:84" coordorigin="7234,6591" coordsize="47,84" path="m7254,6672l7242,6672,7244,6675,7250,6675,7254,6672xm7260,6671l7237,6671,7238,6672,7258,6672,7260,6671xm7240,6662l7237,6662,7234,6665,7234,6671,7262,6671,7264,6668,7250,6668,7248,6667,7244,6665,7242,6665,7240,6662xm7281,6591l7252,6591,7234,6621,7240,6621,7244,6624,7248,6624,7260,6630,7268,6638,7268,6642,7271,6647,7271,6655,7268,6658,7260,6667,7257,6668,7264,6668,7274,6658,7277,6655,7278,6652,7278,6638,7277,6634,7274,6628,7271,6624,7264,6620,7260,6616,7244,6611,7250,6601,7274,6601,7281,6591xe" filled="true" fillcolor="#ff00ff" stroked="false">
              <v:path arrowok="t"/>
              <v:fill type="solid"/>
            </v:shape>
            <v:shape style="position:absolute;left:7078;top:6881;width:52;height:84" coordorigin="7078,6881" coordsize="52,84" path="m7112,6912l7105,6912,7100,6914,7095,6915,7090,6918,7110,6918,7112,6922,7115,6924,7116,6928,7119,6934,7119,6951,7115,6955,7115,6958,7110,6958,7110,6961,7092,6961,7096,6965,7108,6965,7115,6962,7125,6955,7130,6942,7130,6932,7129,6928,7126,6922,7125,6918,7112,6912xm7120,6884l7110,6884,7108,6885,7105,6887,7098,6891,7095,6894,7090,6897,7088,6904,7085,6908,7082,6912,7082,6915,7078,6928,7078,6932,7082,6948,7085,6955,7090,6961,7100,6961,7095,6955,7092,6951,7090,6948,7090,6922,7095,6922,7095,6920,7098,6918,7090,6918,7092,6914,7095,6912,7098,6904,7098,6901,7100,6897,7105,6894,7108,6891,7112,6887,7115,6887,7119,6885,7120,6884xm7095,6922l7090,6922,7090,6924,7095,6922xm7129,6881l7119,6881,7115,6884,7129,6884,7129,6881xe" filled="true" fillcolor="#ff00ff" stroked="false">
              <v:path arrowok="t"/>
              <v:fill type="solid"/>
            </v:shape>
            <v:shape style="position:absolute;left:7145;top:6951;width:12;height:15" coordorigin="7145,6951" coordsize="12,15" path="m7150,6951l7149,6951,7147,6952,7145,6955,7145,6962,7147,6965,7155,6965,7155,6962,7157,6962,7157,6955,7155,6955,7155,6952,7153,6952,7150,6951xe" filled="true" fillcolor="#ff00ff" stroked="false">
              <v:path arrowok="t"/>
              <v:fill type="solid"/>
            </v:shape>
            <v:shape style="position:absolute;left:7181;top:6881;width:31;height:84" coordorigin="7181,6881" coordsize="31,84" path="m7211,6962l7181,6962,7181,6965,7211,6965,7211,6962xm7207,6961l7190,6961,7187,6962,7210,6962,7207,6961xm7201,6890l7187,6890,7190,6891,7191,6891,7191,6961,7201,6961,7201,6890xm7201,6881l7200,6881,7181,6890,7181,6891,7186,6890,7201,6890,7201,6881xe" filled="true" fillcolor="#ff00ff" stroked="false">
              <v:path arrowok="t"/>
              <v:fill type="solid"/>
            </v:shape>
            <v:shape style="position:absolute;left:7232;top:6881;width:54;height:84" coordorigin="7232,6881" coordsize="54,84" path="m7260,6881l7252,6881,7248,6884,7244,6887,7242,6891,7238,6894,7237,6900,7234,6904,7234,6912,7232,6918,7232,6930,7237,6945,7238,6952,7242,6958,7248,6961,7252,6965,7262,6965,7267,6961,7254,6961,7252,6958,7248,6956,7248,6952,7247,6948,7244,6940,7244,6897,7247,6894,7248,6891,7250,6887,7252,6887,7257,6884,7267,6884,7260,6881xm7267,6884l7258,6884,7260,6885,7262,6885,7268,6891,7268,6897,7271,6901,7271,6908,7272,6914,7272,6928,7271,6936,7271,6944,7268,6948,7268,6955,7262,6961,7268,6961,7271,6958,7278,6951,7281,6945,7281,6940,7282,6936,7285,6930,7285,6922,7282,6914,7281,6904,7278,6897,7274,6891,7267,6884xe" filled="true" fillcolor="#ff00ff" stroked="false">
              <v:path arrowok="t"/>
              <v:fill type="solid"/>
            </v:shape>
            <v:shape style="position:absolute;left:7078;top:7171;width:52;height:85" coordorigin="7078,7171" coordsize="52,85" path="m7125,7174l7115,7174,7110,7175,7108,7177,7105,7179,7098,7181,7090,7189,7088,7194,7085,7198,7082,7204,7082,7208,7079,7211,7078,7218,7078,7224,7079,7232,7082,7238,7085,7246,7090,7249,7092,7252,7100,7256,7105,7256,7108,7254,7115,7254,7117,7252,7105,7252,7100,7249,7098,7249,7096,7248,7095,7245,7092,7242,7090,7238,7090,7214,7095,7214,7095,7211,7098,7209,7090,7209,7096,7198,7098,7195,7098,7194,7100,7189,7102,7188,7105,7184,7108,7184,7115,7177,7119,7177,7120,7175,7125,7174xm7120,7208l7106,7208,7110,7209,7112,7211,7119,7224,7119,7242,7115,7246,7115,7248,7110,7249,7108,7252,7117,7252,7120,7249,7125,7246,7130,7234,7130,7224,7129,7218,7125,7209,7120,7208xm7116,7204l7100,7204,7095,7208,7090,7209,7100,7209,7100,7208,7120,7208,7116,7204xm7129,7171l7122,7171,7119,7174,7129,7174,7129,7171xe" filled="true" fillcolor="#ff00ff" stroked="false">
              <v:path arrowok="t"/>
              <v:fill type="solid"/>
            </v:shape>
            <v:shape style="position:absolute;left:7145;top:7242;width:12;height:14" coordorigin="7145,7242" coordsize="12,14" path="m7153,7254l7147,7254,7149,7256,7150,7256,7153,7254xm7155,7245l7145,7245,7145,7254,7157,7254,7157,7246,7155,7245xm7150,7242l7149,7242,7147,7245,7153,7245,7150,7242xe" filled="true" fillcolor="#ff00ff" stroked="false">
              <v:path arrowok="t"/>
              <v:fill type="solid"/>
            </v:shape>
            <v:shape style="position:absolute;left:7170;top:7171;width:51;height:85" coordorigin="7170,7171" coordsize="51,85" path="m7196,7171l7193,7171,7191,7174,7187,7175,7186,7177,7181,7179,7179,7181,7177,7185,7175,7191,7173,7195,7170,7201,7170,7229,7175,7238,7177,7245,7186,7252,7191,7254,7196,7256,7197,7256,7201,7254,7204,7252,7196,7252,7191,7249,7190,7249,7187,7248,7186,7245,7186,7238,7183,7229,7181,7224,7181,7211,7183,7205,7183,7189,7187,7181,7187,7179,7196,7175,7205,7175,7204,7174,7200,7174,7196,7171xm7205,7175l7197,7175,7200,7177,7201,7177,7207,7184,7207,7194,7210,7198,7211,7204,7211,7219,7210,7228,7207,7234,7207,7245,7201,7249,7197,7249,7197,7252,7204,7252,7207,7249,7210,7248,7214,7246,7217,7238,7220,7232,7221,7228,7221,7204,7220,7195,7216,7188,7211,7181,7205,7175xe" filled="true" fillcolor="#ff00ff" stroked="false">
              <v:path arrowok="t"/>
              <v:fill type="solid"/>
            </v:shape>
            <v:shape style="position:absolute;left:7234;top:7174;width:47;height:83" coordorigin="7234,7174" coordsize="47,83" path="m7254,7254l7242,7254,7244,7256,7250,7256,7254,7254xm7240,7245l7237,7245,7234,7246,7234,7252,7237,7254,7260,7254,7266,7249,7250,7249,7248,7248,7244,7248,7240,7245xm7281,7174l7252,7174,7234,7204,7240,7204,7248,7208,7252,7208,7257,7211,7264,7216,7268,7219,7268,7224,7271,7228,7271,7236,7268,7239,7260,7248,7257,7249,7266,7249,7267,7248,7268,7248,7271,7245,7277,7238,7278,7234,7278,7219,7274,7211,7260,7198,7244,7194,7250,7184,7274,7184,7281,7174xe" filled="true" fillcolor="#ff00ff" stroked="false">
              <v:path arrowok="t"/>
              <v:fill type="solid"/>
            </v:shape>
            <v:shape style="position:absolute;left:7078;top:7462;width:52;height:87" coordorigin="7078,7462" coordsize="52,87" path="m7119,7467l7108,7467,7105,7471,7098,7473,7090,7481,7088,7485,7085,7489,7082,7493,7082,7498,7078,7509,7078,7513,7079,7523,7082,7530,7085,7538,7090,7542,7092,7543,7100,7548,7105,7548,7108,7546,7115,7543,7105,7543,7100,7542,7092,7533,7090,7530,7090,7503,7095,7503,7095,7502,7090,7502,7096,7489,7098,7488,7098,7483,7100,7481,7102,7478,7105,7475,7108,7473,7110,7471,7112,7471,7115,7468,7119,7467xm7121,7499l7106,7499,7110,7502,7112,7503,7119,7515,7119,7533,7115,7538,7115,7540,7110,7540,7110,7542,7108,7543,7115,7543,7120,7540,7125,7538,7126,7533,7129,7528,7130,7523,7130,7513,7129,7509,7126,7503,7121,7499xm7095,7503l7090,7503,7090,7505,7095,7503xm7112,7493l7105,7493,7100,7495,7095,7498,7090,7502,7100,7502,7100,7499,7121,7499,7120,7498,7112,7493xm7125,7465l7115,7465,7110,7467,7120,7467,7125,7465xm7129,7462l7122,7462,7119,7465,7129,7465,7129,7462xe" filled="true" fillcolor="#ff00ff" stroked="false">
              <v:path arrowok="t"/>
              <v:fill type="solid"/>
            </v:shape>
            <v:shape style="position:absolute;left:7145;top:7533;width:12;height:16" coordorigin="7145,7533" coordsize="12,16" path="m7155,7533l7147,7533,7145,7536,7145,7543,7149,7548,7150,7548,7153,7546,7155,7546,7155,7543,7157,7543,7157,7538,7155,7536,7155,7533xe" filled="true" fillcolor="#ff00ff" stroked="false">
              <v:path arrowok="t"/>
              <v:fill type="solid"/>
            </v:shape>
            <v:shape style="position:absolute;left:7170;top:7462;width:51;height:87" coordorigin="7170,7462" coordsize="51,87" path="m7191,7467l7186,7467,7179,7473,7175,7481,7170,7493,7170,7519,7175,7528,7177,7533,7181,7540,7186,7543,7196,7548,7197,7548,7201,7546,7204,7543,7196,7543,7191,7542,7187,7538,7186,7533,7186,7530,7183,7522,7181,7515,7181,7502,7183,7498,7183,7481,7187,7473,7187,7471,7191,7468,7191,7467xm7196,7462l7193,7462,7191,7465,7187,7467,7201,7467,7201,7468,7207,7475,7207,7483,7211,7495,7211,7512,7210,7518,7207,7526,7207,7533,7206,7538,7204,7540,7201,7540,7201,7542,7197,7542,7197,7543,7204,7543,7207,7542,7210,7540,7214,7538,7216,7533,7217,7528,7220,7523,7221,7518,7221,7495,7220,7488,7216,7479,7211,7473,7204,7465,7200,7465,7196,7462xe" filled="true" fillcolor="#ff00ff" stroked="false">
              <v:path arrowok="t"/>
              <v:fill type="solid"/>
            </v:shape>
            <v:shape style="position:absolute;left:7232;top:7462;width:54;height:87" coordorigin="7232,7462" coordsize="54,87" path="m7254,7467l7247,7467,7244,7471,7238,7478,7237,7481,7234,7488,7234,7493,7232,7499,7232,7513,7234,7519,7237,7528,7238,7533,7242,7540,7248,7543,7252,7546,7258,7548,7260,7548,7262,7546,7267,7543,7258,7543,7254,7542,7252,7540,7248,7538,7248,7533,7247,7530,7244,7522,7244,7481,7248,7473,7254,7467xm7258,7462l7254,7462,7252,7465,7248,7467,7262,7467,7264,7468,7264,7471,7268,7473,7268,7479,7271,7483,7271,7489,7272,7495,7272,7512,7271,7518,7271,7526,7268,7530,7268,7538,7264,7540,7262,7542,7260,7542,7258,7543,7267,7543,7268,7542,7271,7540,7274,7538,7278,7533,7281,7528,7281,7523,7285,7512,7285,7503,7278,7479,7274,7473,7267,7465,7260,7465,7258,7462xe" filled="true" fillcolor="#ff00ff" stroked="false">
              <v:path arrowok="t"/>
              <v:fill type="solid"/>
            </v:shape>
            <v:shape style="position:absolute;left:7079;top:7755;width:47;height:83" coordorigin="7079,7755" coordsize="47,83" path="m7095,7829l7079,7829,7079,7832,7082,7833,7082,7836,7085,7837,7105,7837,7108,7833,7110,7833,7111,7832,7096,7832,7095,7829xm7126,7755l7098,7755,7082,7787,7090,7787,7110,7797,7112,7802,7115,7803,7115,7807,7116,7812,7116,7817,7115,7822,7112,7823,7110,7827,7108,7827,7106,7829,7102,7832,7111,7832,7112,7829,7115,7829,7119,7827,7119,7823,7125,7817,7125,7803,7122,7797,7120,7793,7110,7783,7098,7776,7090,7776,7096,7765,7120,7765,7126,7755xm7088,7827l7082,7827,7082,7829,7090,7829,7088,7827xe" filled="true" fillcolor="#ff00ff" stroked="false">
              <v:path arrowok="t"/>
              <v:fill type="solid"/>
            </v:shape>
            <v:shape style="position:absolute;left:7145;top:7823;width:12;height:15" coordorigin="7145,7823" coordsize="12,15" path="m7150,7823l7149,7823,7147,7826,7145,7827,7145,7836,7147,7837,7155,7837,7155,7836,7157,7836,7157,7827,7155,7827,7155,7826,7153,7826,7150,7823xe" filled="true" fillcolor="#ff00ff" stroked="false">
              <v:path arrowok="t"/>
              <v:fill type="solid"/>
            </v:shape>
            <v:shape style="position:absolute;left:7170;top:7755;width:51;height:85" coordorigin="7170,7755" coordsize="51,85" path="m7175,7837l7170,7837,7170,7840,7175,7837xm7204,7756l7197,7756,7201,7761,7204,7761,7204,7762,7206,7766,7207,7769,7207,7772,7210,7775,7210,7779,7211,7783,7211,7792,7210,7793,7210,7797,7207,7797,7204,7802,7207,7802,7207,7807,7204,7812,7201,7817,7197,7826,7193,7829,7186,7833,7183,7836,7179,7836,7175,7837,7186,7837,7191,7833,7196,7832,7207,7823,7211,7817,7216,7813,7217,7807,7221,7802,7221,7782,7220,7772,7217,7766,7210,7759,7204,7756xm7201,7755l7191,7755,7186,7756,7179,7761,7175,7762,7175,7766,7170,7772,7170,7793,7175,7797,7177,7802,7179,7803,7187,7807,7196,7807,7207,7802,7191,7802,7190,7797,7187,7797,7183,7789,7181,7783,7181,7772,7186,7765,7186,7762,7187,7761,7191,7759,7191,7756,7204,7756,7201,7755xe" filled="true" fillcolor="#ff00ff" stroked="false">
              <v:path arrowok="t"/>
              <v:fill type="solid"/>
            </v:shape>
            <v:shape style="position:absolute;left:7234;top:7755;width:47;height:83" coordorigin="7234,7755" coordsize="47,83" path="m7242,7827l7234,7827,7234,7833,7238,7837,7258,7837,7262,7833,7264,7833,7265,7832,7250,7832,7248,7829,7244,7829,7242,7827xm7281,7755l7252,7755,7234,7787,7244,7787,7264,7797,7267,7802,7268,7803,7268,7807,7271,7812,7271,7817,7268,7822,7267,7823,7264,7827,7262,7827,7260,7829,7257,7832,7265,7832,7267,7829,7268,7829,7271,7827,7272,7823,7278,7817,7278,7803,7277,7797,7274,7793,7264,7783,7252,7776,7244,7776,7250,7765,7274,7765,7281,7755xe" filled="true" fillcolor="#ff00ff" stroked="false">
              <v:path arrowok="t"/>
              <v:fill type="solid"/>
            </v:shape>
            <v:shape style="position:absolute;left:7079;top:8046;width:47;height:84" coordorigin="7079,8046" coordsize="47,84" path="m7100,8127l7088,8127,7090,8129,7096,8129,7100,8127xm7086,8117l7082,8117,7082,8120,7079,8121,7079,8123,7082,8126,7082,8127,7106,8127,7110,8123,7096,8123,7095,8121,7090,8120,7088,8120,7086,8117xm7126,8046l7098,8046,7082,8076,7086,8076,7095,8080,7098,8080,7102,8083,7106,8086,7110,8089,7115,8093,7115,8097,7116,8101,7116,8109,7115,8113,7106,8121,7102,8123,7110,8123,7115,8120,7119,8117,7119,8116,7120,8113,7122,8109,7125,8107,7125,8093,7122,8089,7120,8083,7116,8080,7106,8070,7090,8066,7096,8056,7120,8056,7126,8046xe" filled="true" fillcolor="#ff00ff" stroked="false">
              <v:path arrowok="t"/>
              <v:fill type="solid"/>
            </v:shape>
            <v:shape style="position:absolute;left:7145;top:8116;width:12;height:14" coordorigin="7145,8116" coordsize="12,14" path="m7153,8127l7147,8127,7149,8129,7150,8129,7153,8127xm7155,8117l7145,8117,7145,8127,7157,8127,7157,8120,7155,8117xm7150,8116l7149,8116,7147,8117,7153,8117,7150,8116xe" filled="true" fillcolor="#ff00ff" stroked="false">
              <v:path arrowok="t"/>
              <v:fill type="solid"/>
            </v:shape>
            <v:shape style="position:absolute;left:7170;top:8045;width:51;height:85" coordorigin="7170,8045" coordsize="51,85" path="m7208,8049l7197,8049,7200,8050,7201,8050,7204,8053,7204,8055,7206,8056,7207,8060,7207,8063,7210,8066,7210,8070,7211,8073,7211,8080,7210,8083,7210,8086,7206,8090,7197,8090,7197,8093,7207,8093,7207,8097,7204,8103,7201,8107,7200,8113,7197,8117,7193,8120,7190,8123,7186,8126,7183,8127,7170,8127,7170,8129,7179,8129,7191,8126,7196,8123,7201,8120,7211,8109,7216,8103,7217,8097,7221,8090,7221,8070,7217,8059,7210,8050,7208,8049xm7204,8046l7186,8046,7179,8050,7175,8055,7175,8059,7170,8063,7170,8083,7175,8086,7177,8090,7183,8097,7200,8097,7204,8093,7193,8093,7187,8086,7186,8083,7183,8080,7181,8073,7181,8063,7183,8060,7186,8056,7186,8055,7187,8053,7191,8050,7191,8049,7208,8049,7204,8046xm7196,8045l7191,8046,7201,8046,7196,8045xe" filled="true" fillcolor="#ff00ff" stroked="false">
              <v:path arrowok="t"/>
              <v:fill type="solid"/>
            </v:shape>
            <v:shape style="position:absolute;left:7232;top:8045;width:54;height:85" coordorigin="7232,8045" coordsize="54,85" path="m7258,8045l7254,8045,7252,8046,7248,8049,7238,8059,7237,8063,7234,8069,7234,8075,7232,8080,7232,8096,7234,8103,7237,8109,7238,8117,7242,8121,7248,8126,7252,8127,7258,8129,7260,8129,7262,8127,7267,8126,7258,8126,7254,8123,7252,8123,7248,8120,7248,8117,7247,8111,7244,8103,7244,8063,7248,8055,7252,8050,7254,8050,7257,8049,7269,8049,7267,8046,7260,8046,7258,8045xm7269,8049l7258,8049,7260,8050,7264,8050,7264,8053,7268,8055,7268,8060,7271,8066,7271,8070,7272,8076,7272,8093,7271,8101,7271,8107,7268,8113,7268,8120,7264,8121,7264,8123,7260,8123,7258,8126,7267,8126,7268,8123,7271,8121,7274,8120,7278,8116,7281,8109,7281,8106,7282,8101,7285,8093,7285,8086,7282,8076,7278,8060,7274,8055,7269,8049xe" filled="true" fillcolor="#ff00ff" stroked="false">
              <v:path arrowok="t"/>
              <v:fill type="solid"/>
            </v:shape>
            <v:shape style="position:absolute;left:7079;top:8336;width:47;height:84" coordorigin="7079,8336" coordsize="47,84" path="m7088,8410l7082,8410,7082,8411,7079,8413,7082,8417,7085,8420,7105,8420,7106,8417,7108,8417,7112,8413,7095,8413,7090,8411,7088,8410xm7126,8336l7098,8336,7082,8369,7086,8369,7090,8370,7095,8370,7106,8377,7115,8384,7115,8389,7116,8393,7116,8401,7115,8403,7112,8407,7110,8410,7108,8410,7106,8413,7112,8413,7115,8411,7119,8410,7119,8407,7120,8403,7125,8399,7125,8384,7122,8380,7120,8374,7116,8370,7110,8367,7106,8363,7090,8359,7096,8346,7120,8346,7126,8336xe" filled="true" fillcolor="#ff00ff" stroked="false">
              <v:path arrowok="t"/>
              <v:fill type="solid"/>
            </v:shape>
            <v:shape style="position:absolute;left:7145;top:8407;width:12;height:13" coordorigin="7145,8407" coordsize="12,13" path="m7155,8407l7147,8407,7145,8410,7145,8417,7147,8420,7155,8420,7155,8417,7157,8417,7157,8410,7155,8410,7155,8407xe" filled="true" fillcolor="#ff00ff" stroked="false">
              <v:path arrowok="t"/>
              <v:fill type="solid"/>
            </v:shape>
            <v:shape style="position:absolute;left:7173;top:8336;width:47;height:84" coordorigin="7173,8336" coordsize="47,84" path="m7204,8336l7187,8336,7183,8340,7179,8342,7177,8343,7175,8349,7175,8363,7177,8367,7177,8369,7181,8370,7190,8379,7187,8379,7175,8390,7175,8397,7173,8399,7173,8403,7177,8411,7177,8413,7181,8417,7186,8420,7204,8420,7210,8417,7193,8417,7186,8410,7186,8390,7187,8387,7187,8384,7191,8380,7207,8380,7201,8374,7206,8373,7197,8373,7190,8364,7190,8363,7187,8360,7187,8354,7186,8354,7186,8350,7187,8346,7187,8343,7191,8340,7207,8340,7204,8336xm7207,8380l7191,8380,7196,8387,7201,8390,7204,8393,7206,8397,7207,8399,7207,8410,7201,8415,7197,8417,7210,8417,7216,8411,7220,8403,7220,8397,7217,8393,7216,8390,7214,8387,7207,8380xm7211,8340l7201,8340,7201,8342,7206,8346,7206,8349,7207,8350,7207,8356,7206,8356,7206,8360,7204,8363,7204,8364,7201,8367,7201,8370,7197,8373,7206,8373,7211,8367,7214,8363,7216,8360,7217,8359,7217,8346,7214,8343,7211,8340xe" filled="true" fillcolor="#ff00ff" stroked="false">
              <v:path arrowok="t"/>
              <v:fill type="solid"/>
            </v:shape>
            <v:shape style="position:absolute;left:7234;top:8336;width:47;height:84" coordorigin="7234,8336" coordsize="47,84" path="m7260,8417l7237,8417,7238,8420,7258,8420,7260,8417xm7242,8410l7234,8410,7234,8417,7262,8417,7265,8413,7248,8413,7244,8411,7242,8410xm7281,8336l7252,8336,7234,8369,7240,8369,7244,8370,7248,8370,7260,8377,7268,8384,7268,8389,7271,8393,7271,8401,7268,8403,7267,8407,7264,8410,7262,8410,7260,8413,7265,8413,7272,8407,7274,8403,7278,8399,7278,8384,7277,8380,7274,8374,7271,8370,7264,8367,7260,8363,7244,8359,7250,8346,7274,8346,7281,8336xe" filled="true" fillcolor="#ff00ff" stroked="false">
              <v:path arrowok="t"/>
              <v:fill type="solid"/>
            </v:shape>
            <v:shape style="position:absolute;left:7079;top:8627;width:47;height:84" coordorigin="7079,8627" coordsize="47,84" path="m7100,8708l7088,8708,7090,8711,7096,8711,7100,8708xm7095,8703l7079,8703,7079,8704,7082,8707,7082,8708,7106,8708,7108,8707,7110,8707,7111,8704,7096,8704,7095,8703xm7126,8627l7098,8627,7082,8660,7090,8660,7095,8663,7098,8663,7102,8667,7110,8671,7112,8673,7115,8677,7115,8680,7116,8683,7116,8691,7115,8694,7112,8697,7110,8701,7108,8701,7106,8703,7102,8704,7111,8704,7112,8703,7115,8703,7119,8701,7119,8697,7125,8691,7125,8677,7122,8671,7120,8667,7106,8652,7098,8650,7090,8650,7096,8637,7120,8637,7126,8627xm7088,8701l7082,8701,7082,8703,7090,8703,7088,8701xe" filled="true" fillcolor="#ff00ff" stroked="false">
              <v:path arrowok="t"/>
              <v:fill type="solid"/>
            </v:shape>
            <v:shape style="position:absolute;left:7145;top:8697;width:12;height:14" coordorigin="7145,8697" coordsize="12,14" path="m7153,8708l7147,8708,7149,8711,7150,8711,7153,8708xm7150,8697l7149,8697,7147,8698,7145,8701,7145,8708,7157,8708,7157,8701,7155,8701,7155,8698,7153,8698,7150,8697xe" filled="true" fillcolor="#ff00ff" stroked="false">
              <v:path arrowok="t"/>
              <v:fill type="solid"/>
            </v:shape>
            <v:shape style="position:absolute;left:7173;top:8626;width:47;height:85" coordorigin="7173,8626" coordsize="47,85" path="m7201,8626l7191,8626,7183,8630,7177,8636,7175,8640,7175,8654,7177,8656,7177,8660,7181,8663,7190,8671,7187,8671,7175,8683,7175,8687,7173,8691,7173,8694,7177,8703,7177,8704,7186,8708,7191,8711,7201,8711,7204,8708,7210,8707,7191,8707,7190,8703,7187,8703,7186,8701,7186,8680,7187,8678,7187,8677,7191,8673,7210,8673,7206,8671,7201,8667,7206,8663,7197,8663,7190,8656,7190,8652,7187,8652,7187,8646,7186,8644,7186,8640,7187,8637,7187,8634,7190,8634,7193,8630,7207,8630,7204,8627,7201,8626xm7210,8673l7191,8673,7201,8680,7206,8688,7207,8691,7207,8701,7201,8707,7210,8707,7214,8704,7216,8703,7220,8694,7220,8688,7216,8680,7211,8677,7210,8673xm7207,8630l7197,8630,7201,8632,7201,8634,7204,8634,7206,8636,7206,8640,7207,8642,7207,8646,7206,8647,7206,8650,7204,8652,7204,8656,7201,8658,7201,8660,7197,8663,7206,8663,7210,8660,7211,8656,7214,8654,7216,8652,7217,8650,7217,8637,7211,8632,7207,8630xe" filled="true" fillcolor="#ff00ff" stroked="false">
              <v:path arrowok="t"/>
              <v:fill type="solid"/>
            </v:shape>
            <v:shape style="position:absolute;left:7232;top:8626;width:54;height:85" coordorigin="7232,8626" coordsize="54,85" path="m7258,8626l7254,8626,7252,8627,7248,8630,7238,8640,7237,8646,7234,8650,7234,8656,7232,8663,7232,8677,7237,8693,7238,8698,7242,8703,7248,8707,7252,8708,7258,8711,7260,8711,7262,8708,7267,8707,7254,8707,7252,8704,7248,8703,7248,8698,7244,8687,7244,8644,7248,8636,7250,8634,7252,8634,7257,8630,7267,8630,7260,8627,7258,8626xm7267,8630l7258,8630,7260,8632,7262,8632,7264,8634,7268,8636,7268,8644,7271,8647,7271,8652,7272,8660,7272,8674,7271,8683,7271,8691,7268,8694,7268,8701,7264,8703,7264,8704,7262,8707,7268,8707,7271,8703,7274,8701,7278,8697,7281,8693,7281,8687,7282,8683,7285,8677,7285,8668,7282,8660,7281,8650,7274,8636,7271,8634,7267,8630xe" filled="true" fillcolor="#ff00ff" stroked="false">
              <v:path arrowok="t"/>
              <v:fill type="solid"/>
            </v:shape>
            <v:shape style="position:absolute;left:7079;top:8920;width:47;height:83" coordorigin="7079,8920" coordsize="47,83" path="m7100,9001l7088,9001,7090,9002,7096,9002,7100,9001xm7086,8991l7082,8991,7082,8992,7079,8995,7079,8997,7085,9001,7105,9001,7106,8998,7108,8998,7110,8997,7096,8997,7095,8995,7090,8992,7088,8992,7086,8991xm7126,8920l7098,8920,7082,8950,7086,8950,7090,8952,7095,8952,7102,8956,7106,8960,7110,8961,7115,8967,7115,8970,7116,8974,7116,8982,7115,8987,7106,8995,7102,8997,7110,8997,7115,8992,7119,8991,7119,8988,7120,8987,7122,8982,7125,8981,7125,8967,7120,8956,7116,8952,7110,8948,7106,8944,7090,8940,7096,8930,7120,8930,7126,8920xe" filled="true" fillcolor="#ff00ff" stroked="false">
              <v:path arrowok="t"/>
              <v:fill type="solid"/>
            </v:shape>
            <v:shape style="position:absolute;left:7145;top:8988;width:12;height:14" coordorigin="7145,8988" coordsize="12,14" path="m7155,8991l7145,8991,7145,8998,7149,9002,7150,9002,7153,9001,7155,9001,7155,8998,7157,8998,7157,8992,7155,8991xm7150,8988l7149,8988,7147,8991,7153,8991,7150,8988xe" filled="true" fillcolor="#ff00ff" stroked="false">
              <v:path arrowok="t"/>
              <v:fill type="solid"/>
            </v:shape>
            <v:shape style="position:absolute;left:7170;top:8920;width:51;height:83" coordorigin="7170,8920" coordsize="51,83" path="m7219,8930l7211,8930,7186,9002,7193,9002,7219,8930xm7221,8920l7177,8920,7170,8940,7173,8936,7175,8936,7181,8930,7219,8930,7221,8924,7221,8920xe" filled="true" fillcolor="#ff00ff" stroked="false">
              <v:path arrowok="t"/>
              <v:fill type="solid"/>
            </v:shape>
            <v:shape style="position:absolute;left:7234;top:8920;width:47;height:83" coordorigin="7234,8920" coordsize="47,83" path="m7254,9001l7242,9001,7244,9002,7250,9002,7254,9001xm7260,8998l7237,8998,7238,9001,7258,9001,7260,8998xm7240,8991l7237,8991,7234,8992,7234,8998,7262,8998,7263,8997,7250,8997,7248,8995,7244,8992,7242,8992,7240,8991xm7281,8920l7252,8920,7234,8950,7240,8950,7244,8952,7248,8952,7257,8956,7260,8960,7264,8961,7268,8967,7268,8970,7271,8974,7271,8982,7268,8987,7260,8995,7257,8997,7263,8997,7274,8987,7277,8982,7278,8981,7278,8967,7277,8961,7274,8956,7271,8952,7264,8948,7260,8944,7244,8940,7250,8930,7274,8930,7281,8920xe" filled="true" fillcolor="#ff00ff" stroked="false">
              <v:path arrowok="t"/>
              <v:fill type="solid"/>
            </v:shape>
            <v:shape style="position:absolute;left:7079;top:9210;width:47;height:83" coordorigin="7079,9210" coordsize="47,83" path="m7088,9282l7082,9282,7082,9285,7079,9286,7082,9291,7085,9292,7105,9292,7106,9291,7108,9291,7114,9286,7095,9286,7090,9285,7088,9282xm7126,9210l7098,9210,7082,9242,7086,9242,7090,9244,7095,9244,7110,9252,7112,9255,7115,9258,7115,9262,7116,9265,7116,9272,7112,9281,7110,9282,7108,9282,7106,9286,7114,9286,7115,9285,7119,9282,7119,9281,7120,9275,7125,9272,7125,9258,7122,9252,7120,9248,7116,9244,7110,9240,7106,9235,7090,9231,7096,9220,7120,9220,7126,9210xe" filled="true" fillcolor="#ff00ff" stroked="false">
              <v:path arrowok="t"/>
              <v:fill type="solid"/>
            </v:shape>
            <v:shape style="position:absolute;left:7145;top:9281;width:12;height:12" coordorigin="7145,9281" coordsize="12,12" path="m7155,9281l7147,9281,7145,9282,7145,9291,7147,9292,7155,9292,7155,9291,7157,9291,7157,9282,7155,9282,7155,9281xe" filled="true" fillcolor="#ff00ff" stroked="false">
              <v:path arrowok="t"/>
              <v:fill type="solid"/>
            </v:shape>
            <v:shape style="position:absolute;left:7170;top:9210;width:51;height:83" coordorigin="7170,9210" coordsize="51,83" path="m7219,9220l7211,9220,7186,9292,7193,9292,7219,9220xm7221,9210l7177,9210,7170,9230,7177,9224,7179,9224,7181,9221,7183,9221,7186,9220,7219,9220,7221,9214,7221,9210xe" filled="true" fillcolor="#ff00ff" stroked="false">
              <v:path arrowok="t"/>
              <v:fill type="solid"/>
            </v:shape>
            <v:shape style="position:absolute;left:7232;top:9210;width:54;height:83" coordorigin="7232,9210" coordsize="54,83" path="m7254,9214l7247,9214,7244,9215,7242,9220,7238,9224,7237,9227,7234,9234,7234,9240,7232,9245,7232,9260,7234,9265,7237,9274,7238,9281,7242,9286,7248,9291,7252,9292,7262,9292,7267,9291,7258,9291,7254,9288,7252,9286,7248,9285,7248,9281,7247,9275,7244,9268,7244,9225,7247,9224,7250,9215,7252,9215,7254,9214xm7260,9210l7252,9210,7248,9214,7262,9214,7268,9220,7268,9225,7271,9230,7271,9235,7272,9242,7272,9255,7271,9264,7271,9272,7268,9275,7268,9282,7262,9288,7260,9288,7258,9291,7267,9291,7268,9288,7274,9282,7278,9281,7281,9274,7281,9270,7285,9258,7285,9250,7278,9225,7274,9220,7267,9211,7260,9210xe" filled="true" fillcolor="#ff00ff" stroked="false">
              <v:path arrowok="t"/>
              <v:fill type="solid"/>
            </v:shape>
            <v:shape style="position:absolute;left:1474;top:904;width:31;height:84" coordorigin="1474,904" coordsize="31,84" path="m1496,904l1494,904,1474,914,1484,914,1484,918,1486,921,1486,981,1484,984,1484,985,1483,988,1504,988,1500,985,1496,985,1496,904xe" filled="true" fillcolor="#000000" stroked="false">
              <v:path arrowok="t"/>
              <v:fill type="solid"/>
            </v:shape>
            <v:shape style="position:absolute;left:1527;top:904;width:51;height:88" coordorigin="1527,904" coordsize="51,88" path="m1538,988l1527,988,1527,991,1531,989,1534,989,1538,988xm1540,987l1538,988,1539,988,1540,987xm1560,908l1554,908,1555,911,1557,911,1561,914,1561,918,1564,921,1564,924,1565,927,1565,931,1568,935,1568,941,1565,944,1565,947,1561,951,1555,951,1554,953,1564,953,1564,957,1561,964,1557,968,1555,974,1554,978,1550,981,1541,985,1540,987,1547,985,1551,984,1564,975,1568,969,1571,965,1574,957,1578,951,1578,931,1574,918,1565,911,1560,908xm1551,904l1547,907,1534,911,1531,914,1531,918,1527,924,1527,944,1531,947,1534,955,1539,957,1555,957,1564,953,1550,953,1541,944,1539,941,1537,935,1537,924,1541,917,1541,914,1544,913,1547,911,1547,908,1560,908,1557,907,1551,904xe" filled="true" fillcolor="#000000" stroked="false">
              <v:path arrowok="t"/>
              <v:fill type="solid"/>
            </v:shape>
            <v:shape style="position:absolute;left:1588;top:904;width:54;height:85" coordorigin="1588,904" coordsize="54,85" path="m1614,904l1612,904,1604,908,1594,918,1591,924,1591,928,1588,941,1588,955,1591,971,1594,978,1598,981,1604,985,1608,988,1614,989,1616,989,1618,988,1622,985,1611,985,1608,984,1604,981,1604,978,1601,971,1601,965,1600,957,1600,944,1601,938,1601,918,1604,914,1608,911,1611,911,1612,908,1621,908,1614,904xm1621,908l1614,908,1618,911,1621,911,1621,913,1624,914,1624,921,1626,927,1628,931,1628,961,1624,974,1624,979,1621,981,1621,984,1618,985,1624,985,1628,981,1635,975,1636,971,1638,965,1638,961,1641,955,1641,947,1638,938,1638,928,1635,921,1631,914,1626,911,1621,908xe" filled="true" fillcolor="#000000" stroked="false">
              <v:path arrowok="t"/>
              <v:fill type="solid"/>
            </v:shape>
            <v:shape style="position:absolute;left:1474;top:1265;width:34;height:84" coordorigin="1474,1265" coordsize="34,84" path="m1507,1346l1476,1346,1476,1349,1507,1349,1507,1346xm1496,1273l1483,1273,1484,1275,1484,1278,1486,1282,1486,1340,1484,1342,1484,1344,1483,1346,1504,1346,1500,1344,1496,1344,1496,1273xm1496,1265l1494,1265,1474,1273,1474,1275,1476,1275,1479,1273,1496,1273,1496,1265xe" filled="true" fillcolor="#000000" stroked="false">
              <v:path arrowok="t"/>
              <v:fill type="solid"/>
            </v:shape>
            <v:shape style="position:absolute;left:1529;top:1265;width:46;height:84" coordorigin="1529,1265" coordsize="46,84" path="m1561,1265l1543,1265,1539,1268,1534,1272,1534,1273,1531,1278,1531,1292,1533,1293,1534,1298,1544,1308,1541,1309,1537,1313,1534,1318,1531,1320,1531,1323,1529,1329,1529,1332,1533,1340,1541,1349,1561,1349,1565,1344,1547,1344,1541,1338,1541,1318,1544,1313,1544,1312,1547,1309,1564,1309,1557,1303,1561,1302,1555,1302,1544,1293,1544,1289,1543,1288,1543,1283,1541,1282,1541,1278,1543,1275,1544,1272,1550,1268,1564,1268,1561,1265xm1564,1309l1547,1309,1551,1313,1557,1318,1561,1326,1564,1329,1564,1338,1561,1340,1561,1342,1557,1344,1565,1344,1570,1342,1575,1332,1575,1326,1571,1318,1571,1316,1568,1313,1564,1309xm1564,1268l1555,1268,1557,1269,1557,1272,1561,1272,1561,1278,1564,1279,1564,1285,1561,1285,1561,1293,1557,1295,1557,1298,1555,1302,1561,1302,1565,1298,1568,1293,1571,1292,1571,1289,1574,1288,1574,1275,1571,1272,1564,1268xe" filled="true" fillcolor="#000000" stroked="false">
              <v:path arrowok="t"/>
              <v:fill type="solid"/>
            </v:shape>
            <v:shape style="position:absolute;left:1588;top:1265;width:54;height:84" coordorigin="1588,1265" coordsize="54,84" path="m1618,1265l1608,1265,1604,1268,1600,1272,1598,1275,1594,1278,1591,1283,1591,1288,1590,1293,1588,1302,1588,1313,1591,1330,1594,1336,1598,1342,1604,1344,1608,1349,1618,1349,1622,1344,1611,1344,1608,1342,1604,1340,1604,1336,1601,1332,1601,1323,1600,1318,1600,1303,1601,1298,1601,1278,1604,1275,1606,1272,1608,1272,1612,1268,1622,1268,1618,1265xm1622,1268l1614,1268,1618,1269,1624,1275,1624,1282,1626,1285,1628,1292,1628,1320,1626,1329,1624,1332,1624,1338,1618,1344,1624,1344,1628,1342,1631,1338,1635,1333,1636,1330,1638,1323,1638,1320,1641,1313,1641,1305,1638,1298,1638,1288,1631,1275,1622,1268xe" filled="true" fillcolor="#000000" stroked="false">
              <v:path arrowok="t"/>
              <v:fill type="solid"/>
            </v:shape>
            <v:shape style="position:absolute;left:1474;top:1623;width:34;height:84" coordorigin="1474,1623" coordsize="34,84" path="m1507,1704l1476,1704,1476,1707,1507,1707,1507,1704xm1496,1632l1483,1632,1484,1634,1484,1637,1486,1640,1486,1698,1484,1701,1484,1704,1499,1704,1499,1703,1496,1703,1496,1632xm1496,1623l1494,1623,1474,1632,1474,1634,1476,1634,1479,1632,1496,1632,1496,1623xe" filled="true" fillcolor="#000000" stroked="false">
              <v:path arrowok="t"/>
              <v:fill type="solid"/>
            </v:shape>
            <v:shape style="position:absolute;left:1527;top:1623;width:51;height:84" coordorigin="1527,1623" coordsize="51,84" path="m1575,1634l1568,1634,1541,1707,1550,1707,1575,1634xm1578,1623l1534,1623,1527,1644,1533,1637,1534,1637,1537,1636,1539,1636,1541,1634,1575,1634,1578,1627,1578,1623xe" filled="true" fillcolor="#000000" stroked="false">
              <v:path arrowok="t"/>
              <v:fill type="solid"/>
            </v:shape>
            <v:shape style="position:absolute;left:1588;top:1623;width:54;height:84" coordorigin="1588,1623" coordsize="54,84" path="m1611,1627l1601,1627,1600,1632,1594,1637,1591,1642,1591,1647,1588,1660,1588,1674,1590,1681,1591,1688,1594,1694,1598,1701,1604,1704,1608,1707,1618,1707,1622,1704,1614,1704,1611,1703,1608,1701,1604,1698,1604,1694,1601,1691,1601,1683,1600,1676,1600,1663,1601,1658,1601,1637,1604,1634,1611,1627xm1618,1623l1608,1623,1604,1627,1618,1627,1621,1630,1621,1632,1624,1634,1624,1640,1626,1644,1628,1650,1628,1678,1626,1687,1624,1691,1624,1697,1618,1703,1616,1703,1614,1704,1622,1704,1624,1703,1628,1701,1631,1697,1635,1694,1636,1688,1638,1684,1638,1678,1641,1673,1641,1664,1638,1656,1638,1647,1635,1640,1631,1634,1622,1626,1618,1623xe" filled="true" fillcolor="#000000" stroked="false">
              <v:path arrowok="t"/>
              <v:fill type="solid"/>
            </v:shape>
            <v:shape style="position:absolute;left:1474;top:1982;width:34;height:84" coordorigin="1474,1982" coordsize="34,84" path="m1507,2063l1476,2063,1476,2065,1507,2065,1507,2063xm1496,1991l1483,1991,1484,1992,1484,1997,1486,1998,1486,2058,1484,2062,1484,2063,1499,2063,1499,2062,1496,2062,1496,1991xm1496,1982l1494,1982,1474,1991,1474,1992,1476,1992,1479,1991,1496,1991,1496,1982xe" filled="true" fillcolor="#000000" stroked="false">
              <v:path arrowok="t"/>
              <v:fill type="solid"/>
            </v:shape>
            <v:shape style="position:absolute;left:1527;top:1982;width:51;height:87" coordorigin="1527,1982" coordsize="51,87" path="m1565,1987l1555,1987,1551,1991,1547,1992,1534,2005,1533,2008,1531,2015,1527,2022,1527,2043,1529,2049,1533,2058,1537,2062,1544,2065,1547,2068,1551,2068,1564,2063,1551,2063,1550,2062,1544,2062,1544,2058,1541,2055,1541,2053,1539,2049,1539,2043,1537,2041,1537,2035,1539,2031,1539,2025,1541,2025,1543,2021,1539,2021,1541,2017,1541,2012,1544,2008,1544,2007,1547,2005,1551,1997,1554,1995,1555,1995,1557,1991,1561,1991,1565,1987xm1569,2018l1555,2018,1557,2021,1561,2022,1564,2027,1564,2031,1568,2039,1568,2049,1564,2058,1560,2062,1557,2062,1555,2063,1564,2063,1568,2062,1571,2058,1574,2053,1578,2048,1578,2028,1574,2025,1571,2021,1569,2018xm1564,2015l1547,2015,1543,2017,1539,2021,1547,2021,1550,2018,1569,2018,1568,2017,1564,2015xm1574,1984l1564,1984,1560,1987,1570,1987,1574,1984xm1578,1982l1571,1982,1568,1984,1578,1984,1578,1982xe" filled="true" fillcolor="#000000" stroked="false">
              <v:path arrowok="t"/>
              <v:fill type="solid"/>
            </v:shape>
            <v:shape style="position:absolute;left:1588;top:1982;width:54;height:87" coordorigin="1588,1982" coordsize="54,87" path="m1611,1987l1601,1987,1600,1991,1594,1997,1591,2001,1591,2007,1588,2018,1588,2032,1590,2041,1594,2053,1598,2059,1604,2063,1608,2065,1614,2068,1616,2068,1618,2065,1622,2063,1614,2063,1611,2062,1608,2062,1604,2058,1604,2053,1601,2049,1601,2041,1600,2035,1600,2021,1601,2017,1601,1997,1604,1992,1611,1987xm1614,1982l1612,1982,1604,1987,1618,1987,1621,1988,1621,1991,1624,1992,1624,1998,1626,2005,1628,2008,1628,2037,1626,2045,1624,2052,1624,2058,1621,2059,1621,2062,1616,2062,1614,2063,1622,2063,1624,2062,1628,2059,1635,2053,1636,2048,1638,2043,1638,2037,1641,2031,1641,2025,1638,2015,1638,2007,1635,1998,1631,1992,1622,1984,1618,1984,1614,1982xe" filled="true" fillcolor="#000000" stroked="false">
              <v:path arrowok="t"/>
              <v:fill type="solid"/>
            </v:shape>
            <v:shape style="position:absolute;left:1474;top:2341;width:31;height:83" coordorigin="1474,2341" coordsize="31,83" path="m1496,2341l1494,2341,1474,2352,1484,2352,1484,2355,1486,2357,1486,2417,1484,2420,1484,2422,1483,2424,1504,2424,1500,2422,1499,2422,1499,2420,1496,2420,1496,2341xe" filled="true" fillcolor="#000000" stroked="false">
              <v:path arrowok="t"/>
              <v:fill type="solid"/>
            </v:shape>
            <v:shape style="position:absolute;left:1527;top:2342;width:47;height:84" coordorigin="1527,2342" coordsize="47,84" path="m1547,2424l1534,2424,1537,2426,1544,2426,1547,2424xm1541,2417l1527,2417,1527,2420,1531,2424,1555,2424,1559,2420,1544,2420,1541,2417xm1574,2342l1544,2342,1529,2373,1534,2373,1543,2377,1547,2377,1551,2379,1557,2386,1561,2387,1561,2389,1564,2393,1564,2410,1555,2417,1551,2420,1559,2420,1561,2417,1564,2417,1565,2414,1571,2407,1571,2402,1574,2397,1574,2396,1571,2389,1571,2386,1568,2379,1564,2377,1560,2372,1555,2367,1539,2363,1544,2353,1570,2353,1574,2342xm1534,2414l1531,2414,1529,2416,1529,2417,1537,2417,1534,2416,1534,2414xe" filled="true" fillcolor="#000000" stroked="false">
              <v:path arrowok="t"/>
              <v:fill type="solid"/>
            </v:shape>
            <v:shape style="position:absolute;left:1588;top:2341;width:54;height:85" coordorigin="1588,2341" coordsize="54,85" path="m1614,2341l1612,2341,1604,2345,1594,2355,1591,2362,1591,2366,1588,2377,1588,2392,1591,2407,1594,2414,1598,2417,1604,2422,1608,2424,1614,2426,1616,2426,1618,2424,1622,2422,1614,2422,1611,2420,1608,2420,1604,2417,1604,2414,1601,2407,1601,2399,1600,2393,1600,2379,1601,2376,1601,2355,1604,2352,1608,2346,1611,2346,1612,2345,1624,2345,1622,2342,1618,2342,1614,2341xm1624,2345l1614,2345,1618,2346,1621,2346,1621,2349,1624,2352,1624,2357,1626,2363,1628,2367,1628,2397,1624,2410,1624,2416,1621,2417,1621,2420,1616,2420,1614,2422,1622,2422,1624,2420,1628,2417,1635,2412,1636,2407,1638,2402,1638,2397,1641,2389,1641,2383,1638,2373,1638,2366,1635,2357,1631,2352,1624,2345xe" filled="true" fillcolor="#000000" stroked="false">
              <v:path arrowok="t"/>
              <v:fill type="solid"/>
            </v:shape>
            <v:shape style="position:absolute;left:1474;top:2700;width:31;height:83" coordorigin="1474,2700" coordsize="31,83" path="m1496,2700l1494,2700,1474,2710,1484,2710,1484,2714,1486,2718,1486,2777,1484,2778,1484,2781,1483,2782,1504,2782,1500,2781,1496,2781,1496,2700xe" filled="true" fillcolor="#000000" stroked="false">
              <v:path arrowok="t"/>
              <v:fill type="solid"/>
            </v:shape>
            <v:shape style="position:absolute;left:1524;top:2700;width:54;height:83" coordorigin="1524,2700" coordsize="54,83" path="m1568,2762l1557,2762,1557,2782,1568,2782,1568,2762xm1568,2700l1560,2700,1524,2757,1524,2762,1578,2762,1578,2754,1529,2754,1557,2714,1568,2714,1568,2700xm1568,2714l1557,2714,1557,2754,1568,2754,1568,2714xe" filled="true" fillcolor="#000000" stroked="false">
              <v:path arrowok="t"/>
              <v:fill type="solid"/>
            </v:shape>
            <v:shape style="position:absolute;left:1588;top:2700;width:54;height:85" coordorigin="1588,2700" coordsize="54,85" path="m1614,2700l1612,2700,1604,2703,1594,2714,1591,2720,1591,2724,1588,2736,1588,2750,1591,2767,1594,2772,1598,2777,1604,2781,1608,2782,1614,2785,1616,2785,1618,2782,1622,2781,1611,2781,1608,2778,1604,2777,1604,2772,1601,2767,1601,2760,1600,2754,1600,2740,1601,2734,1601,2714,1604,2710,1606,2707,1608,2707,1612,2703,1622,2703,1614,2700xm1622,2703l1614,2703,1618,2706,1621,2707,1624,2710,1624,2718,1628,2726,1628,2757,1626,2764,1624,2768,1624,2775,1621,2777,1621,2778,1618,2781,1624,2781,1628,2777,1635,2771,1636,2767,1638,2760,1638,2757,1641,2750,1641,2742,1638,2734,1638,2724,1635,2718,1631,2710,1626,2707,1622,2703xe" filled="true" fillcolor="#000000" stroked="false">
              <v:path arrowok="t"/>
              <v:fill type="solid"/>
            </v:shape>
            <v:shape style="position:absolute;left:1474;top:3060;width:34;height:83" coordorigin="1474,3060" coordsize="34,83" path="m1507,3142l1476,3142,1476,3143,1507,3143,1507,3142xm1496,3068l1483,3068,1484,3071,1484,3072,1486,3076,1486,3136,1484,3137,1484,3139,1483,3142,1504,3142,1500,3139,1496,3139,1496,3068xm1496,3060l1494,3060,1474,3068,1474,3071,1476,3071,1479,3068,1496,3068,1496,3060xe" filled="true" fillcolor="#000000" stroked="false">
              <v:path arrowok="t"/>
              <v:fill type="solid"/>
            </v:shape>
            <v:shape style="position:absolute;left:1527;top:3060;width:47;height:83" coordorigin="1527,3060" coordsize="47,83" path="m1533,3133l1529,3133,1527,3136,1527,3142,1529,3143,1547,3143,1555,3142,1558,3139,1543,3139,1541,3137,1537,3137,1533,3133xm1564,3066l1547,3066,1555,3071,1557,3072,1557,3074,1560,3076,1561,3081,1561,3085,1560,3086,1560,3089,1557,3091,1557,3092,1551,3099,1547,3101,1539,3101,1539,3102,1550,3102,1554,3106,1555,3106,1560,3111,1561,3111,1561,3115,1564,3116,1564,3129,1561,3133,1557,3137,1555,3137,1551,3139,1558,3139,1561,3137,1570,3129,1574,3121,1574,3112,1570,3105,1561,3096,1557,3095,1564,3091,1568,3086,1568,3081,1570,3076,1570,3074,1565,3071,1564,3066xm1557,3060l1541,3060,1537,3064,1534,3064,1533,3066,1531,3071,1529,3072,1527,3076,1529,3079,1533,3072,1544,3066,1564,3066,1557,3060xe" filled="true" fillcolor="#000000" stroked="false">
              <v:path arrowok="t"/>
              <v:fill type="solid"/>
            </v:shape>
            <v:shape style="position:absolute;left:1588;top:3060;width:54;height:83" coordorigin="1588,3060" coordsize="54,83" path="m1611,3064l1601,3064,1600,3066,1598,3071,1594,3072,1591,3079,1591,3082,1590,3091,1588,3096,1588,3111,1590,3116,1591,3125,1594,3132,1598,3137,1604,3139,1608,3143,1618,3143,1622,3139,1611,3139,1608,3137,1604,3136,1604,3132,1601,3126,1601,3119,1600,3112,1600,3099,1601,3092,1601,3072,1604,3071,1606,3066,1608,3066,1611,3064xm1618,3060l1608,3060,1604,3064,1618,3064,1624,3071,1624,3076,1626,3081,1628,3086,1628,3115,1626,3123,1624,3126,1624,3133,1618,3139,1624,3139,1628,3137,1631,3133,1635,3129,1636,3125,1638,3119,1638,3115,1641,3109,1641,3101,1638,3092,1638,3082,1631,3071,1622,3062,1618,3060xe" filled="true" fillcolor="#000000" stroked="false">
              <v:path arrowok="t"/>
              <v:fill type="solid"/>
            </v:shape>
            <v:shape style="position:absolute;left:1474;top:3419;width:34;height:83" coordorigin="1474,3419" coordsize="34,83" path="m1507,3500l1476,3500,1476,3502,1507,3502,1507,3500xm1496,3426l1483,3426,1484,3429,1484,3433,1486,3435,1486,3494,1484,3496,1484,3500,1499,3500,1499,3498,1496,3498,1496,3426xm1496,3419l1494,3419,1474,3426,1474,3429,1476,3429,1479,3426,1496,3426,1496,3419xe" filled="true" fillcolor="#000000" stroked="false">
              <v:path arrowok="t"/>
              <v:fill type="solid"/>
            </v:shape>
            <v:shape style="position:absolute;left:1524;top:3419;width:54;height:83" coordorigin="1524,3419" coordsize="54,83" path="m1567,3426l1550,3426,1554,3429,1557,3433,1560,3437,1561,3439,1564,3443,1564,3447,1561,3451,1561,3457,1557,3463,1555,3470,1550,3476,1543,3483,1534,3491,1524,3500,1524,3502,1571,3502,1574,3494,1534,3494,1537,3490,1547,3480,1555,3473,1560,3470,1568,3457,1570,3453,1571,3451,1571,3447,1574,3443,1574,3437,1570,3429,1567,3426xm1578,3486l1575,3486,1574,3487,1574,3490,1571,3490,1571,3491,1570,3491,1568,3494,1574,3494,1578,3486xm1557,3419l1541,3419,1537,3423,1533,3425,1531,3429,1527,3433,1527,3437,1524,3441,1527,3441,1527,3439,1531,3437,1531,3433,1534,3430,1537,3429,1539,3429,1543,3426,1567,3426,1565,3425,1561,3423,1557,3419xe" filled="true" fillcolor="#000000" stroked="false">
              <v:path arrowok="t"/>
              <v:fill type="solid"/>
            </v:shape>
            <v:shape style="position:absolute;left:1588;top:3419;width:54;height:85" coordorigin="1588,3419" coordsize="54,85" path="m1611,3423l1601,3423,1600,3426,1594,3433,1591,3437,1591,3443,1588,3456,1588,3470,1590,3476,1591,3483,1594,3490,1598,3496,1604,3500,1608,3502,1614,3504,1616,3504,1618,3502,1622,3500,1614,3500,1611,3498,1608,3496,1604,3494,1604,3490,1601,3486,1601,3477,1600,3471,1600,3457,1601,3453,1601,3433,1604,3429,1611,3423xm1618,3419l1608,3419,1604,3423,1618,3423,1621,3425,1621,3426,1624,3429,1624,3435,1626,3439,1628,3446,1628,3473,1626,3481,1624,3486,1624,3494,1621,3496,1618,3498,1616,3498,1614,3500,1622,3500,1624,3498,1628,3496,1635,3490,1636,3483,1638,3480,1638,3473,1641,3467,1641,3460,1638,3451,1638,3443,1635,3435,1631,3429,1622,3420,1618,3419xe" filled="true" fillcolor="#000000" stroked="false">
              <v:path arrowok="t"/>
              <v:fill type="solid"/>
            </v:shape>
            <v:shape style="position:absolute;left:1480;top:3777;width:30;height:84" coordorigin="1480,3777" coordsize="30,84" path="m1500,3785l1489,3785,1489,3787,1490,3790,1490,3856,1489,3859,1489,3861,1509,3861,1507,3859,1503,3859,1503,3856,1500,3856,1500,3785xm1500,3777l1499,3777,1480,3785,1480,3787,1484,3785,1500,3785,1500,3777xe" filled="true" fillcolor="#000000" stroked="false">
              <v:path arrowok="t"/>
              <v:fill type="solid"/>
            </v:shape>
            <v:shape style="position:absolute;left:1537;top:3777;width:29;height:84" coordorigin="1537,3777" coordsize="29,84" path="m1557,3785l1544,3785,1544,3787,1547,3790,1547,3856,1544,3859,1544,3861,1565,3861,1564,3859,1560,3859,1560,3856,1557,3856,1557,3785xm1557,3777l1555,3777,1537,3785,1537,3787,1541,3785,1557,3785,1557,3777xe" filled="true" fillcolor="#000000" stroked="false">
              <v:path arrowok="t"/>
              <v:fill type="solid"/>
            </v:shape>
            <v:shape style="position:absolute;left:1588;top:3777;width:54;height:85" coordorigin="1588,3777" coordsize="54,85" path="m1614,3777l1612,3777,1604,3781,1594,3791,1591,3795,1591,3802,1588,3814,1588,3828,1590,3835,1591,3842,1594,3851,1598,3855,1604,3859,1608,3861,1614,3862,1616,3862,1618,3861,1622,3859,1614,3859,1611,3856,1608,3856,1604,3852,1604,3851,1601,3844,1601,3835,1600,3831,1600,3815,1601,3812,1601,3791,1604,3787,1608,3784,1611,3784,1612,3781,1624,3781,1622,3780,1618,3780,1614,3777xm1624,3781l1614,3781,1618,3784,1621,3784,1621,3785,1624,3787,1624,3794,1626,3800,1628,3804,1628,3832,1626,3841,1624,3846,1624,3852,1621,3855,1621,3856,1616,3856,1614,3859,1622,3859,1624,3856,1628,3855,1635,3848,1636,3842,1638,3838,1638,3832,1641,3825,1641,3820,1638,3810,1638,3802,1635,3794,1631,3787,1624,3781xe" filled="true" fillcolor="#000000" stroked="false">
              <v:path arrowok="t"/>
              <v:fill type="solid"/>
            </v:shape>
            <v:shape style="position:absolute;left:1474;top:4136;width:31;height:84" coordorigin="1474,4136" coordsize="31,84" path="m1496,4136l1494,4136,1474,4146,1484,4146,1484,4149,1486,4152,1486,4213,1484,4216,1484,4217,1483,4219,1504,4219,1500,4217,1499,4217,1499,4216,1496,4216,1496,4136xe" filled="true" fillcolor="#000000" stroked="false">
              <v:path arrowok="t"/>
              <v:fill type="solid"/>
            </v:shape>
            <v:shape style="position:absolute;left:1527;top:4136;width:51;height:85" coordorigin="1527,4136" coordsize="51,85" path="m1551,4136l1550,4136,1547,4138,1543,4140,1541,4142,1537,4145,1534,4146,1533,4149,1531,4156,1529,4160,1527,4166,1527,4195,1531,4203,1533,4209,1541,4217,1547,4219,1551,4221,1555,4221,1557,4219,1561,4217,1551,4217,1547,4216,1544,4216,1543,4213,1541,4209,1541,4203,1539,4196,1537,4189,1537,4176,1539,4170,1539,4155,1543,4146,1547,4142,1551,4140,1561,4140,1555,4138,1551,4136xm1561,4140l1554,4140,1555,4142,1557,4142,1561,4146,1564,4149,1564,4158,1565,4162,1568,4169,1568,4185,1565,4193,1564,4199,1564,4209,1557,4216,1555,4216,1554,4217,1561,4217,1564,4216,1565,4213,1570,4210,1574,4203,1575,4196,1578,4193,1578,4169,1575,4160,1571,4152,1568,4146,1561,4140xe" filled="true" fillcolor="#000000" stroked="false">
              <v:path arrowok="t"/>
              <v:fill type="solid"/>
            </v:shape>
            <v:shape style="position:absolute;left:1588;top:4136;width:54;height:85" coordorigin="1588,4136" coordsize="54,85" path="m1614,4136l1612,4136,1604,4140,1594,4149,1591,4156,1591,4160,1588,4173,1588,4186,1591,4203,1594,4209,1598,4213,1604,4217,1608,4219,1614,4221,1616,4221,1618,4219,1622,4217,1614,4217,1611,4216,1608,4216,1604,4213,1604,4209,1601,4203,1601,4196,1600,4189,1600,4176,1601,4170,1601,4149,1604,4146,1608,4142,1611,4142,1612,4140,1621,4140,1614,4136xm1621,4140l1614,4140,1618,4142,1621,4142,1621,4145,1624,4146,1624,4152,1626,4158,1628,4162,1628,4193,1624,4205,1624,4210,1621,4213,1621,4216,1616,4216,1614,4217,1622,4217,1624,4216,1628,4213,1635,4206,1636,4203,1638,4196,1638,4193,1641,4186,1641,4179,1638,4169,1638,4160,1635,4152,1631,4146,1626,4142,1621,4140xe" filled="true" fillcolor="#000000" stroked="false">
              <v:path arrowok="t"/>
              <v:fill type="solid"/>
            </v:shape>
            <v:shape style="position:absolute;left:1527;top:4497;width:51;height:85" coordorigin="1527,4497" coordsize="51,85" path="m1531,4580l1527,4580,1527,4582,1531,4580xm1562,4499l1554,4499,1557,4503,1560,4503,1561,4504,1561,4509,1564,4510,1564,4514,1565,4517,1565,4521,1568,4525,1568,4534,1565,4535,1565,4540,1564,4540,1561,4541,1561,4543,1564,4543,1564,4550,1561,4554,1557,4560,1554,4567,1550,4571,1541,4575,1539,4578,1534,4578,1531,4580,1541,4580,1547,4575,1551,4574,1564,4565,1571,4555,1574,4550,1578,4543,1578,4523,1575,4514,1574,4509,1565,4500,1562,4499xm1557,4497l1547,4497,1541,4499,1534,4503,1531,4504,1531,4509,1527,4514,1527,4535,1531,4540,1533,4543,1534,4545,1543,4550,1551,4550,1564,4543,1547,4543,1544,4540,1543,4540,1539,4531,1537,4525,1537,4514,1541,4507,1541,4504,1544,4503,1547,4500,1547,4499,1562,4499,1557,4497xe" filled="true" fillcolor="#000000" stroked="false">
              <v:path arrowok="t"/>
              <v:fill type="solid"/>
            </v:shape>
            <v:shape style="position:absolute;left:1588;top:4497;width:54;height:84" coordorigin="1588,4497" coordsize="54,84" path="m1618,4497l1608,4497,1604,4499,1594,4509,1591,4514,1591,4519,1590,4525,1588,4534,1588,4545,1591,4561,1594,4567,1598,4571,1604,4575,1608,4580,1618,4580,1622,4575,1611,4575,1604,4571,1604,4567,1601,4561,1601,4555,1600,4550,1600,4535,1601,4530,1601,4509,1604,4504,1606,4503,1608,4503,1612,4499,1622,4499,1618,4497xm1622,4499l1614,4499,1618,4500,1621,4503,1624,4504,1624,4513,1626,4517,1628,4523,1628,4551,1626,4560,1624,4564,1624,4570,1621,4571,1621,4574,1618,4575,1624,4575,1628,4571,1635,4565,1636,4561,1638,4555,1638,4551,1641,4545,1641,4537,1638,4530,1638,4519,1635,4513,1631,4504,1626,4503,1622,4499xe" filled="true" fillcolor="#000000" stroked="false">
              <v:path arrowok="t"/>
              <v:fill type="solid"/>
            </v:shape>
            <v:shape style="position:absolute;left:1529;top:4855;width:46;height:84" coordorigin="1529,4855" coordsize="46,84" path="m1561,4855l1543,4855,1539,4859,1534,4861,1534,4864,1531,4868,1531,4881,1533,4886,1544,4898,1541,4899,1537,4904,1534,4908,1531,4909,1531,4916,1529,4918,1529,4922,1534,4932,1537,4936,1541,4939,1561,4939,1565,4936,1550,4936,1541,4928,1541,4908,1544,4904,1544,4902,1547,4899,1562,4899,1557,4894,1561,4892,1555,4892,1544,4884,1544,4879,1543,4878,1543,4874,1541,4871,1541,4869,1544,4861,1547,4859,1564,4859,1561,4855xm1562,4899l1547,4899,1551,4906,1557,4908,1561,4916,1564,4918,1564,4928,1561,4930,1561,4932,1557,4935,1555,4936,1565,4936,1571,4930,1575,4922,1575,4916,1571,4908,1571,4906,1568,4904,1562,4899xm1568,4859l1557,4859,1557,4861,1561,4861,1561,4868,1564,4869,1564,4875,1561,4875,1561,4884,1557,4886,1557,4889,1555,4892,1561,4892,1571,4881,1571,4879,1574,4878,1574,4865,1571,4861,1568,4859xe" filled="true" fillcolor="#000000" stroked="false">
              <v:path arrowok="t"/>
              <v:fill type="solid"/>
            </v:shape>
            <v:shape style="position:absolute;left:1588;top:4855;width:54;height:84" coordorigin="1588,4855" coordsize="54,84" path="m1611,4859l1601,4859,1600,4861,1598,4865,1594,4869,1591,4874,1591,4879,1588,4892,1588,4906,1590,4912,1591,4920,1594,4926,1598,4932,1604,4936,1608,4939,1618,4939,1622,4936,1614,4936,1611,4935,1608,4932,1604,4930,1604,4926,1601,4922,1601,4915,1600,4908,1600,4894,1601,4889,1601,4869,1606,4861,1608,4861,1611,4859xm1618,4855l1608,4855,1604,4859,1618,4859,1624,4865,1624,4871,1626,4875,1628,4881,1628,4909,1626,4918,1624,4922,1624,4928,1618,4935,1616,4935,1614,4936,1622,4936,1624,4935,1628,4932,1631,4928,1635,4926,1636,4920,1638,4916,1638,4909,1641,4904,1641,4896,1638,4888,1638,4879,1635,4871,1631,4865,1622,4858,1618,4855xe" filled="true" fillcolor="#000000" stroked="false">
              <v:path arrowok="t"/>
              <v:fill type="solid"/>
            </v:shape>
            <v:shape style="position:absolute;left:1245;top:904;width:52;height:85" coordorigin="1245,904" coordsize="52,85" path="m1287,941l1274,941,1277,943,1280,944,1284,953,1284,957,1286,961,1286,971,1281,979,1277,984,1277,985,1260,985,1267,989,1271,989,1276,988,1281,988,1287,984,1290,979,1294,975,1297,968,1297,957,1296,951,1294,947,1287,941xm1287,908l1277,908,1274,911,1271,913,1266,914,1257,923,1253,928,1250,931,1249,937,1247,941,1247,944,1245,951,1245,957,1247,965,1247,971,1250,979,1257,985,1267,985,1263,984,1263,981,1261,978,1260,975,1257,971,1257,947,1261,947,1261,944,1263,943,1257,943,1263,931,1263,928,1266,927,1267,923,1274,917,1277,914,1281,911,1284,911,1287,908xm1280,937l1271,937,1267,938,1261,941,1257,943,1267,943,1267,941,1287,941,1280,937xm1296,904l1290,904,1281,908,1296,908,1296,904xe" filled="true" fillcolor="#00ff00" stroked="false">
              <v:path arrowok="t"/>
              <v:fill type="solid"/>
            </v:shape>
            <v:shape style="position:absolute;left:1308;top:904;width:51;height:85" coordorigin="1308,904" coordsize="51,85" path="m1332,904l1330,904,1328,907,1320,911,1317,914,1314,918,1310,924,1310,928,1308,935,1308,964,1310,971,1314,978,1322,985,1328,988,1332,989,1334,989,1337,988,1341,985,1328,985,1324,981,1322,978,1320,971,1320,965,1318,957,1318,944,1320,938,1320,918,1324,914,1324,913,1328,911,1330,908,1339,908,1332,904xm1339,908l1334,908,1337,911,1338,911,1342,914,1344,918,1344,927,1347,931,1347,961,1344,968,1344,978,1337,985,1344,985,1347,981,1351,979,1354,971,1357,965,1357,961,1359,955,1359,947,1357,938,1357,928,1352,921,1348,914,1344,911,1339,908xe" filled="true" fillcolor="#00ff00" stroked="false">
              <v:path arrowok="t"/>
              <v:fill type="solid"/>
            </v:shape>
            <v:shape style="position:absolute;left:1247;top:1170;width:47;height:83" coordorigin="1247,1170" coordsize="47,83" path="m1267,1251l1253,1251,1257,1252,1263,1252,1267,1251xm1253,1241l1249,1241,1247,1242,1247,1248,1249,1251,1274,1251,1277,1247,1263,1247,1261,1245,1257,1245,1253,1242,1253,1241xm1294,1170l1263,1170,1247,1200,1253,1200,1261,1204,1266,1204,1270,1208,1277,1212,1280,1215,1280,1218,1281,1221,1284,1225,1284,1232,1281,1237,1274,1245,1270,1247,1277,1247,1280,1245,1281,1245,1284,1241,1290,1235,1290,1228,1291,1225,1291,1222,1290,1218,1290,1212,1287,1208,1274,1194,1266,1192,1257,1192,1263,1180,1287,1180,1294,1170xe" filled="true" fillcolor="#00ff00" stroked="false">
              <v:path arrowok="t"/>
              <v:fill type="solid"/>
            </v:shape>
            <v:shape style="position:absolute;left:1310;top:1168;width:47;height:85" coordorigin="1310,1168" coordsize="47,85" path="m1337,1168l1328,1168,1317,1174,1312,1181,1310,1184,1310,1192,1312,1194,1312,1197,1314,1198,1314,1200,1318,1204,1320,1208,1327,1210,1324,1210,1320,1215,1318,1218,1314,1221,1312,1225,1310,1227,1310,1241,1314,1245,1314,1247,1322,1251,1328,1252,1337,1252,1341,1251,1347,1248,1330,1248,1327,1245,1324,1245,1322,1241,1322,1238,1320,1237,1320,1231,1322,1228,1322,1222,1324,1221,1324,1218,1328,1215,1347,1215,1342,1210,1337,1208,1342,1204,1334,1204,1327,1198,1327,1194,1324,1194,1324,1188,1322,1187,1322,1181,1324,1180,1324,1176,1327,1174,1328,1174,1330,1171,1344,1171,1337,1168xm1347,1215l1328,1215,1341,1227,1342,1231,1344,1231,1344,1241,1342,1245,1341,1247,1337,1247,1334,1248,1347,1248,1351,1247,1352,1245,1357,1237,1357,1231,1352,1222,1348,1218,1347,1215xm1344,1171l1334,1171,1337,1174,1338,1174,1342,1178,1342,1181,1344,1184,1344,1188,1342,1190,1342,1192,1341,1194,1341,1198,1334,1204,1342,1204,1351,1197,1352,1194,1354,1192,1354,1180,1348,1174,1344,1171xe" filled="true" fillcolor="#00ff00" stroked="false">
              <v:path arrowok="t"/>
              <v:fill type="solid"/>
            </v:shape>
            <v:shape style="position:absolute;left:1247;top:1434;width:47;height:82" coordorigin="1247,1434" coordsize="47,82" path="m1267,1514l1253,1514,1257,1516,1263,1516,1267,1514xm1253,1504l1249,1504,1247,1506,1247,1512,1249,1514,1274,1514,1277,1510,1263,1510,1261,1508,1257,1508,1253,1506,1253,1504xm1294,1434l1263,1434,1247,1464,1253,1464,1261,1467,1266,1467,1270,1471,1277,1475,1280,1478,1280,1482,1281,1484,1284,1488,1284,1495,1281,1501,1274,1508,1270,1510,1277,1510,1280,1508,1281,1508,1284,1504,1290,1498,1290,1492,1291,1488,1291,1486,1290,1482,1290,1475,1287,1471,1274,1457,1257,1454,1263,1444,1287,1444,1294,1434xe" filled="true" fillcolor="#00ff00" stroked="false">
              <v:path arrowok="t"/>
              <v:fill type="solid"/>
            </v:shape>
            <v:shape style="position:absolute;left:1308;top:1431;width:51;height:85" coordorigin="1308,1431" coordsize="51,85" path="m1351,1435l1341,1435,1328,1441,1317,1454,1314,1457,1310,1464,1310,1467,1308,1471,1308,1492,1310,1498,1314,1506,1320,1512,1328,1516,1332,1516,1337,1514,1344,1514,1346,1512,1332,1512,1330,1510,1327,1510,1324,1508,1322,1504,1320,1502,1320,1492,1318,1490,1318,1484,1320,1482,1320,1474,1322,1474,1327,1470,1320,1470,1320,1465,1324,1457,1328,1454,1330,1450,1330,1447,1334,1444,1337,1444,1341,1440,1344,1437,1347,1437,1351,1435xm1348,1467l1334,1467,1338,1470,1344,1475,1344,1480,1347,1484,1347,1502,1344,1506,1341,1510,1338,1510,1337,1512,1346,1512,1352,1506,1359,1494,1359,1484,1357,1478,1352,1470,1348,1467xm1344,1464l1328,1464,1324,1467,1320,1470,1328,1470,1330,1467,1348,1467,1344,1464xm1357,1431l1351,1431,1347,1434,1344,1435,1357,1435,1357,1431xe" filled="true" fillcolor="#00ff00" stroked="false">
              <v:path arrowok="t"/>
              <v:fill type="solid"/>
            </v:shape>
            <v:shape style="position:absolute;left:1247;top:1697;width:47;height:83" coordorigin="1247,1697" coordsize="47,83" path="m1267,1778l1253,1778,1257,1779,1263,1779,1267,1778xm1253,1768l1249,1768,1247,1769,1247,1775,1249,1778,1274,1778,1277,1774,1263,1774,1261,1771,1257,1771,1253,1769,1253,1768xm1294,1697l1263,1697,1247,1727,1253,1727,1261,1731,1266,1731,1270,1735,1277,1739,1280,1741,1280,1744,1284,1751,1284,1759,1281,1764,1274,1771,1270,1774,1277,1774,1280,1771,1281,1771,1284,1768,1290,1761,1290,1755,1291,1751,1291,1749,1290,1744,1290,1739,1287,1735,1274,1721,1257,1717,1263,1707,1287,1707,1294,1697xe" filled="true" fillcolor="#00ff00" stroked="false">
              <v:path arrowok="t"/>
              <v:fill type="solid"/>
            </v:shape>
            <v:shape style="position:absolute;left:1304;top:1694;width:55;height:84" coordorigin="1304,1694" coordsize="55,84" path="m1347,1758l1337,1758,1337,1778,1347,1778,1347,1758xm1347,1694l1341,1694,1304,1751,1304,1758,1359,1758,1359,1749,1310,1749,1337,1707,1347,1707,1347,1694xm1347,1707l1337,1707,1337,1749,1347,1749,1347,1707xe" filled="true" fillcolor="#00ff00" stroked="false">
              <v:path arrowok="t"/>
              <v:fill type="solid"/>
            </v:shape>
            <v:shape style="position:absolute;left:1247;top:1960;width:47;height:83" coordorigin="1247,1960" coordsize="47,83" path="m1267,2041l1253,2041,1257,2043,1263,2043,1267,2041xm1253,2031l1249,2031,1247,2032,1247,2039,1249,2041,1274,2041,1278,2037,1263,2037,1261,2035,1257,2032,1253,2032,1253,2031xm1294,1960l1263,1960,1247,1991,1253,1991,1261,1995,1266,1995,1270,1997,1274,2001,1277,2002,1280,2005,1280,2007,1284,2015,1284,2022,1281,2027,1274,2035,1270,2037,1278,2037,1290,2025,1290,2018,1291,2015,1291,2012,1290,2007,1290,2002,1287,1997,1284,1995,1274,1984,1257,1980,1263,1970,1287,1970,1294,1960xe" filled="true" fillcolor="#00ff00" stroked="false">
              <v:path arrowok="t"/>
              <v:fill type="solid"/>
            </v:shape>
            <v:shape style="position:absolute;left:1304;top:1958;width:55;height:84" coordorigin="1304,1958" coordsize="55,84" path="m1351,1968l1334,1968,1337,1970,1338,1974,1342,1978,1344,1982,1344,1987,1342,1991,1338,2002,1330,2015,1324,2022,1314,2031,1304,2041,1352,2041,1356,2032,1317,2032,1341,2008,1344,2002,1347,1997,1351,1995,1351,1991,1352,1987,1354,1984,1354,1978,1352,1972,1351,1968xm1359,2027l1354,2027,1354,2028,1352,2031,1351,2031,1347,2032,1356,2032,1359,2027xm1334,1958l1324,1958,1320,1960,1318,1961,1314,1964,1310,1968,1308,1972,1308,1976,1306,1980,1308,1980,1308,1978,1312,1974,1314,1970,1318,1970,1320,1968,1351,1968,1347,1964,1334,1958xe" filled="true" fillcolor="#00ff00" stroked="false">
              <v:path arrowok="t"/>
              <v:fill type="solid"/>
            </v:shape>
            <v:shape style="position:absolute;left:1247;top:2224;width:47;height:83" coordorigin="1247,2224" coordsize="47,83" path="m1267,2305l1253,2305,1257,2306,1263,2306,1267,2305xm1253,2294l1249,2294,1247,2296,1247,2302,1249,2305,1274,2305,1277,2301,1263,2301,1261,2298,1257,2296,1253,2296,1253,2294xm1294,2224l1263,2224,1247,2254,1253,2254,1261,2258,1266,2258,1270,2261,1274,2264,1277,2265,1280,2268,1280,2270,1284,2278,1284,2285,1281,2291,1274,2298,1270,2301,1277,2301,1287,2291,1290,2285,1290,2282,1291,2278,1291,2276,1290,2270,1290,2265,1287,2261,1284,2258,1274,2248,1257,2244,1263,2234,1287,2234,1294,2224xe" filled="true" fillcolor="#00ff00" stroked="false">
              <v:path arrowok="t"/>
              <v:fill type="solid"/>
            </v:shape>
            <v:shape style="position:absolute;left:1308;top:2221;width:51;height:85" coordorigin="1308,2221" coordsize="51,85" path="m1332,2221l1330,2221,1328,2224,1320,2227,1317,2231,1314,2235,1310,2240,1310,2245,1308,2252,1308,2281,1310,2285,1314,2294,1322,2302,1328,2305,1332,2306,1334,2306,1337,2305,1342,2302,1332,2302,1328,2301,1327,2301,1324,2296,1322,2294,1320,2288,1320,2281,1318,2274,1318,2261,1320,2255,1320,2235,1324,2231,1324,2230,1328,2227,1330,2225,1342,2225,1341,2224,1337,2224,1332,2221xm1342,2225l1334,2225,1337,2227,1338,2227,1344,2234,1344,2244,1347,2248,1347,2278,1344,2284,1344,2294,1338,2301,1334,2301,1334,2302,1342,2302,1344,2301,1347,2298,1351,2296,1352,2292,1354,2285,1357,2282,1357,2278,1359,2270,1359,2264,1357,2255,1357,2245,1352,2237,1348,2231,1342,2225xe" filled="true" fillcolor="#00ff00" stroked="false">
              <v:path arrowok="t"/>
              <v:fill type="solid"/>
            </v:shape>
            <v:shape style="position:absolute;left:1243;top:2484;width:55;height:84" coordorigin="1243,2484" coordsize="55,84" path="m1286,2548l1276,2548,1276,2568,1286,2568,1286,2548xm1286,2484l1277,2484,1243,2539,1243,2548,1297,2548,1297,2539,1247,2539,1276,2497,1286,2497,1286,2484xm1286,2497l1276,2497,1276,2539,1286,2539,1286,2497xe" filled="true" fillcolor="#00ff00" stroked="false">
              <v:path arrowok="t"/>
              <v:fill type="solid"/>
            </v:shape>
            <v:shape style="position:absolute;left:1310;top:2484;width:47;height:85" coordorigin="1310,2484" coordsize="47,85" path="m1337,2484l1328,2484,1317,2491,1314,2493,1310,2501,1310,2507,1312,2511,1312,2514,1314,2515,1314,2518,1320,2524,1327,2528,1324,2528,1320,2529,1318,2534,1312,2539,1310,2544,1310,2558,1314,2559,1314,2564,1322,2568,1328,2569,1337,2569,1341,2568,1347,2566,1330,2566,1322,2558,1322,2555,1320,2554,1320,2548,1322,2544,1322,2539,1324,2538,1324,2534,1327,2534,1328,2529,1343,2529,1342,2528,1337,2524,1342,2521,1334,2521,1327,2514,1327,2511,1324,2511,1324,2503,1322,2503,1322,2498,1324,2497,1324,2493,1327,2491,1328,2491,1330,2488,1343,2488,1337,2484xm1343,2529l1328,2529,1332,2535,1341,2544,1342,2548,1344,2548,1344,2558,1342,2559,1341,2564,1337,2564,1334,2566,1347,2566,1351,2564,1352,2559,1354,2558,1357,2554,1357,2548,1352,2539,1351,2538,1348,2534,1343,2529xm1343,2488l1334,2488,1337,2491,1338,2491,1342,2494,1342,2497,1344,2501,1344,2505,1342,2507,1342,2509,1341,2511,1341,2514,1338,2518,1334,2521,1342,2521,1351,2514,1352,2511,1354,2507,1354,2497,1348,2491,1343,2488xe" filled="true" fillcolor="#00ff00" stroked="false">
              <v:path arrowok="t"/>
              <v:fill type="solid"/>
            </v:shape>
            <v:shape style="position:absolute;left:1243;top:2748;width:55;height:84" coordorigin="1243,2748" coordsize="55,84" path="m1286,2811l1276,2811,1276,2832,1286,2832,1286,2811xm1286,2748l1277,2748,1243,2802,1243,2811,1297,2811,1297,2802,1247,2802,1276,2760,1286,2760,1286,2748xm1286,2760l1276,2760,1276,2802,1286,2802,1286,2760xe" filled="true" fillcolor="#00ff00" stroked="false">
              <v:path arrowok="t"/>
              <v:fill type="solid"/>
            </v:shape>
            <v:shape style="position:absolute;left:1308;top:2748;width:51;height:85" coordorigin="1308,2748" coordsize="51,85" path="m1354,2750l1344,2750,1328,2758,1317,2771,1314,2775,1310,2781,1310,2782,1308,2788,1308,2808,1310,2815,1314,2823,1320,2829,1328,2833,1332,2833,1337,2832,1344,2829,1332,2829,1330,2828,1327,2828,1324,2823,1320,2819,1320,2808,1318,2807,1318,2801,1320,2797,1320,2791,1322,2791,1324,2787,1320,2787,1320,2782,1324,2775,1328,2771,1330,2767,1330,2764,1334,2760,1337,2760,1338,2757,1341,2757,1344,2754,1347,2754,1354,2750xm1350,2785l1334,2785,1338,2787,1344,2792,1344,2797,1347,2801,1347,2819,1344,2823,1341,2828,1338,2828,1337,2829,1344,2829,1348,2828,1352,2823,1354,2819,1357,2812,1359,2811,1359,2801,1357,2795,1352,2787,1350,2785xm1344,2781l1328,2781,1324,2782,1320,2787,1328,2787,1330,2785,1350,2785,1348,2782,1344,2781xm1357,2748l1351,2748,1347,2750,1357,2750,1357,2748xe" filled="true" fillcolor="#00ff00" stroked="false">
              <v:path arrowok="t"/>
              <v:fill type="solid"/>
            </v:shape>
            <v:shape style="position:absolute;left:1243;top:3011;width:55;height:84" coordorigin="1243,3011" coordsize="55,84" path="m1286,3072l1276,3072,1276,3095,1286,3095,1286,3072xm1286,3011l1277,3011,1243,3066,1243,3072,1297,3072,1297,3066,1247,3066,1276,3024,1286,3024,1286,3011xm1286,3024l1276,3024,1276,3066,1286,3066,1286,3024xe" filled="true" fillcolor="#00ff00" stroked="false">
              <v:path arrowok="t"/>
              <v:fill type="solid"/>
            </v:shape>
            <v:shape style="position:absolute;left:1304;top:3011;width:55;height:84" coordorigin="1304,3011" coordsize="55,84" path="m1347,3072l1337,3072,1337,3095,1347,3095,1347,3072xm1347,3011l1341,3011,1304,3066,1304,3072,1359,3072,1359,3066,1310,3066,1337,3024,1347,3024,1347,3011xm1347,3024l1337,3024,1337,3066,1347,3066,1347,3024xe" filled="true" fillcolor="#00ff00" stroked="false">
              <v:path arrowok="t"/>
              <v:fill type="solid"/>
            </v:shape>
            <v:shape style="position:absolute;left:1243;top:3274;width:55;height:84" coordorigin="1243,3274" coordsize="55,84" path="m1286,3336l1276,3336,1276,3358,1286,3358,1286,3336xm1286,3274l1277,3274,1243,3329,1243,3336,1297,3336,1297,3329,1247,3329,1276,3287,1286,3287,1286,3274xm1286,3287l1276,3287,1276,3329,1286,3329,1286,3287xe" filled="true" fillcolor="#00ff00" stroked="false">
              <v:path arrowok="t"/>
              <v:fill type="solid"/>
            </v:shape>
            <v:shape style="position:absolute;left:1304;top:3274;width:55;height:84" coordorigin="1304,3274" coordsize="55,84" path="m1350,3284l1330,3284,1334,3285,1338,3289,1341,3294,1342,3295,1344,3299,1344,3304,1342,3308,1338,3319,1330,3331,1324,3339,1304,3356,1304,3358,1352,3358,1356,3349,1317,3349,1318,3346,1322,3344,1328,3336,1334,3329,1341,3325,1344,3319,1347,3314,1351,3309,1351,3308,1354,3299,1354,3294,1351,3285,1350,3284xm1359,3344l1354,3344,1354,3346,1352,3346,1351,3348,1347,3349,1356,3349,1359,3344xm1334,3274l1324,3274,1320,3277,1318,3278,1314,3281,1310,3285,1308,3289,1308,3294,1306,3298,1308,3298,1308,3295,1310,3294,1312,3289,1314,3287,1318,3287,1320,3285,1324,3284,1350,3284,1347,3281,1334,3274xe" filled="true" fillcolor="#00ff00" stroked="false">
              <v:path arrowok="t"/>
              <v:fill type="solid"/>
            </v:shape>
            <v:shape style="position:absolute;left:1243;top:3538;width:55;height:84" coordorigin="1243,3538" coordsize="55,84" path="m1286,3599l1276,3599,1276,3622,1286,3622,1286,3599xm1286,3538l1277,3538,1243,3593,1243,3599,1297,3599,1297,3593,1247,3593,1276,3551,1286,3551,1286,3538xm1286,3551l1276,3551,1276,3593,1286,3593,1286,3551xe" filled="true" fillcolor="#00ff00" stroked="false">
              <v:path arrowok="t"/>
              <v:fill type="solid"/>
            </v:shape>
            <v:shape style="position:absolute;left:1308;top:3538;width:51;height:85" coordorigin="1308,3538" coordsize="51,85" path="m1328,3542l1320,3542,1318,3547,1317,3548,1314,3552,1310,3557,1310,3562,1308,3568,1308,3598,1310,3603,1318,3615,1322,3619,1328,3622,1332,3623,1334,3623,1337,3622,1342,3619,1332,3619,1328,3618,1324,3613,1320,3605,1320,3598,1318,3591,1318,3577,1320,3572,1320,3552,1324,3548,1324,3547,1328,3545,1328,3542xm1332,3538l1330,3538,1328,3540,1324,3542,1337,3542,1344,3551,1344,3561,1347,3565,1347,3593,1344,3602,1344,3609,1342,3613,1341,3615,1338,3615,1337,3618,1334,3618,1334,3619,1342,3619,1344,3618,1347,3615,1351,3613,1352,3609,1354,3603,1357,3599,1357,3593,1359,3587,1359,3578,1357,3571,1357,3562,1352,3555,1348,3548,1341,3540,1337,3540,1332,3538xe" filled="true" fillcolor="#00ff00" stroked="false">
              <v:path arrowok="t"/>
              <v:fill type="solid"/>
            </v:shape>
            <v:shape style="position:absolute;left:1245;top:3802;width:46;height:85" coordorigin="1245,3802" coordsize="46,85" path="m1261,3879l1245,3879,1245,3881,1247,3882,1247,3885,1250,3885,1256,3886,1260,3886,1267,3885,1274,3882,1276,3881,1261,3881,1261,3879xm1284,3810l1271,3810,1277,3815,1277,3820,1280,3822,1280,3825,1277,3828,1277,3832,1267,3842,1257,3842,1257,3844,1263,3844,1266,3846,1271,3846,1271,3848,1274,3851,1277,3851,1277,3852,1280,3852,1280,3856,1281,3861,1284,3862,1284,3869,1281,3872,1276,3879,1274,3879,1270,3881,1276,3881,1280,3879,1284,3876,1287,3872,1290,3866,1291,3862,1291,3855,1287,3846,1287,3844,1284,3842,1277,3835,1286,3828,1287,3822,1287,3814,1284,3812,1284,3810xm1253,3876l1247,3876,1247,3879,1256,3879,1253,3876xm1274,3802l1263,3802,1261,3804,1257,3805,1253,3805,1250,3810,1250,3812,1247,3815,1247,3820,1256,3812,1260,3810,1284,3810,1277,3804,1274,3802xe" filled="true" fillcolor="#00ff00" stroked="false">
              <v:path arrowok="t"/>
              <v:fill type="solid"/>
            </v:shape>
            <v:shape style="position:absolute;left:1310;top:3802;width:47;height:85" coordorigin="1310,3802" coordsize="47,85" path="m1337,3802l1328,3802,1317,3808,1314,3810,1310,3818,1310,3824,1312,3825,1312,3831,1314,3832,1314,3834,1318,3835,1320,3841,1327,3844,1324,3844,1320,3846,1318,3851,1312,3856,1310,3861,1310,3872,1314,3876,1314,3879,1318,3882,1322,3885,1328,3886,1337,3886,1341,3885,1347,3882,1330,3882,1322,3875,1322,3872,1320,3869,1320,3862,1322,3861,1322,3856,1324,3852,1324,3851,1327,3851,1328,3846,1343,3846,1342,3844,1337,3841,1342,3838,1334,3838,1327,3831,1327,3828,1324,3825,1324,3820,1322,3820,1322,3815,1324,3812,1324,3810,1328,3805,1344,3805,1337,3802xm1343,3846l1328,3846,1332,3852,1344,3865,1344,3875,1338,3881,1337,3881,1334,3882,1347,3882,1352,3876,1357,3869,1357,3862,1354,3861,1351,3852,1343,3846xm1348,3805l1337,3805,1342,3812,1342,3814,1344,3815,1344,3822,1342,3822,1342,3825,1341,3828,1341,3831,1338,3832,1337,3835,1334,3838,1342,3838,1351,3831,1352,3825,1354,3824,1354,3812,1351,3810,1348,3805xe" filled="true" fillcolor="#00ff00" stroked="false">
              <v:path arrowok="t"/>
              <v:fill type="solid"/>
            </v:shape>
            <v:shape style="position:absolute;left:1245;top:4065;width:46;height:85" coordorigin="1245,4065" coordsize="46,85" path="m1261,4142l1245,4142,1245,4145,1247,4146,1247,4148,1250,4148,1256,4149,1260,4149,1267,4148,1274,4146,1276,4145,1261,4145,1261,4142xm1284,4074l1271,4074,1277,4079,1277,4084,1280,4085,1280,4089,1277,4091,1277,4095,1267,4105,1257,4105,1257,4108,1263,4108,1266,4109,1271,4109,1271,4112,1274,4112,1276,4114,1277,4114,1277,4116,1280,4116,1280,4119,1281,4122,1281,4124,1284,4126,1284,4132,1281,4136,1276,4142,1274,4142,1270,4145,1276,4145,1280,4142,1284,4140,1287,4136,1290,4129,1291,4126,1291,4118,1287,4109,1287,4108,1284,4105,1277,4099,1286,4091,1287,4085,1287,4077,1284,4075,1284,4074xm1253,4140l1247,4140,1247,4142,1256,4142,1253,4140xm1277,4065l1261,4065,1257,4069,1253,4069,1250,4074,1250,4075,1247,4079,1247,4084,1256,4075,1260,4074,1284,4074,1280,4069,1277,4065xe" filled="true" fillcolor="#00ff00" stroked="false">
              <v:path arrowok="t"/>
              <v:fill type="solid"/>
            </v:shape>
            <v:shape style="position:absolute;left:1308;top:4065;width:51;height:85" coordorigin="1308,4065" coordsize="51,85" path="m1347,4069l1337,4069,1332,4074,1328,4075,1317,4088,1314,4091,1310,4095,1310,4099,1308,4105,1308,4126,1310,4132,1314,4140,1320,4146,1328,4149,1332,4149,1337,4148,1344,4146,1332,4146,1330,4145,1328,4145,1320,4136,1320,4126,1318,4122,1318,4118,1320,4114,1320,4105,1323,4105,1324,4104,1320,4104,1320,4099,1324,4091,1327,4089,1328,4085,1330,4084,1330,4079,1334,4077,1338,4074,1341,4074,1344,4071,1347,4069xm1351,4101l1334,4101,1338,4104,1344,4109,1344,4112,1347,4118,1347,4136,1344,4140,1342,4142,1341,4142,1337,4146,1344,4146,1348,4142,1352,4140,1354,4136,1357,4129,1359,4126,1359,4116,1357,4112,1354,4105,1351,4101xm1323,4105l1320,4105,1320,4108,1323,4105xm1341,4095l1334,4095,1328,4098,1324,4099,1320,4104,1328,4104,1330,4101,1351,4101,1348,4099,1341,4095xm1357,4065l1347,4065,1344,4068,1341,4069,1351,4069,1354,4068,1357,4068,1357,4065xe" filled="true" fillcolor="#00ff00" stroked="false">
              <v:path arrowok="t"/>
              <v:fill type="solid"/>
            </v:shape>
            <v:shape style="position:absolute;left:1245;top:4328;width:46;height:84" coordorigin="1245,4328" coordsize="46,84" path="m1261,4405l1245,4405,1245,4408,1247,4409,1247,4412,1267,4412,1274,4409,1276,4408,1261,4408,1261,4405xm1284,4337l1271,4337,1277,4342,1277,4347,1280,4348,1280,4352,1277,4355,1277,4358,1267,4369,1257,4369,1257,4371,1263,4371,1266,4373,1271,4373,1271,4375,1274,4375,1276,4378,1277,4378,1277,4379,1280,4379,1280,4383,1281,4385,1281,4388,1284,4389,1284,4395,1281,4399,1276,4405,1274,4405,1270,4408,1276,4408,1280,4405,1284,4403,1287,4399,1290,4393,1291,4389,1291,4382,1287,4373,1287,4371,1284,4369,1277,4362,1286,4355,1287,4348,1287,4341,1284,4338,1284,4337xm1253,4403l1247,4403,1247,4405,1256,4405,1253,4403xm1277,4328l1261,4328,1257,4332,1253,4332,1250,4337,1250,4338,1247,4342,1247,4347,1256,4338,1260,4337,1284,4337,1280,4332,1277,4328xe" filled="true" fillcolor="#00ff00" stroked="false">
              <v:path arrowok="t"/>
              <v:fill type="solid"/>
            </v:shape>
            <v:shape style="position:absolute;left:1304;top:4328;width:55;height:84" coordorigin="1304,4328" coordsize="55,84" path="m1347,4389l1337,4389,1337,4412,1347,4412,1347,4389xm1347,4328l1341,4328,1304,4383,1304,4389,1359,4389,1359,4383,1310,4383,1337,4341,1347,4341,1347,4328xm1347,4341l1337,4341,1337,4383,1347,4383,1347,4341xe" filled="true" fillcolor="#00ff00" stroked="false">
              <v:path arrowok="t"/>
              <v:fill type="solid"/>
            </v:shape>
            <v:shape style="position:absolute;left:1245;top:4592;width:46;height:84" coordorigin="1245,4592" coordsize="46,84" path="m1261,4669l1245,4669,1245,4671,1247,4672,1247,4675,1267,4675,1274,4672,1276,4671,1261,4671,1261,4669xm1284,4600l1271,4600,1277,4606,1277,4608,1280,4612,1280,4615,1277,4618,1277,4622,1267,4632,1257,4632,1257,4635,1263,4635,1266,4636,1271,4636,1271,4639,1274,4639,1276,4641,1277,4641,1277,4642,1280,4642,1280,4646,1281,4649,1281,4651,1284,4652,1284,4659,1281,4662,1276,4669,1274,4669,1270,4671,1276,4671,1280,4669,1284,4665,1287,4662,1290,4656,1291,4652,1291,4645,1287,4636,1287,4635,1284,4632,1277,4626,1286,4618,1287,4612,1287,4604,1284,4602,1284,4600xm1250,4665l1247,4665,1247,4669,1256,4669,1250,4665xm1277,4592l1261,4592,1257,4595,1253,4595,1250,4600,1250,4602,1247,4606,1247,4611,1256,4602,1260,4600,1284,4600,1280,4595,1277,4592xe" filled="true" fillcolor="#00ff00" stroked="false">
              <v:path arrowok="t"/>
              <v:fill type="solid"/>
            </v:shape>
            <v:shape style="position:absolute;left:1304;top:4592;width:55;height:84" coordorigin="1304,4592" coordsize="55,84" path="m1349,4600l1330,4600,1334,4602,1341,4608,1344,4615,1344,4618,1338,4636,1330,4649,1314,4665,1304,4672,1304,4675,1352,4675,1356,4665,1317,4665,1334,4646,1341,4642,1344,4636,1347,4631,1351,4626,1351,4624,1354,4615,1354,4611,1351,4602,1349,4600xm1359,4659l1357,4659,1354,4661,1354,4662,1352,4662,1351,4665,1356,4665,1359,4659xm1338,4592l1320,4592,1318,4595,1314,4598,1310,4602,1308,4606,1308,4608,1306,4614,1308,4614,1308,4612,1310,4608,1314,4604,1318,4602,1320,4602,1324,4600,1349,4600,1347,4598,1342,4595,1338,4592xe" filled="true" fillcolor="#00ff00" stroked="false">
              <v:path arrowok="t"/>
              <v:fill type="solid"/>
            </v:shape>
            <v:shape style="position:absolute;left:1245;top:4855;width:46;height:84" coordorigin="1245,4855" coordsize="46,84" path="m1261,4932l1245,4932,1245,4935,1247,4936,1247,4939,1267,4939,1274,4936,1276,4935,1261,4935,1261,4932xm1284,4861l1267,4861,1271,4864,1277,4869,1277,4871,1280,4875,1280,4879,1277,4881,1277,4886,1267,4896,1257,4896,1257,4898,1267,4898,1271,4899,1271,4902,1274,4902,1276,4904,1277,4904,1277,4906,1280,4906,1280,4909,1281,4912,1281,4915,1284,4916,1284,4922,1281,4926,1276,4932,1274,4932,1270,4935,1276,4935,1280,4932,1284,4928,1287,4926,1290,4920,1291,4916,1291,4908,1287,4899,1287,4898,1284,4896,1277,4889,1286,4881,1287,4875,1287,4868,1284,4865,1284,4861xm1250,4928l1247,4928,1247,4932,1256,4932,1250,4928xm1277,4855l1261,4855,1257,4859,1253,4859,1250,4861,1250,4865,1247,4869,1247,4874,1256,4865,1263,4861,1284,4861,1280,4859,1277,4855xe" filled="true" fillcolor="#00ff00" stroked="false">
              <v:path arrowok="t"/>
              <v:fill type="solid"/>
            </v:shape>
            <v:shape style="position:absolute;left:1308;top:4855;width:51;height:84" coordorigin="1308,4855" coordsize="51,84" path="m1328,4859l1320,4859,1318,4861,1314,4869,1310,4874,1310,4879,1308,4886,1308,4912,1310,4920,1318,4932,1322,4936,1328,4939,1337,4939,1342,4936,1332,4936,1328,4935,1324,4930,1320,4922,1320,4915,1318,4908,1318,4894,1320,4889,1320,4869,1324,4865,1324,4861,1328,4861,1328,4859xm1337,4855l1328,4855,1324,4859,1337,4859,1338,4861,1341,4861,1342,4865,1344,4868,1344,4875,1347,4881,1347,4909,1344,4918,1344,4926,1342,4928,1341,4932,1338,4932,1337,4935,1334,4935,1334,4936,1342,4936,1344,4935,1347,4932,1352,4926,1354,4920,1357,4916,1357,4909,1359,4904,1359,4896,1357,4888,1357,4879,1352,4871,1348,4865,1341,4858,1337,4855xe" filled="true" fillcolor="#00ff00" stroked="false">
              <v:path arrowok="t"/>
              <v:fill type="solid"/>
            </v:shape>
            <v:shape style="position:absolute;left:6451;top:911;width:47;height:85" coordorigin="6451,911" coordsize="47,85" path="m6490,951l6470,951,6466,953,6464,953,6464,955,6474,955,6476,957,6477,957,6481,961,6484,961,6486,964,6486,968,6487,969,6487,971,6490,974,6490,978,6486,985,6484,988,6481,988,6480,989,6476,991,6454,991,6454,995,6474,995,6480,994,6486,989,6494,981,6498,974,6498,965,6494,957,6494,955,6490,951xm6457,985l6454,985,6454,988,6451,989,6451,991,6467,991,6466,989,6464,989,6464,988,6460,988,6457,985xm6486,947l6477,947,6476,951,6487,951,6486,947xm6490,918l6474,918,6476,921,6480,923,6484,927,6484,928,6486,931,6486,937,6484,938,6484,943,6480,947,6484,947,6492,938,6494,933,6494,924,6490,921,6490,918xm6480,911l6470,911,6466,913,6464,914,6460,917,6457,918,6457,921,6454,924,6454,931,6457,924,6461,921,6466,921,6470,918,6490,918,6484,913,6480,911xe" filled="true" fillcolor="#0000ff" stroked="false">
              <v:path arrowok="t"/>
              <v:fill type="solid"/>
            </v:shape>
            <v:shape style="position:absolute;left:6514;top:913;width:48;height:83" coordorigin="6514,913" coordsize="48,83" path="m6528,988l6514,988,6514,989,6517,991,6517,994,6518,995,6538,995,6542,991,6547,991,6547,989,6530,989,6528,988xm6561,913l6532,913,6517,944,6527,944,6530,947,6532,947,6537,951,6545,955,6547,957,6551,965,6551,979,6547,981,6547,985,6542,985,6541,988,6537,989,6547,989,6547,988,6551,988,6552,985,6552,981,6557,979,6557,978,6559,975,6559,971,6561,968,6561,965,6559,961,6557,955,6555,951,6551,947,6547,941,6541,938,6532,935,6527,935,6530,923,6557,923,6561,913xm6522,985l6517,985,6517,988,6524,988,6522,985xe" filled="true" fillcolor="#0000ff" stroked="false">
              <v:path arrowok="t"/>
              <v:fill type="solid"/>
            </v:shape>
            <v:shape style="position:absolute;left:6577;top:913;width:46;height:83" coordorigin="6577,913" coordsize="46,83" path="m6582,985l6577,985,6577,991,6579,994,6579,995,6599,995,6603,994,6606,991,6608,991,6609,989,6593,989,6589,988,6588,988,6582,985xm6623,913l6593,913,6577,944,6588,944,6592,947,6595,947,6599,951,6608,955,6609,957,6609,961,6612,965,6613,968,6613,975,6612,979,6609,981,6608,985,6606,985,6603,988,6599,989,6609,989,6609,988,6612,988,6613,985,6616,981,6619,978,6619,971,6622,968,6622,965,6619,961,6619,955,6618,951,6608,941,6595,935,6588,935,6593,923,6618,923,6623,913xe" filled="true" fillcolor="#0000ff" stroked="false">
              <v:path arrowok="t"/>
              <v:fill type="solid"/>
            </v:shape>
            <v:shape style="position:absolute;left:6451;top:1241;width:47;height:83" coordorigin="6451,1241" coordsize="47,83" path="m6466,1318l6451,1318,6451,1320,6454,1322,6454,1323,6474,1323,6480,1322,6484,1320,6467,1320,6466,1318xm6490,1247l6474,1247,6476,1248,6480,1251,6484,1255,6484,1257,6486,1261,6486,1265,6484,1268,6484,1272,6474,1282,6464,1282,6464,1283,6470,1283,6471,1285,6476,1285,6477,1288,6480,1288,6481,1289,6484,1289,6484,1292,6486,1292,6486,1295,6487,1298,6487,1299,6490,1302,6490,1308,6487,1312,6481,1318,6480,1318,6476,1320,6484,1320,6486,1318,6490,1313,6494,1312,6497,1305,6498,1302,6498,1293,6494,1285,6494,1283,6490,1282,6484,1275,6492,1268,6494,1261,6494,1252,6490,1251,6490,1247xm6457,1313l6454,1313,6454,1318,6461,1318,6457,1313xm6484,1241l6466,1241,6464,1245,6460,1245,6457,1247,6457,1251,6454,1255,6454,1259,6461,1251,6470,1247,6490,1247,6486,1245,6484,1241xe" filled="true" fillcolor="#0000ff" stroked="false">
              <v:path arrowok="t"/>
              <v:fill type="solid"/>
            </v:shape>
            <v:shape style="position:absolute;left:6514;top:1241;width:48;height:83" coordorigin="6514,1241" coordsize="48,83" path="m6522,1313l6517,1313,6517,1316,6514,1318,6517,1322,6518,1323,6538,1323,6541,1322,6542,1322,6547,1320,6547,1318,6528,1318,6527,1316,6524,1316,6522,1313xm6561,1241l6532,1241,6517,1273,6521,1273,6527,1275,6530,1275,6532,1278,6541,1282,6549,1289,6551,1293,6551,1308,6547,1312,6547,1313,6542,1313,6541,1318,6547,1318,6551,1316,6552,1313,6552,1312,6557,1308,6557,1305,6559,1303,6559,1302,6561,1298,6561,1293,6557,1285,6555,1279,6547,1272,6541,1268,6532,1265,6527,1262,6530,1251,6557,1251,6561,1241xe" filled="true" fillcolor="#0000ff" stroked="false">
              <v:path arrowok="t"/>
              <v:fill type="solid"/>
            </v:shape>
            <v:shape style="position:absolute;left:6575;top:1241;width:54;height:83" coordorigin="6575,1241" coordsize="54,83" path="m6598,1245l6589,1245,6582,1251,6579,1259,6577,1265,6577,1272,6575,1278,6575,1292,6577,1298,6579,1305,6581,1312,6585,1318,6589,1322,6595,1323,6606,1323,6609,1322,6599,1322,6598,1320,6593,1318,6592,1316,6589,1312,6589,1308,6588,1299,6588,1257,6589,1255,6593,1247,6595,1247,6598,1245xm6603,1241l6595,1241,6592,1245,6606,1245,6608,1247,6609,1251,6612,1252,6612,1257,6613,1261,6613,1268,6616,1273,6616,1288,6613,1295,6613,1303,6612,1308,6612,1312,6609,1313,6608,1318,6606,1320,6603,1320,6602,1322,6609,1322,6613,1318,6619,1312,6623,1305,6623,1302,6628,1289,6628,1282,6623,1265,6619,1257,6618,1251,6609,1242,6603,1241xe" filled="true" fillcolor="#0000ff" stroked="false">
              <v:path arrowok="t"/>
              <v:fill type="solid"/>
            </v:shape>
            <v:shape style="position:absolute;left:6451;top:1569;width:47;height:85" coordorigin="6451,1569" coordsize="47,85" path="m6460,1644l6454,1644,6454,1646,6451,1647,6454,1650,6454,1653,6457,1653,6461,1654,6466,1654,6474,1653,6486,1647,6464,1647,6464,1646,6461,1646,6460,1644xm6490,1577l6476,1577,6480,1582,6481,1582,6484,1586,6484,1587,6486,1589,6486,1593,6484,1596,6484,1602,6481,1602,6474,1609,6470,1609,6466,1612,6470,1612,6471,1613,6476,1613,6480,1617,6484,1617,6484,1619,6486,1622,6486,1623,6490,1632,6490,1636,6487,1640,6480,1647,6486,1647,6494,1640,6497,1634,6498,1632,6498,1622,6494,1613,6494,1612,6490,1609,6484,1603,6487,1602,6492,1596,6494,1592,6494,1582,6490,1579,6490,1577xm6480,1569l6470,1569,6466,1571,6464,1573,6460,1575,6457,1577,6457,1579,6454,1583,6454,1587,6461,1579,6466,1577,6490,1577,6484,1571,6480,1569xe" filled="true" fillcolor="#0000ff" stroked="false">
              <v:path arrowok="t"/>
              <v:fill type="solid"/>
            </v:shape>
            <v:shape style="position:absolute;left:6510;top:1569;width:55;height:84" coordorigin="6510,1569" coordsize="55,84" path="m6552,1632l6542,1632,6542,1653,6552,1653,6552,1632xm6552,1569l6547,1569,6510,1623,6510,1632,6565,1632,6565,1623,6517,1623,6542,1582,6552,1582,6552,1569xm6552,1582l6542,1582,6542,1623,6552,1623,6552,1582xe" filled="true" fillcolor="#0000ff" stroked="false">
              <v:path arrowok="t"/>
              <v:fill type="solid"/>
            </v:shape>
            <v:shape style="position:absolute;left:6577;top:1571;width:46;height:83" coordorigin="6577,1571" coordsize="46,83" path="m6598,1653l6582,1653,6588,1654,6593,1654,6598,1653xm6603,1650l6579,1650,6579,1653,6599,1653,6603,1650xm6582,1642l6579,1642,6577,1644,6577,1650,6606,1650,6608,1647,6593,1647,6589,1646,6588,1644,6582,1644,6582,1642xm6623,1571l6593,1571,6577,1602,6582,1602,6588,1603,6592,1603,6599,1607,6603,1612,6608,1613,6609,1616,6609,1617,6613,1626,6613,1634,6612,1637,6603,1646,6599,1647,6608,1647,6618,1637,6619,1634,6619,1630,6622,1626,6622,1623,6619,1617,6619,1613,6618,1607,6613,1603,6603,1596,6588,1592,6593,1582,6618,1582,6623,1571xe" filled="true" fillcolor="#0000ff" stroked="false">
              <v:path arrowok="t"/>
              <v:fill type="solid"/>
            </v:shape>
            <v:shape style="position:absolute;left:6451;top:1897;width:47;height:85" coordorigin="6451,1897" coordsize="47,85" path="m6474,1980l6457,1980,6461,1982,6466,1982,6474,1980xm6490,1937l6470,1937,6466,1940,6470,1940,6471,1941,6474,1941,6476,1944,6477,1944,6481,1948,6484,1948,6486,1950,6486,1954,6487,1956,6487,1958,6490,1960,6490,1964,6487,1968,6486,1970,6484,1974,6481,1974,6480,1976,6476,1978,6454,1978,6454,1980,6480,1980,6486,1976,6494,1968,6498,1960,6498,1950,6497,1948,6494,1944,6494,1940,6490,1937xm6457,1972l6454,1972,6454,1974,6451,1976,6451,1978,6467,1978,6466,1976,6464,1976,6464,1974,6460,1974,6457,1972xm6486,1933l6477,1933,6476,1937,6487,1937,6486,1933xm6490,1906l6474,1906,6476,1907,6480,1910,6484,1913,6484,1916,6486,1917,6486,1923,6484,1923,6484,1930,6480,1933,6484,1933,6487,1930,6492,1923,6494,1920,6494,1911,6490,1907,6490,1906xm6480,1897l6470,1897,6466,1900,6464,1901,6460,1903,6457,1906,6457,1907,6454,1911,6454,1917,6457,1911,6461,1907,6466,1907,6470,1906,6490,1906,6484,1900,6480,1897xe" filled="true" fillcolor="#0000ff" stroked="false">
              <v:path arrowok="t"/>
              <v:fill type="solid"/>
            </v:shape>
            <v:shape style="position:absolute;left:6510;top:1897;width:55;height:84" coordorigin="6510,1897" coordsize="55,84" path="m6552,1960l6542,1960,6542,1980,6552,1980,6552,1960xm6552,1897l6547,1897,6510,1954,6510,1960,6565,1960,6565,1951,6517,1951,6542,1911,6552,1911,6552,1897xm6552,1911l6542,1911,6542,1951,6552,1951,6552,1911xe" filled="true" fillcolor="#0000ff" stroked="false">
              <v:path arrowok="t"/>
              <v:fill type="solid"/>
            </v:shape>
            <v:shape style="position:absolute;left:6575;top:1897;width:54;height:85" coordorigin="6575,1897" coordsize="54,85" path="m6599,1897l6598,1897,6595,1900,6592,1901,6588,1906,6582,1907,6581,1911,6579,1917,6577,1921,6577,1927,6575,1933,6575,1948,6579,1964,6581,1970,6589,1978,6595,1980,6599,1982,6603,1982,6606,1980,6609,1978,6598,1978,6593,1976,6592,1974,6589,1970,6589,1964,6588,1958,6588,1916,6592,1907,6595,1903,6598,1903,6599,1901,6609,1901,6603,1900,6599,1897xm6609,1901l6602,1901,6603,1903,6608,1903,6608,1906,6609,1907,6612,1911,6612,1913,6613,1920,6613,1923,6616,1931,6616,1946,6613,1954,6613,1960,6612,1967,6612,1970,6608,1974,6608,1976,6606,1978,6612,1978,6613,1974,6618,1972,6619,1968,6623,1964,6623,1958,6626,1954,6628,1948,6628,1940,6626,1931,6623,1921,6619,1913,6618,1907,6613,1903,6609,1901xe" filled="true" fillcolor="#0000ff" stroked="false">
              <v:path arrowok="t"/>
              <v:fill type="solid"/>
            </v:shape>
            <v:shape style="position:absolute;left:6451;top:2227;width:47;height:84" coordorigin="6451,2227" coordsize="47,84" path="m6490,2234l6474,2234,6476,2235,6480,2237,6484,2241,6484,2244,6486,2248,6486,2252,6484,2254,6484,2258,6474,2268,6464,2268,6464,2270,6474,2270,6477,2274,6480,2274,6481,2276,6484,2276,6484,2278,6486,2278,6486,2282,6487,2284,6487,2285,6490,2288,6490,2294,6487,2296,6486,2301,6481,2305,6480,2305,6476,2306,6454,2306,6454,2311,6474,2311,6480,2309,6486,2305,6494,2296,6498,2288,6498,2281,6494,2272,6494,2270,6490,2268,6484,2262,6492,2254,6494,2248,6494,2240,6490,2237,6490,2234xm6466,2305l6451,2305,6451,2306,6467,2306,6466,2305xm6457,2301l6454,2301,6454,2305,6461,2305,6457,2301xm6484,2227l6466,2227,6464,2231,6460,2231,6457,2234,6457,2237,6454,2240,6454,2245,6457,2240,6470,2234,6490,2234,6486,2231,6484,2227xe" filled="true" fillcolor="#0000ff" stroked="false">
              <v:path arrowok="t"/>
              <v:fill type="solid"/>
            </v:shape>
            <v:shape style="position:absolute;left:6514;top:2227;width:48;height:84" coordorigin="6514,2227" coordsize="48,84" path="m6521,2301l6517,2301,6514,2302,6514,2309,6517,2311,6534,2311,6542,2309,6546,2306,6530,2306,6528,2305,6522,2305,6522,2302,6521,2302,6521,2301xm6551,2234l6534,2234,6538,2235,6547,2244,6547,2255,6541,2262,6541,2264,6537,2265,6534,2268,6527,2268,6527,2270,6537,2270,6541,2274,6542,2274,6542,2276,6545,2276,6549,2281,6549,2282,6551,2284,6551,2296,6547,2301,6547,2302,6542,2305,6541,2305,6537,2306,6546,2306,6547,2305,6552,2301,6557,2296,6561,2288,6561,2281,6557,2272,6551,2265,6547,2264,6545,2262,6551,2258,6552,2254,6555,2248,6557,2244,6557,2241,6552,2237,6551,2234xm6545,2227l6528,2227,6524,2231,6522,2231,6521,2234,6518,2237,6517,2240,6514,2244,6517,2245,6521,2240,6522,2237,6527,2235,6532,2234,6551,2234,6545,2227xe" filled="true" fillcolor="#0000ff" stroked="false">
              <v:path arrowok="t"/>
              <v:fill type="solid"/>
            </v:shape>
            <v:shape style="position:absolute;left:6577;top:2227;width:46;height:84" coordorigin="6577,2227" coordsize="46,84" path="m6582,2301l6577,2301,6577,2306,6579,2309,6579,2311,6599,2311,6603,2309,6606,2306,6608,2306,6609,2305,6589,2305,6588,2302,6582,2301xm6623,2227l6593,2227,6577,2261,6588,2261,6608,2270,6609,2274,6609,2276,6613,2284,6613,2291,6612,2294,6609,2296,6608,2301,6606,2301,6603,2305,6609,2305,6613,2301,6616,2296,6619,2292,6619,2285,6622,2284,6622,2281,6619,2276,6619,2270,6618,2265,6613,2262,6603,2254,6595,2250,6588,2250,6593,2237,6618,2237,6623,2227xe" filled="true" fillcolor="#0000ff" stroked="false">
              <v:path arrowok="t"/>
              <v:fill type="solid"/>
            </v:shape>
            <v:shape style="position:absolute;left:6451;top:2555;width:47;height:85" coordorigin="6451,2555" coordsize="47,85" path="m6466,2633l6451,2633,6451,2635,6454,2636,6454,2639,6457,2639,6461,2640,6466,2640,6474,2639,6480,2636,6482,2635,6467,2635,6466,2633xm6490,2564l6476,2564,6480,2568,6481,2568,6484,2569,6484,2574,6486,2576,6486,2579,6484,2582,6484,2586,6474,2596,6464,2596,6464,2598,6470,2598,6471,2600,6476,2600,6480,2605,6484,2605,6484,2606,6486,2606,6486,2610,6487,2615,6490,2616,6490,2623,6487,2626,6481,2633,6480,2633,6476,2635,6482,2635,6486,2633,6490,2630,6494,2626,6497,2620,6498,2616,6498,2608,6494,2600,6494,2598,6490,2596,6484,2590,6492,2582,6494,2576,6494,2568,6490,2566,6490,2564xm6460,2630l6454,2630,6454,2633,6461,2633,6460,2630xm6480,2555l6470,2555,6466,2558,6464,2559,6460,2559,6457,2564,6457,2566,6454,2569,6454,2574,6461,2566,6466,2564,6490,2564,6484,2558,6480,2555xe" filled="true" fillcolor="#0000ff" stroked="false">
              <v:path arrowok="t"/>
              <v:fill type="solid"/>
            </v:shape>
            <v:shape style="position:absolute;left:6514;top:2555;width:48;height:85" coordorigin="6514,2555" coordsize="48,85" path="m6522,2630l6514,2630,6514,2636,6517,2639,6521,2639,6522,2640,6527,2640,6542,2636,6544,2635,6530,2635,6528,2633,6522,2633,6522,2630xm6551,2564l6538,2564,6541,2568,6542,2568,6545,2569,6547,2574,6547,2585,6541,2590,6541,2592,6537,2595,6534,2596,6527,2596,6527,2598,6530,2598,6532,2600,6538,2600,6542,2605,6545,2605,6547,2606,6551,2615,6551,2626,6547,2629,6547,2630,6542,2633,6541,2633,6537,2635,6544,2635,6547,2633,6552,2630,6557,2626,6559,2620,6561,2616,6561,2608,6557,2600,6551,2595,6547,2592,6545,2590,6551,2586,6552,2582,6555,2576,6557,2574,6557,2569,6551,2564xm6541,2555l6532,2555,6524,2559,6522,2559,6521,2564,6518,2566,6514,2574,6517,2574,6521,2569,6522,2566,6527,2564,6551,2564,6549,2559,6541,2555xe" filled="true" fillcolor="#0000ff" stroked="false">
              <v:path arrowok="t"/>
              <v:fill type="solid"/>
            </v:shape>
            <v:shape style="position:absolute;left:6575;top:2555;width:54;height:85" coordorigin="6575,2555" coordsize="54,85" path="m6598,2559l6589,2559,6588,2564,6582,2566,6579,2574,6577,2579,6577,2586,6575,2592,6575,2606,6577,2615,6581,2626,6585,2633,6589,2636,6595,2639,6599,2640,6603,2640,6606,2639,6609,2636,6599,2636,6598,2635,6593,2633,6592,2630,6589,2626,6589,2623,6588,2615,6588,2574,6592,2566,6598,2559xm6599,2555l6598,2555,6595,2558,6592,2559,6606,2559,6608,2562,6608,2564,6612,2568,6612,2572,6613,2576,6613,2582,6616,2588,6616,2605,6613,2610,6613,2619,6612,2625,6612,2626,6609,2630,6606,2635,6603,2635,6602,2636,6609,2636,6612,2635,6613,2633,6618,2630,6619,2626,6623,2620,6623,2616,6628,2605,6628,2596,6623,2579,6619,2572,6618,2566,6609,2558,6603,2558,6599,2555xe" filled="true" fillcolor="#0000ff" stroked="false">
              <v:path arrowok="t"/>
              <v:fill type="solid"/>
            </v:shape>
            <v:shape style="position:absolute;left:6451;top:2883;width:47;height:86" coordorigin="6451,2883" coordsize="47,86" path="m6474,2967l6457,2967,6461,2969,6466,2969,6474,2967xm6457,2959l6454,2959,6454,2960,6451,2963,6454,2964,6454,2967,6480,2967,6486,2963,6464,2963,6464,2960,6460,2960,6457,2959xm6486,2920l6477,2920,6474,2924,6470,2924,6466,2927,6470,2927,6471,2929,6474,2929,6476,2930,6477,2930,6480,2933,6484,2933,6484,2934,6486,2937,6486,2940,6487,2943,6490,2947,6490,2950,6487,2954,6486,2957,6484,2960,6481,2960,6480,2963,6486,2963,6494,2954,6498,2947,6498,2937,6497,2933,6494,2930,6494,2927,6490,2924,6486,2920xm6490,2892l6474,2892,6476,2893,6480,2896,6481,2896,6484,2900,6484,2902,6486,2904,6486,2910,6484,2910,6484,2916,6481,2916,6480,2920,6484,2920,6487,2916,6494,2906,6494,2896,6490,2893,6490,2892xm6480,2883l6470,2883,6466,2886,6464,2888,6460,2890,6457,2892,6457,2893,6454,2899,6454,2904,6461,2893,6466,2893,6470,2892,6490,2892,6484,2886,6480,2883xe" filled="true" fillcolor="#0000ff" stroked="false">
              <v:path arrowok="t"/>
              <v:fill type="solid"/>
            </v:shape>
            <v:shape style="position:absolute;left:6510;top:2883;width:55;height:84" coordorigin="6510,2883" coordsize="55,84" path="m6557,2893l6541,2893,6542,2896,6545,2900,6549,2904,6551,2909,6551,2912,6549,2916,6545,2929,6537,2940,6530,2949,6521,2957,6510,2967,6559,2967,6562,2959,6522,2959,6547,2934,6551,2929,6552,2923,6557,2920,6557,2916,6559,2914,6561,2910,6561,2904,6559,2899,6557,2893xm6565,2953l6561,2953,6561,2954,6559,2957,6557,2957,6552,2959,6562,2959,6565,2953xm6541,2883l6530,2883,6522,2888,6517,2893,6514,2899,6514,2902,6512,2906,6514,2906,6514,2904,6518,2900,6521,2896,6522,2896,6527,2893,6557,2893,6552,2890,6541,2883xe" filled="true" fillcolor="#0000ff" stroked="false">
              <v:path arrowok="t"/>
              <v:fill type="solid"/>
            </v:shape>
            <v:shape style="position:absolute;left:6577;top:2886;width:46;height:84" coordorigin="6577,2886" coordsize="46,84" path="m6598,2967l6582,2967,6588,2969,6593,2969,6598,2967xm6582,2957l6579,2957,6577,2959,6577,2964,6579,2967,6603,2967,6607,2963,6593,2963,6589,2960,6588,2960,6582,2959,6582,2957xm6623,2886l6593,2886,6577,2916,6582,2916,6592,2920,6595,2920,6599,2923,6603,2927,6608,2929,6609,2930,6609,2933,6613,2940,6613,2949,6612,2953,6603,2960,6599,2963,6607,2963,6609,2960,6612,2960,6613,2957,6619,2950,6619,2944,6622,2940,6622,2939,6619,2933,6619,2929,6618,2923,6613,2920,6603,2910,6588,2906,6593,2896,6618,2896,6623,2886xe" filled="true" fillcolor="#0000ff" stroked="false">
              <v:path arrowok="t"/>
              <v:fill type="solid"/>
            </v:shape>
            <v:shape style="position:absolute;left:6451;top:3214;width:47;height:84" coordorigin="6451,3214" coordsize="47,84" path="m6490,3253l6470,3253,6466,3254,6464,3254,6464,3257,6474,3257,6477,3261,6480,3261,6481,3263,6484,3263,6486,3264,6486,3268,6487,3271,6487,3273,6490,3274,6490,3278,6486,3287,6484,3289,6481,3289,6480,3291,6476,3294,6454,3294,6454,3298,6474,3298,6480,3295,6486,3291,6494,3284,6498,3274,6498,3267,6494,3258,6494,3257,6490,3253xm6457,3287l6454,3287,6454,3289,6451,3291,6451,3294,6467,3294,6466,3291,6464,3291,6464,3289,6460,3289,6457,3287xm6490,3220l6474,3220,6476,3223,6480,3224,6484,3228,6484,3230,6486,3233,6486,3238,6484,3241,6484,3244,6476,3253,6487,3253,6484,3248,6492,3241,6494,3234,6494,3226,6490,3223,6490,3220xm6484,3214l6466,3214,6464,3216,6460,3217,6457,3220,6457,3223,6454,3226,6454,3233,6457,3226,6461,3223,6466,3223,6470,3220,6490,3220,6484,3214xe" filled="true" fillcolor="#0000ff" stroked="false">
              <v:path arrowok="t"/>
              <v:fill type="solid"/>
            </v:shape>
            <v:shape style="position:absolute;left:6510;top:3214;width:55;height:84" coordorigin="6510,3214" coordsize="55,84" path="m6557,3223l6541,3223,6542,3226,6549,3233,6551,3237,6551,3241,6547,3253,6545,3257,6537,3268,6530,3277,6521,3287,6510,3295,6510,3298,6559,3298,6562,3287,6522,3287,6547,3263,6551,3257,6552,3253,6557,3248,6557,3247,6561,3238,6561,3233,6559,3226,6557,3223xm6565,3281l6562,3281,6557,3287,6562,3287,6565,3281xm6545,3214l6527,3214,6522,3216,6521,3220,6517,3223,6514,3226,6514,3230,6512,3237,6514,3237,6514,3233,6522,3224,6527,3223,6557,3223,6552,3220,6549,3216,6545,3214xe" filled="true" fillcolor="#0000ff" stroked="false">
              <v:path arrowok="t"/>
              <v:fill type="solid"/>
            </v:shape>
            <v:shape style="position:absolute;left:6575;top:3214;width:54;height:84" coordorigin="6575,3214" coordsize="54,84" path="m6603,3214l6595,3214,6592,3216,6588,3220,6582,3223,6581,3226,6579,3233,6577,3237,6577,3243,6575,3251,6575,3263,6579,3278,6581,3285,6589,3294,6595,3298,6606,3298,6609,3294,6598,3294,6593,3291,6592,3289,6589,3285,6589,3278,6588,3273,6588,3230,6592,3223,6593,3220,6595,3220,6599,3216,6609,3216,6603,3214xm6609,3216l6602,3216,6603,3217,6606,3217,6609,3223,6612,3226,6612,3230,6613,3234,6613,3241,6616,3247,6616,3261,6613,3268,6613,3277,6612,3281,6612,3285,6608,3289,6608,3291,6606,3294,6612,3294,6613,3289,6618,3287,6619,3284,6623,3278,6623,3273,6628,3263,6628,3254,6626,3247,6623,3237,6619,3230,6618,3223,6613,3220,6609,3216xe" filled="true" fillcolor="#0000ff" stroked="false">
              <v:path arrowok="t"/>
              <v:fill type="solid"/>
            </v:shape>
            <v:shape style="position:absolute;left:6451;top:3542;width:47;height:84" coordorigin="6451,3542" coordsize="47,84" path="m6466,3619l6451,3619,6451,3622,6454,3623,6454,3625,6474,3625,6480,3623,6482,3622,6467,3622,6466,3619xm6490,3551l6476,3551,6480,3552,6484,3557,6484,3561,6486,3562,6486,3567,6484,3568,6484,3572,6474,3582,6464,3582,6464,3585,6470,3585,6471,3587,6476,3587,6477,3589,6480,3589,6481,3591,6484,3591,6484,3593,6486,3593,6486,3598,6487,3599,6487,3602,6490,3603,6490,3609,6487,3613,6481,3619,6480,3619,6476,3622,6482,3622,6486,3619,6490,3615,6494,3613,6497,3608,6498,3603,6498,3595,6494,3587,6494,3585,6490,3582,6484,3577,6492,3568,6494,3562,6494,3555,6490,3552,6490,3551xm6457,3615l6454,3615,6454,3619,6461,3619,6457,3615xm6484,3542l6466,3542,6464,3547,6460,3547,6457,3551,6457,3552,6454,3557,6454,3561,6461,3552,6466,3551,6490,3551,6486,3547,6484,3542xe" filled="true" fillcolor="#0000ff" stroked="false">
              <v:path arrowok="t"/>
              <v:fill type="solid"/>
            </v:shape>
            <v:shape style="position:absolute;left:6522;top:3542;width:34;height:84" coordorigin="6522,3542" coordsize="34,84" path="m6555,3623l6524,3623,6524,3625,6555,3625,6555,3623xm6545,3551l6530,3551,6532,3552,6532,3557,6534,3558,6534,3618,6532,3619,6532,3623,6547,3623,6547,3622,6545,3622,6545,3551xm6545,3542l6542,3542,6522,3551,6522,3552,6524,3552,6527,3551,6545,3551,6545,3542xe" filled="true" fillcolor="#0000ff" stroked="false">
              <v:path arrowok="t"/>
              <v:fill type="solid"/>
            </v:shape>
            <v:shape style="position:absolute;left:6577;top:3542;width:46;height:84" coordorigin="6577,3542" coordsize="46,84" path="m6603,3623l6579,3623,6579,3625,6599,3625,6603,3623xm6582,3615l6577,3615,6577,3623,6606,3623,6609,3619,6589,3619,6588,3618,6582,3615xm6623,3542l6593,3542,6577,3575,6582,3575,6588,3577,6592,3577,6603,3582,6609,3589,6609,3591,6613,3599,6613,3608,6612,3609,6609,3613,6608,3615,6606,3615,6603,3619,6609,3619,6616,3613,6618,3609,6619,3608,6619,3603,6622,3599,6622,3598,6619,3591,6619,3587,6618,3581,6613,3577,6608,3572,6603,3568,6588,3565,6593,3552,6618,3552,6623,3542xe" filled="true" fillcolor="#0000ff" stroked="false">
              <v:path arrowok="t"/>
              <v:fill type="solid"/>
            </v:shape>
            <v:shape style="position:absolute;left:6451;top:3871;width:47;height:85" coordorigin="6451,3871" coordsize="47,85" path="m6474,3953l6457,3953,6461,3956,6466,3956,6474,3953xm6460,3946l6454,3946,6454,3947,6451,3949,6454,3952,6454,3953,6480,3953,6486,3949,6464,3949,6464,3947,6461,3947,6460,3946xm6486,3907l6477,3907,6474,3912,6470,3912,6466,3913,6470,3913,6471,3916,6476,3916,6480,3919,6484,3919,6484,3922,6486,3923,6486,3926,6490,3933,6490,3937,6487,3942,6480,3949,6486,3949,6494,3942,6497,3936,6498,3933,6498,3923,6494,3916,6494,3913,6490,3912,6486,3907xm6490,3879l6476,3879,6480,3882,6481,3882,6484,3886,6484,3889,6486,3891,6486,3896,6484,3896,6484,3903,6481,3903,6480,3907,6484,3907,6487,3903,6492,3896,6494,3892,6494,3882,6490,3881,6490,3879xm6480,3871l6470,3871,6466,3872,6464,3875,6460,3876,6457,3879,6457,3881,6454,3885,6454,3889,6461,3881,6466,3879,6490,3879,6484,3872,6480,3871xe" filled="true" fillcolor="#0000ff" stroked="false">
              <v:path arrowok="t"/>
              <v:fill type="solid"/>
            </v:shape>
            <v:shape style="position:absolute;left:6522;top:3871;width:31;height:82" coordorigin="6522,3871" coordsize="31,82" path="m6545,3879l6530,3879,6532,3881,6532,3885,6534,3886,6534,3946,6532,3949,6532,3952,6530,3953,6552,3953,6551,3952,6547,3952,6547,3949,6545,3949,6545,3879xm6545,3871l6542,3871,6522,3879,6522,3881,6524,3881,6527,3879,6545,3879,6545,3871xe" filled="true" fillcolor="#0000ff" stroked="false">
              <v:path arrowok="t"/>
              <v:fill type="solid"/>
            </v:shape>
            <v:shape style="position:absolute;left:6575;top:3871;width:54;height:85" coordorigin="6575,3871" coordsize="54,85" path="m6599,3871l6598,3871,6595,3872,6592,3875,6588,3879,6582,3881,6579,3889,6577,3895,6577,3901,6575,3907,6575,3922,6577,3929,6579,3936,6581,3943,6589,3952,6595,3953,6599,3956,6603,3956,6606,3953,6609,3952,6599,3952,6598,3949,6593,3949,6592,3946,6589,3943,6589,3937,6588,3929,6588,3889,6592,3881,6595,3876,6598,3876,6599,3875,6612,3875,6609,3872,6603,3872,6599,3871xm6612,3875l6602,3875,6603,3876,6608,3876,6608,3879,6612,3882,6612,3886,6613,3892,6613,3896,6616,3903,6616,3919,6613,3926,6613,3933,6612,3939,6612,3943,6608,3947,6608,3949,6603,3949,6602,3952,6609,3952,6612,3949,6613,3947,6618,3946,6619,3942,6623,3936,6623,3932,6628,3919,6628,3913,6626,3903,6623,3895,6619,3886,6618,3881,6612,3875xe" filled="true" fillcolor="#0000ff" stroked="false">
              <v:path arrowok="t"/>
              <v:fill type="solid"/>
            </v:shape>
            <v:shape style="position:absolute;left:6451;top:4199;width:47;height:85" coordorigin="6451,4199" coordsize="47,85" path="m6474,4281l6457,4281,6461,4284,6466,4284,6474,4281xm6490,4240l6470,4240,6466,4241,6464,4241,6464,4243,6474,4243,6476,4246,6477,4246,6481,4250,6484,4250,6486,4251,6486,4256,6487,4257,6487,4260,6490,4261,6490,4266,6487,4270,6486,4271,6484,4276,6481,4276,6480,4278,6476,4280,6454,4280,6454,4281,6480,4281,6486,4278,6494,4270,6498,4261,6498,4253,6494,4246,6494,4243,6490,4240xm6457,4274l6454,4274,6454,4276,6451,4278,6451,4280,6467,4280,6466,4278,6464,4278,6464,4276,6460,4276,6457,4274xm6486,4236l6477,4236,6476,4240,6487,4240,6486,4236xm6490,4206l6474,4206,6476,4209,6480,4210,6484,4216,6484,4217,6486,4219,6486,4226,6484,4226,6484,4231,6480,4236,6484,4236,6487,4231,6492,4226,6494,4221,6494,4213,6490,4209,6490,4206xm6480,4199l6470,4199,6466,4200,6464,4203,6460,4205,6457,4206,6457,4209,6454,4213,6454,4219,6457,4213,6461,4209,6466,4209,6470,4206,6490,4206,6484,4200,6480,4199xe" filled="true" fillcolor="#0000ff" stroked="false">
              <v:path arrowok="t"/>
              <v:fill type="solid"/>
            </v:shape>
            <v:shape style="position:absolute;left:6514;top:4199;width:51;height:85" coordorigin="6514,4199" coordsize="51,85" path="m6538,4199l6537,4199,6532,4200,6530,4203,6527,4205,6522,4209,6521,4213,6517,4219,6517,4223,6514,4229,6514,4257,6517,4266,6521,4271,6522,4276,6528,4280,6532,4281,6538,4284,6541,4284,6542,4281,6547,4280,6534,4280,6530,4276,6528,4271,6527,4266,6527,4260,6524,4253,6524,4240,6527,4233,6527,4213,6530,4209,6530,4206,6532,4206,6537,4203,6547,4203,6538,4199xm6547,4203l6541,4203,6545,4206,6547,4206,6549,4209,6551,4213,6551,4221,6552,4226,6552,4256,6551,4261,6551,4271,6542,4280,6551,4280,6552,4276,6557,4274,6561,4266,6562,4260,6562,4256,6565,4250,6565,4241,6562,4233,6562,4223,6559,4216,6555,4209,6551,4206,6547,4203xe" filled="true" fillcolor="#0000ff" stroked="false">
              <v:path arrowok="t"/>
              <v:fill type="solid"/>
            </v:shape>
            <v:shape style="position:absolute;left:6577;top:4200;width:46;height:84" coordorigin="6577,4200" coordsize="46,84" path="m6598,4281l6582,4281,6588,4284,6593,4284,6598,4281xm6582,4271l6579,4271,6577,4274,6577,4280,6579,4281,6603,4281,6606,4280,6608,4280,6609,4278,6593,4278,6589,4276,6588,4276,6582,4274,6582,4271xm6623,4200l6593,4200,6577,4233,6588,4233,6592,4236,6595,4236,6599,4240,6608,4243,6609,4246,6609,4250,6612,4253,6613,4256,6613,4263,6612,4268,6603,4276,6599,4278,6609,4278,6609,4276,6612,4276,6613,4271,6619,4266,6619,4260,6622,4256,6622,4253,6619,4250,6619,4243,6618,4240,6603,4226,6595,4223,6588,4223,6593,4210,6618,4210,6623,4200xe" filled="true" fillcolor="#0000ff" stroked="false">
              <v:path arrowok="t"/>
              <v:fill type="solid"/>
            </v:shape>
            <v:shape style="position:absolute;left:6451;top:4530;width:47;height:83" coordorigin="6451,4530" coordsize="47,83" path="m6490,4535l6474,4535,6476,4537,6480,4540,6484,4543,6484,4545,6486,4550,6486,4554,6484,4555,6484,4560,6474,4570,6464,4570,6464,4571,6474,4571,6477,4575,6480,4575,6481,4578,6484,4578,6484,4580,6486,4580,6486,4584,6487,4585,6487,4588,6490,4590,6490,4595,6487,4600,6481,4606,6480,4606,6476,4608,6454,4608,6454,4612,6474,4612,6480,4611,6486,4606,6490,4602,6494,4600,6497,4594,6498,4590,6498,4582,6494,4574,6494,4571,6490,4570,6484,4564,6492,4555,6494,4550,6494,4541,6490,4540,6490,4535xm6466,4606l6451,4606,6451,4608,6467,4608,6466,4606xm6457,4602l6454,4602,6454,4606,6461,4606,6457,4602xm6484,4530l6466,4530,6464,4534,6460,4534,6457,4535,6457,4540,6454,4543,6454,4547,6461,4540,6470,4535,6490,4535,6486,4534,6484,4530xe" filled="true" fillcolor="#0000ff" stroked="false">
              <v:path arrowok="t"/>
              <v:fill type="solid"/>
            </v:shape>
            <v:shape style="position:absolute;left:6514;top:4530;width:51;height:83" coordorigin="6514,4530" coordsize="51,83" path="m6534,4534l6527,4534,6524,4535,6521,4543,6517,4547,6517,4551,6514,4560,6514,4585,6517,4594,6521,4600,6522,4606,6528,4608,6532,4612,6542,4612,6547,4608,6534,4608,6530,4604,6527,4595,6527,4588,6524,4582,6524,4567,6527,4561,6527,4543,6530,4540,6530,4535,6532,4535,6534,4534xm6542,4530l6532,4530,6530,4534,6542,4534,6545,4535,6547,4535,6549,4540,6551,4541,6551,4550,6552,4555,6552,4584,6551,4592,6551,4600,6549,4602,6547,4606,6545,4606,6542,4608,6551,4608,6552,4606,6559,4600,6561,4594,6562,4590,6562,4584,6565,4578,6565,4570,6562,4561,6562,4551,6555,4540,6547,4531,6542,4530xe" filled="true" fillcolor="#0000ff" stroked="false">
              <v:path arrowok="t"/>
              <v:fill type="solid"/>
            </v:shape>
            <v:shape style="position:absolute;left:6575;top:4530;width:54;height:83" coordorigin="6575,4530" coordsize="54,83" path="m6598,4534l6589,4534,6582,4540,6577,4551,6577,4560,6575,4565,6575,4580,6577,4585,6579,4594,6581,4600,6585,4606,6595,4612,6606,4612,6609,4608,6598,4608,6593,4606,6592,4604,6589,4600,6589,4595,6588,4588,6588,4545,6589,4543,6593,4535,6595,4535,6598,4534xm6603,4530l6595,4530,6592,4534,6606,4534,6608,4535,6609,4540,6612,4541,6612,4545,6613,4550,6613,4555,6616,4561,6616,4575,6613,4584,6613,4592,6612,4595,6612,4600,6609,4602,6608,4606,6606,4608,6612,4608,6613,4606,6619,4600,6623,4594,6623,4590,6628,4578,6628,4570,6626,4561,6623,4551,6619,4545,6618,4540,6609,4531,6603,4530xe" filled="true" fillcolor="#0000ff" stroked="false">
              <v:path arrowok="t"/>
              <v:fill type="solid"/>
            </v:shape>
            <v:shape style="position:absolute;left:6450;top:4858;width:55;height:83" coordorigin="6450,4858" coordsize="55,83" path="m6492,4865l6474,4865,6477,4868,6480,4869,6484,4871,6484,4875,6486,4878,6487,4881,6487,4886,6486,4889,6486,4896,6484,4902,6480,4908,6474,4915,6467,4922,6460,4930,6450,4939,6450,4940,6497,4940,6501,4932,6460,4932,6490,4902,6492,4896,6494,4892,6497,4889,6497,4886,6498,4881,6498,4875,6494,4868,6492,4865xm6504,4926l6500,4926,6498,4928,6497,4928,6497,4930,6494,4930,6492,4932,6501,4932,6504,4926xm6480,4858l6470,4858,6457,4864,6450,4879,6451,4879,6456,4875,6457,4871,6460,4869,6461,4869,6464,4868,6467,4865,6492,4865,6490,4864,6486,4861,6484,4859,6480,4858xe" filled="true" fillcolor="#0000ff" stroked="false">
              <v:path arrowok="t"/>
              <v:fill type="solid"/>
            </v:shape>
            <v:shape style="position:absolute;left:6514;top:4858;width:51;height:85" coordorigin="6514,4858" coordsize="51,85" path="m6552,4861l6542,4861,6542,4864,6547,4865,6547,4868,6551,4871,6551,4875,6552,4879,6552,4899,6551,4902,6549,4902,6547,4904,6541,4904,6541,4906,6551,4906,6551,4909,6547,4916,6545,4920,6542,4926,6532,4936,6528,4939,6522,4939,6518,4940,6514,4940,6514,4943,6522,4943,6528,4940,6532,4939,6538,4936,6542,4932,6551,4926,6555,4922,6559,4916,6565,4898,6565,4892,6562,4884,6562,4878,6561,4871,6557,4865,6552,4861xm6547,4859l6527,4859,6518,4868,6517,4871,6514,4875,6514,4896,6517,4899,6522,4906,6530,4909,6537,4909,6542,4908,6547,4906,6537,4906,6530,4899,6527,4892,6524,4886,6524,4875,6527,4871,6527,4869,6528,4865,6530,4865,6532,4861,6552,4861,6547,4859xm6538,4858l6532,4859,6542,4859,6538,4858xe" filled="true" fillcolor="#0000ff" stroked="false">
              <v:path arrowok="t"/>
              <v:fill type="solid"/>
            </v:shape>
            <v:shape style="position:absolute;left:6577;top:4859;width:46;height:84" coordorigin="6577,4859" coordsize="46,84" path="m6598,4940l6582,4940,6588,4943,6593,4943,6598,4940xm6603,4939l6579,4939,6579,4940,6599,4940,6603,4939xm6582,4930l6579,4930,6577,4932,6577,4939,6606,4939,6608,4936,6593,4936,6589,4935,6588,4932,6582,4932,6582,4930xm6623,4859l6593,4859,6577,4889,6582,4889,6588,4892,6592,4892,6603,4898,6609,4904,6609,4906,6613,4915,6613,4922,6612,4926,6603,4935,6599,4936,6608,4936,6618,4926,6619,4922,6619,4918,6622,4915,6622,4912,6619,4906,6619,4902,6618,4896,6613,4892,6603,4884,6588,4879,6593,4869,6618,4869,6623,4859xe" filled="true" fillcolor="#0000ff" stroked="false">
              <v:path arrowok="t"/>
              <v:fill type="solid"/>
            </v:shape>
            <v:shape style="position:absolute;left:1472;top:5862;width:28;height:84" coordorigin="1472,5862" coordsize="28,84" path="m1494,5862l1490,5862,1472,5872,1480,5872,1483,5875,1483,5877,1484,5878,1484,5938,1483,5941,1480,5943,1480,5945,1500,5945,1499,5943,1494,5943,1494,5862xe" filled="true" fillcolor="#000000" stroked="false">
              <v:path arrowok="t"/>
              <v:fill type="solid"/>
            </v:shape>
            <v:shape style="position:absolute;left:1524;top:5864;width:50;height:84" coordorigin="1524,5864" coordsize="50,84" path="m1572,5875l1564,5875,1537,5948,1547,5948,1572,5875xm1574,5864l1531,5864,1524,5885,1534,5875,1572,5875,1574,5868,1574,5864xe" filled="true" fillcolor="#000000" stroked="false">
              <v:path arrowok="t"/>
              <v:fill type="solid"/>
            </v:shape>
            <v:shape style="position:absolute;left:1585;top:5862;width:54;height:87" coordorigin="1585,5862" coordsize="54,87" path="m1612,5862l1608,5862,1606,5864,1601,5867,1598,5871,1594,5872,1591,5877,1590,5882,1588,5887,1588,5892,1585,5898,1585,5912,1590,5929,1591,5935,1595,5939,1601,5943,1606,5945,1612,5948,1614,5948,1616,5945,1621,5943,1612,5943,1608,5941,1604,5941,1601,5938,1601,5935,1600,5929,1598,5921,1598,5881,1601,5872,1606,5868,1608,5868,1611,5867,1623,5867,1621,5864,1614,5864,1612,5862xm1623,5867l1612,5867,1614,5868,1618,5868,1618,5871,1622,5875,1622,5878,1624,5885,1624,5888,1626,5895,1626,5911,1624,5919,1624,5925,1622,5932,1622,5935,1618,5939,1618,5941,1614,5941,1612,5943,1621,5943,1622,5941,1624,5939,1628,5938,1631,5933,1635,5929,1635,5923,1636,5919,1638,5911,1638,5905,1636,5895,1635,5887,1631,5878,1628,5872,1623,5867xe" filled="true" fillcolor="#000000" stroked="false">
              <v:path arrowok="t"/>
              <v:fill type="solid"/>
            </v:shape>
            <v:shape style="position:absolute;left:1472;top:6401;width:28;height:84" coordorigin="1472,6401" coordsize="28,84" path="m1494,6401l1490,6401,1472,6411,1480,6411,1483,6414,1483,6415,1484,6418,1484,6478,1483,6479,1480,6482,1480,6485,1500,6485,1499,6482,1494,6482,1494,6401xe" filled="true" fillcolor="#000000" stroked="false">
              <v:path arrowok="t"/>
              <v:fill type="solid"/>
            </v:shape>
            <v:shape style="position:absolute;left:1524;top:6401;width:51;height:85" coordorigin="1524,6401" coordsize="51,85" path="m1568,6405l1557,6405,1544,6411,1537,6419,1533,6425,1531,6428,1527,6434,1527,6438,1524,6442,1524,6462,1527,6468,1531,6476,1537,6482,1544,6486,1550,6486,1555,6485,1561,6485,1564,6482,1550,6482,1547,6479,1543,6479,1541,6478,1539,6474,1537,6472,1537,6462,1534,6459,1534,6454,1537,6452,1537,6444,1539,6444,1543,6439,1537,6439,1537,6435,1541,6428,1544,6424,1547,6419,1547,6418,1551,6415,1557,6409,1561,6407,1564,6407,1568,6405xm1565,6438l1551,6438,1555,6439,1561,6446,1561,6449,1564,6454,1564,6472,1561,6476,1557,6479,1555,6479,1554,6482,1564,6482,1570,6476,1575,6464,1575,6454,1574,6448,1570,6439,1565,6438xm1561,6434l1544,6434,1541,6438,1537,6439,1544,6439,1547,6438,1565,6438,1561,6434xm1574,6401l1568,6401,1564,6404,1561,6405,1574,6405,1574,6401xe" filled="true" fillcolor="#000000" stroked="false">
              <v:path arrowok="t"/>
              <v:fill type="solid"/>
            </v:shape>
            <v:shape style="position:absolute;left:1585;top:6401;width:54;height:85" coordorigin="1585,6401" coordsize="54,85" path="m1612,6401l1608,6401,1606,6404,1601,6405,1598,6409,1594,6411,1591,6415,1590,6421,1588,6425,1588,6431,1585,6438,1585,6452,1590,6468,1591,6474,1595,6478,1601,6482,1606,6485,1612,6486,1614,6486,1616,6485,1621,6482,1612,6482,1608,6479,1604,6479,1601,6478,1601,6474,1598,6462,1598,6419,1601,6411,1606,6407,1608,6407,1611,6405,1621,6405,1614,6404,1612,6401xm1621,6405l1612,6405,1614,6407,1618,6407,1618,6409,1621,6411,1622,6415,1622,6418,1624,6424,1624,6428,1626,6434,1626,6449,1624,6458,1624,6464,1622,6470,1622,6474,1618,6478,1618,6479,1614,6479,1612,6482,1621,6482,1622,6479,1624,6478,1628,6476,1631,6472,1635,6468,1635,6462,1636,6458,1638,6452,1638,6444,1636,6434,1635,6425,1631,6418,1628,6411,1624,6407,1621,6405xe" filled="true" fillcolor="#000000" stroked="false">
              <v:path arrowok="t"/>
              <v:fill type="solid"/>
            </v:shape>
            <v:shape style="position:absolute;left:1472;top:6940;width:28;height:83" coordorigin="1472,6940" coordsize="28,83" path="m1499,7022l1480,7022,1480,7023,1500,7023,1499,7022xm1494,6940l1490,6940,1472,6951,1480,6951,1483,6952,1483,6955,1484,6958,1484,7017,1483,7019,1483,7022,1494,7022,1494,6940xe" filled="true" fillcolor="#000000" stroked="false">
              <v:path arrowok="t"/>
              <v:fill type="solid"/>
            </v:shape>
            <v:shape style="position:absolute;left:1524;top:6942;width:47;height:84" coordorigin="1524,6942" coordsize="47,84" path="m1544,7023l1533,7023,1534,7025,1541,7025,1544,7023xm1539,7017l1524,7017,1524,7019,1527,7022,1527,7023,1551,7023,1555,7022,1557,7022,1557,7019,1541,7019,1539,7017xm1571,6942l1543,6942,1527,6975,1537,6975,1541,6976,1544,6976,1547,6981,1555,6985,1557,6986,1561,6995,1561,7009,1557,7012,1557,7015,1555,7015,1547,7019,1557,7019,1557,7017,1561,7017,1564,7015,1564,7012,1568,7009,1568,7007,1570,7005,1570,7001,1571,6996,1571,6995,1570,6991,1568,6985,1565,6981,1561,6976,1557,6971,1551,6969,1544,6965,1537,6965,1541,6952,1568,6952,1571,6942xm1533,7015l1527,7015,1527,7017,1534,7017,1533,7015xe" filled="true" fillcolor="#000000" stroked="false">
              <v:path arrowok="t"/>
              <v:fill type="solid"/>
            </v:shape>
            <v:shape style="position:absolute;left:1585;top:6940;width:54;height:85" coordorigin="1585,6940" coordsize="54,85" path="m1612,6940l1608,6940,1606,6942,1601,6944,1598,6948,1594,6951,1591,6955,1590,6961,1588,6965,1588,6971,1585,6976,1585,6991,1590,7007,1591,7013,1595,7017,1601,7022,1606,7023,1612,7025,1614,7025,1616,7023,1621,7022,1608,7022,1604,7019,1601,7017,1601,7013,1598,7001,1598,6958,1601,6951,1604,6948,1606,6948,1611,6944,1621,6944,1614,6942,1612,6940xm1621,6944l1612,6944,1614,6945,1616,6945,1621,6951,1622,6955,1622,6958,1624,6962,1624,6969,1626,6975,1626,6989,1624,6996,1624,7005,1622,7009,1622,7013,1618,7017,1618,7019,1616,7022,1622,7022,1624,7017,1628,7015,1631,7012,1635,7007,1635,7001,1636,6996,1638,6991,1638,6982,1636,6975,1635,6965,1631,6958,1628,6951,1624,6948,1621,6944xe" filled="true" fillcolor="#000000" stroked="false">
              <v:path arrowok="t"/>
              <v:fill type="solid"/>
            </v:shape>
            <v:shape style="position:absolute;left:1472;top:7481;width:32;height:82" coordorigin="1472,7481" coordsize="32,82" path="m1504,7562l1474,7562,1474,7563,1504,7563,1504,7562xm1499,7560l1480,7560,1480,7562,1500,7562,1499,7560xm1494,7489l1480,7489,1480,7491,1483,7491,1483,7493,1484,7498,1484,7556,1483,7558,1483,7560,1494,7560,1494,7489xm1494,7481l1490,7481,1472,7489,1472,7491,1474,7491,1476,7489,1494,7489,1494,7481xe" filled="true" fillcolor="#000000" stroked="false">
              <v:path arrowok="t"/>
              <v:fill type="solid"/>
            </v:shape>
            <v:shape style="position:absolute;left:1521;top:7481;width:55;height:82" coordorigin="1521,7481" coordsize="55,82" path="m1564,7542l1555,7542,1555,7563,1564,7563,1564,7542xm1564,7481l1557,7481,1521,7536,1521,7542,1575,7542,1575,7533,1527,7533,1555,7493,1564,7493,1564,7481xm1564,7493l1555,7493,1555,7533,1564,7533,1564,7493xe" filled="true" fillcolor="#000000" stroked="false">
              <v:path arrowok="t"/>
              <v:fill type="solid"/>
            </v:shape>
            <v:shape style="position:absolute;left:1585;top:7481;width:54;height:82" coordorigin="1585,7481" coordsize="54,82" path="m1614,7481l1606,7481,1601,7483,1591,7493,1590,7499,1588,7503,1588,7512,1585,7518,1585,7530,1590,7546,1591,7552,1595,7558,1601,7560,1606,7563,1616,7563,1621,7560,1608,7560,1604,7558,1601,7556,1601,7552,1600,7548,1598,7540,1598,7498,1600,7493,1601,7491,1604,7488,1606,7488,1611,7483,1621,7483,1614,7481xm1621,7483l1612,7483,1614,7485,1616,7485,1618,7488,1621,7491,1622,7493,1622,7498,1624,7502,1624,7508,1626,7513,1626,7528,1624,7536,1624,7543,1622,7548,1622,7552,1621,7554,1618,7558,1616,7560,1622,7560,1624,7558,1628,7554,1631,7550,1635,7546,1635,7540,1636,7536,1638,7530,1638,7522,1636,7513,1635,7503,1631,7498,1628,7491,1621,7483xe" filled="true" fillcolor="#000000" stroked="false">
              <v:path arrowok="t"/>
              <v:fill type="solid"/>
            </v:shape>
            <v:shape style="position:absolute;left:1472;top:8020;width:32;height:84" coordorigin="1472,8020" coordsize="32,84" path="m1504,8101l1474,8101,1474,8103,1504,8103,1504,8101xm1494,8028l1480,8028,1480,8029,1483,8029,1483,8035,1484,8036,1484,8096,1483,8097,1483,8099,1480,8101,1494,8101,1494,8028xm1494,8020l1490,8020,1472,8028,1472,8029,1474,8029,1476,8028,1494,8028,1494,8020xe" filled="true" fillcolor="#000000" stroked="false">
              <v:path arrowok="t"/>
              <v:fill type="solid"/>
            </v:shape>
            <v:shape style="position:absolute;left:1524;top:8020;width:47;height:84" coordorigin="1524,8020" coordsize="47,84" path="m1531,8093l1527,8093,1524,8096,1524,8101,1527,8103,1544,8103,1554,8101,1555,8099,1541,8099,1539,8097,1534,8097,1533,8096,1531,8096,1531,8093xm1561,8026l1544,8026,1550,8028,1551,8029,1555,8032,1555,8035,1557,8036,1557,8049,1555,8050,1555,8053,1551,8055,1551,8056,1547,8059,1544,8060,1537,8060,1537,8063,1547,8063,1551,8066,1554,8066,1560,8073,1560,8075,1561,8076,1561,8090,1557,8093,1557,8096,1555,8097,1551,8097,1547,8099,1555,8099,1557,8097,1564,8093,1568,8090,1570,8085,1571,8080,1571,8073,1568,8065,1561,8059,1557,8056,1555,8055,1561,8050,1564,8046,1565,8040,1568,8036,1568,8035,1564,8029,1561,8026xm1555,8020l1539,8020,1534,8024,1533,8024,1531,8026,1527,8035,1524,8036,1527,8038,1537,8028,1543,8026,1561,8026,1555,8020xe" filled="true" fillcolor="#000000" stroked="false">
              <v:path arrowok="t"/>
              <v:fill type="solid"/>
            </v:shape>
            <v:shape style="position:absolute;left:1585;top:8020;width:54;height:84" coordorigin="1585,8020" coordsize="54,84" path="m1608,8024l1600,8024,1594,8029,1590,8038,1588,8045,1588,8050,1585,8056,1585,8070,1588,8076,1590,8085,1591,8090,1595,8097,1601,8101,1606,8103,1616,8103,1621,8101,1612,8101,1604,8097,1601,8096,1601,8090,1600,8086,1598,8079,1598,8036,1600,8035,1604,8026,1606,8026,1608,8024xm1614,8020l1606,8020,1601,8024,1616,8024,1618,8026,1621,8029,1622,8032,1622,8036,1624,8040,1624,8046,1626,8053,1626,8066,1624,8075,1624,8083,1622,8086,1622,8090,1621,8093,1618,8097,1616,8099,1614,8099,1612,8101,1621,8101,1622,8099,1624,8097,1631,8090,1635,8085,1635,8080,1638,8069,1638,8060,1635,8045,1628,8029,1621,8022,1614,8020xe" filled="true" fillcolor="#000000" stroked="false">
              <v:path arrowok="t"/>
              <v:fill type="solid"/>
            </v:shape>
            <v:shape style="position:absolute;left:1472;top:8559;width:32;height:84" coordorigin="1472,8559" coordsize="32,84" path="m1504,8640l1474,8640,1474,8642,1504,8642,1504,8640xm1494,8567l1480,8567,1480,8569,1483,8569,1483,8573,1484,8575,1484,8634,1483,8636,1483,8637,1480,8640,1494,8640,1494,8567xm1494,8559l1490,8559,1472,8567,1472,8569,1474,8569,1476,8567,1494,8567,1494,8559xe" filled="true" fillcolor="#000000" stroked="false">
              <v:path arrowok="t"/>
              <v:fill type="solid"/>
            </v:shape>
            <v:shape style="position:absolute;left:1521;top:8559;width:55;height:84" coordorigin="1521,8559" coordsize="55,84" path="m1540,8624l1521,8640,1521,8642,1570,8642,1573,8634,1533,8634,1534,8630,1540,8624xm1575,8626l1574,8626,1571,8627,1571,8630,1570,8630,1568,8632,1564,8634,1573,8634,1575,8626xm1541,8623l1540,8624,1541,8624,1541,8623xm1565,8567l1547,8567,1551,8569,1555,8573,1557,8577,1560,8579,1561,8583,1561,8587,1560,8592,1555,8603,1547,8616,1541,8623,1551,8614,1557,8610,1561,8603,1564,8597,1568,8593,1568,8592,1571,8583,1571,8577,1568,8569,1565,8567xm1555,8559l1537,8559,1534,8563,1531,8565,1527,8569,1524,8573,1524,8577,1523,8582,1524,8582,1524,8579,1527,8577,1529,8573,1531,8572,1534,8569,1537,8569,1541,8567,1565,8567,1564,8565,1560,8563,1555,8559xe" filled="true" fillcolor="#000000" stroked="false">
              <v:path arrowok="t"/>
              <v:fill type="solid"/>
            </v:shape>
            <v:shape style="position:absolute;left:1585;top:8559;width:54;height:85" coordorigin="1585,8559" coordsize="54,85" path="m1608,8563l1600,8563,1598,8567,1594,8569,1590,8577,1588,8583,1588,8589,1585,8595,1585,8610,1588,8616,1590,8624,1591,8630,1595,8636,1601,8640,1606,8642,1612,8644,1614,8644,1616,8642,1621,8640,1612,8640,1604,8636,1601,8634,1601,8630,1600,8626,1598,8617,1598,8577,1601,8569,1608,8563xm1614,8559l1606,8559,1601,8563,1616,8563,1618,8565,1618,8567,1622,8572,1622,8575,1624,8579,1624,8586,1626,8592,1626,8606,1624,8614,1624,8622,1622,8626,1622,8630,1621,8634,1616,8637,1614,8637,1612,8640,1621,8640,1622,8637,1624,8636,1628,8634,1631,8630,1635,8624,1635,8620,1638,8607,1638,8599,1635,8583,1631,8575,1628,8569,1621,8562,1614,8559xe" filled="true" fillcolor="#000000" stroked="false">
              <v:path arrowok="t"/>
              <v:fill type="solid"/>
            </v:shape>
            <v:shape style="position:absolute;left:1472;top:9098;width:32;height:83" coordorigin="1472,9098" coordsize="32,83" path="m1504,9180l1474,9180,1474,9181,1504,9181,1504,9180xm1494,9106l1480,9106,1480,9108,1483,9110,1483,9112,1484,9113,1484,9173,1483,9177,1480,9180,1494,9180,1494,9106xm1494,9098l1490,9098,1472,9106,1472,9108,1474,9108,1476,9106,1494,9106,1494,9098xe" filled="true" fillcolor="#000000" stroked="false">
              <v:path arrowok="t"/>
              <v:fill type="solid"/>
            </v:shape>
            <v:shape style="position:absolute;left:1529;top:9098;width:32;height:83" coordorigin="1529,9098" coordsize="32,83" path="m1561,9180l1531,9180,1531,9181,1561,9181,1561,9180xm1551,9106l1537,9106,1537,9108,1539,9110,1539,9112,1541,9113,1541,9173,1539,9177,1537,9180,1551,9180,1551,9106xm1551,9098l1547,9098,1529,9106,1529,9108,1531,9108,1533,9106,1551,9106,1551,9098xe" filled="true" fillcolor="#000000" stroked="false">
              <v:path arrowok="t"/>
              <v:fill type="solid"/>
            </v:shape>
            <v:shape style="position:absolute;left:1581;top:9098;width:51;height:85" coordorigin="1581,9098" coordsize="51,85" path="m1601,9102l1594,9102,1591,9106,1590,9108,1588,9112,1584,9116,1584,9122,1581,9129,1581,9157,1584,9163,1591,9174,1595,9180,1601,9181,1606,9183,1608,9183,1612,9181,1614,9180,1606,9180,1601,9177,1600,9177,1594,9164,1594,9157,1591,9150,1591,9137,1594,9133,1594,9112,1598,9108,1598,9106,1601,9103,1601,9102xm1606,9098l1604,9098,1601,9100,1598,9102,1612,9102,1612,9103,1618,9110,1618,9120,1621,9124,1621,9153,1618,9160,1618,9169,1616,9173,1612,9177,1608,9177,1608,9180,1614,9180,1618,9177,1621,9174,1624,9173,1626,9169,1628,9163,1631,9159,1631,9153,1632,9146,1632,9140,1631,9130,1631,9122,1626,9113,1622,9108,1614,9100,1611,9100,1606,9098xe" filled="true" fillcolor="#000000" stroked="false">
              <v:path arrowok="t"/>
              <v:fill type="solid"/>
            </v:shape>
            <v:shape style="position:absolute;left:1233;top:5415;width:51;height:85" coordorigin="1233,5415" coordsize="51,85" path="m1274,5451l1261,5451,1263,5453,1267,5455,1271,5463,1271,5469,1274,5472,1274,5482,1270,5489,1263,5496,1247,5496,1250,5497,1253,5499,1257,5499,1263,5497,1270,5497,1277,5489,1280,5486,1284,5482,1284,5462,1280,5457,1277,5453,1274,5451xm1276,5419l1266,5419,1253,5425,1245,5432,1240,5439,1239,5441,1237,5446,1233,5455,1233,5475,1235,5482,1239,5489,1243,5496,1253,5496,1250,5493,1250,5492,1247,5489,1247,5486,1245,5482,1245,5475,1243,5473,1243,5469,1245,5466,1245,5457,1247,5457,1250,5453,1245,5453,1247,5449,1247,5445,1250,5441,1250,5439,1253,5436,1256,5432,1263,5425,1267,5422,1270,5422,1271,5421,1276,5419xm1247,5457l1245,5457,1245,5459,1247,5457xm1267,5446l1260,5446,1253,5449,1245,5453,1253,5453,1256,5451,1274,5451,1271,5449,1267,5446xm1284,5415l1277,5415,1270,5419,1284,5419,1284,5415xe" filled="true" fillcolor="#00ff00" stroked="false">
              <v:path arrowok="t"/>
              <v:fill type="solid"/>
            </v:shape>
            <v:shape style="position:absolute;left:1291;top:5415;width:56;height:83" coordorigin="1291,5415" coordsize="56,83" path="m1337,5425l1320,5425,1330,5435,1330,5449,1328,5455,1327,5459,1318,5472,1310,5479,1301,5489,1291,5497,1341,5497,1344,5489,1304,5489,1328,5466,1332,5459,1337,5451,1338,5449,1341,5445,1341,5429,1337,5425xm1347,5483l1344,5483,1342,5486,1341,5486,1341,5487,1338,5489,1344,5489,1347,5483xm1322,5415l1312,5415,1304,5419,1297,5425,1294,5432,1294,5439,1296,5435,1304,5426,1308,5425,1337,5425,1330,5419,1322,5415xe" filled="true" fillcolor="#00ff00" stroked="false">
              <v:path arrowok="t"/>
              <v:fill type="solid"/>
            </v:shape>
            <v:shape style="position:absolute;left:1233;top:5776;width:51;height:83" coordorigin="1233,5776" coordsize="51,83" path="m1267,5806l1260,5806,1253,5807,1245,5811,1263,5811,1270,5818,1271,5821,1271,5828,1274,5831,1274,5841,1271,5844,1267,5851,1266,5851,1263,5854,1247,5854,1250,5858,1263,5858,1270,5856,1277,5848,1280,5844,1284,5840,1284,5821,1280,5816,1277,5811,1274,5810,1271,5807,1267,5806xm1271,5780l1261,5780,1257,5781,1253,5786,1249,5787,1245,5791,1240,5797,1235,5810,1233,5816,1233,5836,1235,5841,1243,5854,1253,5854,1250,5851,1250,5850,1247,5848,1247,5844,1245,5841,1245,5836,1243,5831,1243,5828,1245,5824,1245,5816,1246,5816,1250,5811,1245,5811,1247,5807,1247,5806,1250,5801,1250,5797,1253,5796,1256,5791,1263,5783,1267,5781,1270,5781,1271,5780xm1246,5816l1245,5816,1245,5818,1246,5816xm1284,5776l1274,5776,1266,5780,1276,5780,1280,5777,1284,5777,1284,5776xe" filled="true" fillcolor="#00ff00" stroked="false">
              <v:path arrowok="t"/>
              <v:fill type="solid"/>
            </v:shape>
            <v:shape style="position:absolute;left:1294;top:5776;width:54;height:83" coordorigin="1294,5776" coordsize="54,83" path="m1317,5780l1308,5780,1306,5781,1304,5786,1300,5787,1297,5793,1297,5797,1296,5806,1294,5811,1294,5826,1296,5831,1297,5840,1300,5847,1304,5851,1310,5854,1314,5858,1324,5858,1328,5854,1317,5854,1314,5851,1310,5850,1310,5847,1308,5841,1308,5834,1306,5828,1306,5813,1308,5807,1308,5787,1310,5786,1312,5781,1314,5781,1317,5780xm1324,5776l1314,5776,1310,5780,1324,5780,1327,5781,1328,5781,1330,5786,1330,5791,1332,5796,1334,5801,1334,5830,1332,5838,1330,5841,1330,5848,1328,5851,1327,5851,1324,5854,1330,5854,1334,5851,1337,5848,1341,5844,1344,5836,1344,5830,1347,5824,1347,5816,1344,5807,1344,5797,1337,5786,1328,5777,1324,5776xe" filled="true" fillcolor="#00ff00" stroked="false">
              <v:path arrowok="t"/>
              <v:fill type="solid"/>
            </v:shape>
            <v:shape style="position:absolute;left:1233;top:6134;width:47;height:85" coordorigin="1233,6134" coordsize="47,85" path="m1253,6216l1240,6216,1243,6219,1250,6219,1253,6216xm1261,6215l1237,6215,1237,6216,1257,6216,1261,6215xm1240,6206l1237,6206,1233,6211,1235,6215,1263,6215,1267,6211,1247,6211,1245,6209,1240,6209,1240,6206xm1280,6134l1250,6134,1235,6165,1240,6165,1245,6168,1249,6168,1261,6174,1263,6178,1267,6181,1267,6182,1271,6191,1271,6199,1270,6201,1267,6205,1261,6211,1267,6211,1274,6205,1276,6201,1277,6199,1277,6195,1280,6191,1280,6189,1277,6182,1277,6178,1274,6172,1271,6168,1261,6161,1245,6155,1250,6144,1276,6144,1280,6134xe" filled="true" fillcolor="#00ff00" stroked="false">
              <v:path arrowok="t"/>
              <v:fill type="solid"/>
            </v:shape>
            <v:shape style="position:absolute;left:1297;top:6134;width:47;height:85" coordorigin="1297,6134" coordsize="47,85" path="m1328,6134l1310,6134,1308,6138,1304,6140,1301,6142,1297,6150,1297,6155,1300,6158,1300,6164,1301,6165,1306,6168,1308,6172,1314,6176,1312,6176,1308,6178,1304,6182,1301,6186,1297,6191,1297,6205,1300,6209,1306,6215,1314,6219,1324,6219,1328,6216,1334,6215,1318,6215,1314,6211,1310,6209,1310,6205,1308,6201,1308,6195,1310,6192,1310,6185,1312,6182,1314,6182,1316,6180,1314,6178,1333,6178,1330,6176,1324,6172,1330,6171,1322,6171,1314,6162,1314,6161,1310,6155,1310,6144,1317,6138,1332,6138,1328,6134xm1333,6178l1317,6178,1316,6180,1324,6189,1328,6191,1330,6195,1330,6199,1332,6201,1332,6205,1330,6206,1330,6209,1327,6212,1324,6212,1322,6215,1334,6215,1337,6211,1341,6209,1344,6201,1344,6195,1342,6191,1341,6189,1338,6185,1333,6178xm1337,6138l1324,6138,1330,6144,1330,6158,1328,6161,1328,6162,1327,6164,1324,6168,1322,6171,1330,6171,1338,6162,1341,6158,1341,6155,1342,6154,1342,6148,1341,6144,1338,6142,1337,6138xe" filled="true" fillcolor="#00ff00" stroked="false">
              <v:path arrowok="t"/>
              <v:fill type="solid"/>
            </v:shape>
            <v:shape style="position:absolute;left:1233;top:6495;width:47;height:83" coordorigin="1233,6495" coordsize="47,83" path="m1253,6576l1240,6576,1243,6577,1250,6577,1253,6576xm1240,6566l1237,6566,1233,6570,1233,6571,1237,6576,1261,6576,1266,6571,1250,6571,1247,6570,1245,6567,1240,6567,1240,6566xm1280,6495l1250,6495,1235,6525,1240,6525,1245,6526,1249,6526,1257,6530,1263,6536,1267,6539,1267,6541,1271,6549,1271,6557,1270,6561,1261,6570,1257,6571,1266,6571,1276,6561,1277,6557,1277,6553,1280,6549,1280,6547,1277,6541,1277,6536,1274,6530,1271,6526,1261,6519,1245,6515,1250,6505,1276,6505,1280,6495xe" filled="true" fillcolor="#00ff00" stroked="false">
              <v:path arrowok="t"/>
              <v:fill type="solid"/>
            </v:shape>
            <v:shape style="position:absolute;left:1294;top:6492;width:54;height:85" coordorigin="1294,6492" coordsize="54,85" path="m1341,6495l1330,6495,1328,6496,1320,6500,1314,6503,1310,6506,1308,6510,1300,6519,1297,6525,1297,6526,1294,6539,1294,6546,1296,6553,1297,6559,1300,6567,1306,6571,1308,6573,1317,6577,1320,6577,1324,6576,1330,6576,1334,6573,1320,6573,1318,6571,1314,6571,1312,6567,1308,6563,1308,6553,1306,6551,1306,6546,1308,6541,1308,6535,1310,6535,1310,6530,1308,6530,1308,6526,1312,6519,1314,6516,1314,6515,1318,6510,1318,6509,1320,6505,1324,6505,1327,6500,1328,6500,1330,6499,1334,6499,1337,6496,1341,6495xm1339,6529l1322,6529,1327,6530,1328,6533,1334,6546,1334,6563,1330,6567,1330,6570,1328,6571,1327,6571,1324,6573,1334,6573,1337,6571,1341,6567,1342,6563,1344,6557,1347,6556,1347,6546,1344,6539,1341,6530,1339,6529xm1332,6525l1317,6525,1310,6526,1308,6530,1317,6530,1318,6529,1339,6529,1337,6526,1332,6525xm1344,6492l1338,6492,1334,6495,1344,6495,1344,6492xe" filled="true" fillcolor="#00ff00" stroked="false">
              <v:path arrowok="t"/>
              <v:fill type="solid"/>
            </v:shape>
            <v:shape style="position:absolute;left:1233;top:6853;width:47;height:83" coordorigin="1233,6853" coordsize="47,83" path="m1253,6934l1240,6934,1243,6936,1250,6936,1253,6934xm1247,6928l1233,6928,1233,6930,1237,6934,1261,6934,1265,6930,1250,6930,1247,6928xm1280,6853l1250,6853,1235,6884,1240,6884,1249,6887,1253,6887,1257,6891,1261,6894,1263,6895,1267,6897,1267,6901,1270,6904,1271,6908,1271,6915,1270,6920,1261,6928,1257,6930,1265,6930,1267,6928,1270,6928,1271,6924,1277,6918,1277,6912,1280,6908,1280,6905,1277,6901,1277,6895,1274,6891,1271,6887,1261,6877,1245,6873,1250,6864,1276,6864,1280,6853xm1240,6924l1237,6924,1235,6925,1235,6928,1243,6928,1240,6925,1240,6924xe" filled="true" fillcolor="#00ff00" stroked="false">
              <v:path arrowok="t"/>
              <v:fill type="solid"/>
            </v:shape>
            <v:shape style="position:absolute;left:1291;top:6851;width:56;height:84" coordorigin="1291,6851" coordsize="56,84" path="m1334,6914l1324,6914,1324,6934,1334,6934,1334,6914xm1334,6851l1328,6851,1291,6908,1291,6914,1347,6914,1347,6905,1297,6905,1324,6865,1334,6865,1334,6851xm1334,6865l1324,6865,1324,6905,1334,6905,1334,6865xe" filled="true" fillcolor="#00ff00" stroked="false">
              <v:path arrowok="t"/>
              <v:fill type="solid"/>
            </v:shape>
            <v:shape style="position:absolute;left:1233;top:7211;width:47;height:84" coordorigin="1233,7211" coordsize="47,84" path="m1247,7286l1233,7286,1233,7289,1237,7293,1237,7295,1257,7295,1261,7293,1263,7290,1266,7290,1266,7289,1250,7289,1247,7286xm1280,7211l1250,7211,1235,7245,1245,7245,1261,7252,1267,7258,1267,7260,1271,7269,1271,7275,1270,7279,1267,7280,1266,7285,1263,7285,1261,7286,1257,7289,1266,7289,1267,7286,1270,7286,1271,7285,1274,7280,1277,7276,1277,7270,1280,7269,1280,7265,1277,7260,1277,7254,1274,7249,1271,7246,1266,7239,1253,7234,1245,7234,1250,7222,1276,7222,1280,7211xm1240,7285l1235,7285,1235,7286,1243,7286,1240,7285xe" filled="true" fillcolor="#00ff00" stroked="false">
              <v:path arrowok="t"/>
              <v:fill type="solid"/>
            </v:shape>
            <v:shape style="position:absolute;left:1291;top:7211;width:56;height:84" coordorigin="1291,7211" coordsize="56,84" path="m1336,7219l1320,7219,1330,7229,1330,7245,1328,7249,1327,7254,1322,7260,1318,7269,1310,7275,1301,7285,1291,7293,1291,7295,1341,7295,1344,7285,1304,7285,1328,7260,1332,7254,1337,7246,1338,7245,1341,7239,1341,7224,1336,7219xm1347,7279l1344,7279,1342,7280,1341,7280,1341,7282,1338,7285,1344,7285,1347,7279xm1327,7211l1308,7211,1304,7214,1297,7219,1294,7228,1294,7234,1296,7229,1304,7222,1308,7219,1336,7219,1330,7214,1327,7211xe" filled="true" fillcolor="#00ff00" stroked="false">
              <v:path arrowok="t"/>
              <v:fill type="solid"/>
            </v:shape>
            <v:shape style="position:absolute;left:1233;top:7570;width:47;height:84" coordorigin="1233,7570" coordsize="47,84" path="m1261,7651l1237,7651,1237,7654,1257,7654,1261,7651xm1240,7643l1235,7643,1235,7645,1233,7647,1235,7651,1263,7651,1267,7647,1247,7647,1245,7645,1243,7645,1240,7643xm1280,7570l1250,7570,1235,7603,1240,7603,1245,7604,1249,7604,1261,7610,1267,7617,1267,7619,1271,7627,1271,7633,1266,7643,1263,7643,1261,7647,1267,7647,1274,7641,1276,7637,1277,7635,1277,7631,1280,7627,1280,7623,1277,7619,1277,7613,1274,7609,1271,7604,1266,7600,1261,7597,1245,7593,1250,7580,1276,7580,1280,7570xe" filled="true" fillcolor="#00ff00" stroked="false">
              <v:path arrowok="t"/>
              <v:fill type="solid"/>
            </v:shape>
            <v:shape style="position:absolute;left:1294;top:7570;width:54;height:84" coordorigin="1294,7570" coordsize="54,84" path="m1317,7574l1308,7574,1306,7576,1304,7580,1300,7584,1297,7589,1297,7594,1294,7607,1294,7620,1296,7627,1297,7635,1300,7641,1304,7647,1310,7651,1314,7654,1324,7654,1328,7651,1320,7651,1317,7650,1314,7647,1310,7645,1310,7641,1308,7637,1308,7630,1306,7623,1306,7609,1308,7604,1308,7584,1312,7576,1314,7576,1317,7574xm1324,7570l1314,7570,1310,7574,1324,7574,1327,7576,1328,7576,1330,7580,1330,7587,1332,7590,1334,7597,1334,7624,1332,7633,1330,7637,1330,7643,1328,7647,1327,7647,1324,7650,1322,7650,1320,7651,1328,7651,1330,7650,1334,7647,1337,7643,1341,7641,1342,7635,1344,7631,1344,7624,1347,7619,1347,7610,1344,7603,1344,7594,1341,7587,1337,7580,1328,7572,1324,7570xe" filled="true" fillcolor="#00ff00" stroked="false">
              <v:path arrowok="t"/>
              <v:fill type="solid"/>
            </v:shape>
            <v:shape style="position:absolute;left:1230;top:7928;width:54;height:84" coordorigin="1230,7928" coordsize="54,84" path="m1274,7989l1263,7989,1263,8012,1274,8012,1274,7989xm1274,7928l1266,7928,1230,7984,1230,7989,1284,7989,1284,7984,1235,7984,1263,7941,1274,7941,1274,7928xm1274,7941l1263,7941,1263,7984,1274,7984,1274,7941xe" filled="true" fillcolor="#00ff00" stroked="false">
              <v:path arrowok="t"/>
              <v:fill type="solid"/>
            </v:shape>
            <v:shape style="position:absolute;left:1297;top:7928;width:47;height:87" coordorigin="1297,7928" coordsize="47,87" path="m1324,7928l1314,7928,1310,7931,1308,7933,1304,7934,1301,7937,1297,7945,1297,7951,1300,7954,1300,7959,1301,7961,1306,7964,1308,7968,1314,7971,1312,7971,1308,7974,1304,7978,1301,7981,1300,7984,1297,7988,1297,7999,1301,8008,1314,8014,1324,8014,1328,8012,1334,8009,1318,8009,1314,8006,1310,8004,1310,7999,1308,7998,1308,7989,1310,7988,1310,7979,1312,7978,1314,7978,1316,7975,1314,7974,1333,7974,1330,7971,1324,7968,1330,7965,1322,7965,1314,7957,1314,7955,1310,7951,1310,7939,1317,7933,1332,7933,1324,7928xm1333,7974l1317,7974,1316,7975,1330,7989,1330,7994,1332,7996,1332,7999,1330,8002,1330,8004,1328,8008,1324,8008,1322,8009,1334,8009,1341,8004,1342,7999,1344,7998,1344,7989,1342,7988,1338,7979,1333,7974xm1337,7933l1324,7933,1330,7939,1330,7954,1328,7955,1328,7957,1327,7959,1324,7964,1322,7965,1330,7965,1338,7957,1341,7954,1341,7951,1342,7951,1342,7944,1341,7941,1337,7933xe" filled="true" fillcolor="#00ff00" stroked="false">
              <v:path arrowok="t"/>
              <v:fill type="solid"/>
            </v:shape>
            <v:shape style="position:absolute;left:1230;top:8288;width:54;height:83" coordorigin="1230,8288" coordsize="54,83" path="m1274,8350l1263,8350,1263,8370,1274,8370,1274,8350xm1274,8288l1266,8288,1230,8343,1230,8350,1284,8350,1284,8342,1235,8342,1263,8299,1274,8299,1274,8288xm1274,8299l1263,8299,1263,8342,1274,8342,1274,8299xe" filled="true" fillcolor="#00ff00" stroked="false">
              <v:path arrowok="t"/>
              <v:fill type="solid"/>
            </v:shape>
            <v:shape style="position:absolute;left:1294;top:8288;width:54;height:85" coordorigin="1294,8288" coordsize="54,85" path="m1341,8289l1330,8289,1328,8292,1320,8295,1314,8298,1310,8302,1308,8306,1300,8313,1297,8320,1297,8323,1296,8328,1294,8333,1294,8340,1296,8349,1297,8354,1300,8363,1306,8367,1308,8369,1317,8373,1320,8373,1324,8370,1330,8370,1333,8369,1320,8369,1318,8367,1314,8367,1312,8363,1308,8359,1308,8349,1306,8346,1306,8340,1308,8336,1308,8330,1310,8330,1310,8326,1308,8326,1308,8322,1312,8313,1314,8312,1314,8310,1318,8306,1318,8303,1320,8299,1324,8299,1330,8293,1334,8293,1337,8292,1341,8289xm1337,8323l1322,8323,1327,8326,1328,8328,1334,8340,1334,8359,1330,8363,1330,8364,1328,8367,1327,8367,1324,8369,1333,8369,1337,8367,1341,8363,1347,8350,1347,8340,1344,8333,1341,8326,1337,8323xm1332,8320l1317,8320,1310,8323,1308,8326,1317,8326,1318,8323,1337,8323,1332,8320xm1344,8288l1338,8288,1334,8289,1344,8289,1344,8288xe" filled="true" fillcolor="#00ff00" stroked="false">
              <v:path arrowok="t"/>
              <v:fill type="solid"/>
            </v:shape>
            <v:shape style="position:absolute;left:1230;top:8646;width:54;height:83" coordorigin="1230,8646" coordsize="54,83" path="m1274,8708l1263,8708,1263,8729,1274,8729,1274,8708xm1274,8646l1266,8646,1230,8703,1230,8708,1284,8708,1284,8701,1235,8701,1263,8660,1274,8660,1274,8646xm1274,8660l1263,8660,1263,8701,1274,8701,1274,8660xe" filled="true" fillcolor="#00ff00" stroked="false">
              <v:path arrowok="t"/>
              <v:fill type="solid"/>
            </v:shape>
            <v:shape style="position:absolute;left:1291;top:8646;width:56;height:83" coordorigin="1291,8646" coordsize="56,83" path="m1334,8708l1324,8708,1324,8729,1334,8729,1334,8708xm1334,8646l1328,8646,1291,8703,1291,8708,1347,8708,1347,8701,1297,8701,1324,8660,1334,8660,1334,8646xm1334,8660l1324,8660,1324,8701,1334,8701,1334,8660xe" filled="true" fillcolor="#00ff00" stroked="false">
              <v:path arrowok="t"/>
              <v:fill type="solid"/>
            </v:shape>
            <v:shape style="position:absolute;left:1230;top:9007;width:54;height:83" coordorigin="1230,9007" coordsize="54,83" path="m1274,9068l1263,9068,1263,9090,1274,9090,1274,9068xm1274,9007l1266,9007,1230,9061,1230,9068,1284,9068,1284,9059,1235,9059,1263,9018,1274,9018,1274,9007xm1274,9018l1263,9018,1263,9059,1274,9059,1274,9018xe" filled="true" fillcolor="#00ff00" stroked="false">
              <v:path arrowok="t"/>
              <v:fill type="solid"/>
            </v:shape>
            <v:shape style="position:absolute;left:1291;top:9007;width:56;height:83" coordorigin="1291,9007" coordsize="56,83" path="m1336,9015l1318,9015,1320,9017,1324,9018,1328,9023,1330,9028,1330,9039,1328,9045,1327,9049,1322,9055,1318,9063,1310,9069,1301,9080,1291,9088,1291,9090,1341,9090,1344,9080,1304,9080,1328,9055,1332,9049,1337,9041,1338,9039,1341,9035,1341,9018,1337,9017,1336,9015xm1347,9073l1344,9073,1342,9076,1341,9076,1341,9078,1338,9080,1344,9080,1347,9073xm1327,9007l1308,9007,1304,9008,1300,9012,1297,9017,1296,9018,1294,9023,1294,9029,1296,9028,1297,9023,1304,9017,1308,9017,1310,9015,1336,9015,1334,9012,1330,9008,1327,9007xe" filled="true" fillcolor="#00ff00" stroked="false">
              <v:path arrowok="t"/>
              <v:fill type="solid"/>
            </v:shape>
            <v:shape style="position:absolute;left:1230;top:9366;width:54;height:83" coordorigin="1230,9366" coordsize="54,83" path="m1274,9426l1263,9426,1263,9448,1274,9448,1274,9426xm1274,9366l1266,9366,1230,9420,1230,9426,1284,9426,1284,9420,1235,9420,1263,9377,1274,9377,1274,9366xm1274,9377l1263,9377,1263,9420,1274,9420,1274,9377xe" filled="true" fillcolor="#00ff00" stroked="false">
              <v:path arrowok="t"/>
              <v:fill type="solid"/>
            </v:shape>
            <v:shape style="position:absolute;left:1294;top:9366;width:54;height:83" coordorigin="1294,9366" coordsize="54,83" path="m1317,9369l1308,9369,1306,9373,1300,9379,1297,9383,1297,9390,1294,9402,1294,9416,1296,9422,1297,9430,1300,9437,1304,9443,1310,9447,1314,9448,1324,9448,1328,9447,1320,9447,1317,9444,1314,9443,1310,9440,1310,9437,1308,9433,1308,9424,1306,9418,1306,9404,1308,9400,1308,9379,1310,9376,1317,9369xm1324,9366l1314,9366,1310,9369,1324,9369,1330,9376,1330,9382,1332,9386,1334,9392,1334,9420,1332,9427,1330,9433,1330,9440,1328,9443,1327,9443,1324,9444,1322,9444,1320,9447,1328,9447,1330,9444,1334,9443,1341,9437,1342,9430,1344,9426,1344,9420,1347,9414,1347,9406,1344,9397,1344,9390,1341,9382,1337,9376,1328,9367,1324,9366xe" filled="true" fillcolor="#00ff00" stroked="false">
              <v:path arrowok="t"/>
              <v:fill type="solid"/>
            </v:shape>
            <v:line style="position:absolute" from="1611,5095" to="1641,5095" stroked="true" strokeweight=".522839pt" strokecolor="#000000"/>
            <v:shape style="position:absolute;left:1661;top:5040;width:28;height:83" coordorigin="1661,5040" coordsize="28,83" path="m1681,5048l1669,5048,1669,5050,1671,5051,1671,5118,1669,5121,1669,5122,1689,5122,1686,5121,1683,5121,1683,5118,1681,5118,1681,5048xm1681,5040l1679,5040,1661,5048,1661,5050,1665,5048,1681,5048,1681,5040xe" filled="true" fillcolor="#000000" stroked="false">
              <v:path arrowok="t"/>
              <v:fill type="solid"/>
            </v:shape>
            <v:shape style="position:absolute;left:1712;top:5040;width:52;height:85" coordorigin="1712,5040" coordsize="52,85" path="m1737,5040l1733,5040,1732,5041,1727,5044,1717,5054,1716,5058,1716,5064,1712,5076,1712,5090,1713,5098,1716,5105,1717,5112,1722,5117,1727,5121,1732,5122,1737,5125,1740,5125,1742,5122,1746,5121,1737,5121,1733,5118,1732,5118,1727,5115,1727,5112,1726,5107,1726,5098,1723,5092,1723,5078,1726,5074,1726,5054,1727,5050,1732,5046,1733,5046,1736,5044,1748,5044,1746,5041,1742,5041,1737,5040xm1748,5044l1737,5044,1742,5046,1743,5046,1743,5048,1747,5050,1747,5056,1750,5061,1753,5066,1753,5094,1750,5102,1747,5108,1747,5115,1743,5117,1743,5118,1740,5118,1737,5121,1746,5121,1747,5118,1753,5117,1758,5111,1760,5105,1763,5101,1763,5094,1764,5088,1764,5081,1763,5072,1763,5064,1758,5056,1754,5050,1748,5044xe" filled="true" fillcolor="#000000" stroked="false">
              <v:path arrowok="t"/>
              <v:fill type="solid"/>
            </v:shape>
            <v:shape style="position:absolute;left:2077;top:5040;width:52;height:85" coordorigin="2077,5040" coordsize="52,85" path="m2102,5040l2099,5040,2097,5041,2092,5044,2088,5048,2084,5050,2081,5058,2078,5064,2078,5070,2077,5076,2077,5090,2078,5098,2081,5105,2082,5112,2087,5117,2092,5121,2097,5122,2102,5125,2105,5125,2107,5122,2111,5121,2102,5121,2099,5118,2094,5118,2092,5115,2092,5112,2091,5107,2088,5098,2088,5058,2092,5050,2097,5046,2099,5046,2101,5044,2113,5044,2111,5041,2105,5041,2102,5040xm2113,5044l2102,5044,2105,5046,2109,5046,2109,5048,2112,5050,2112,5056,2115,5061,2115,5066,2117,5072,2117,5088,2115,5094,2115,5102,2112,5108,2112,5115,2109,5117,2109,5118,2105,5118,2102,5121,2111,5121,2112,5118,2115,5117,2119,5115,2122,5111,2125,5105,2125,5101,2129,5088,2129,5081,2127,5072,2122,5056,2119,5050,2113,5044xe" filled="true" fillcolor="#000000" stroked="false">
              <v:path arrowok="t"/>
              <v:fill type="solid"/>
            </v:shape>
            <v:shape style="position:absolute;left:2452;top:5040;width:28;height:83" coordorigin="2452,5040" coordsize="28,83" path="m2473,5048l2459,5048,2459,5050,2462,5051,2462,5054,2463,5056,2463,5115,2462,5118,2459,5121,2459,5122,2480,5122,2477,5121,2473,5121,2473,5048xm2473,5040l2470,5040,2452,5048,2452,5050,2453,5050,2456,5048,2473,5048,2473,5040xe" filled="true" fillcolor="#000000" stroked="false">
              <v:path arrowok="t"/>
              <v:fill type="solid"/>
            </v:shape>
            <v:shape style="position:absolute;left:2503;top:5040;width:52;height:85" coordorigin="2503,5040" coordsize="52,85" path="m2528,5040l2527,5040,2523,5041,2520,5044,2516,5046,2513,5050,2510,5054,2506,5058,2506,5064,2503,5076,2503,5090,2504,5098,2506,5105,2513,5117,2518,5121,2523,5122,2528,5125,2530,5125,2533,5122,2537,5121,2528,5121,2524,5118,2523,5118,2520,5115,2518,5112,2516,5107,2516,5098,2514,5092,2514,5078,2516,5074,2516,5054,2520,5050,2520,5048,2523,5046,2524,5046,2527,5044,2539,5044,2537,5041,2533,5041,2528,5040xm2539,5044l2530,5044,2533,5046,2534,5046,2538,5050,2538,5056,2540,5061,2543,5066,2543,5094,2540,5102,2538,5108,2538,5115,2534,5118,2530,5118,2530,5121,2537,5121,2538,5118,2543,5117,2547,5115,2548,5111,2551,5105,2553,5101,2553,5094,2555,5088,2555,5081,2553,5072,2553,5064,2548,5056,2544,5050,2539,5044xe" filled="true" fillcolor="#000000" stroked="false">
              <v:path arrowok="t"/>
              <v:fill type="solid"/>
            </v:shape>
            <v:shape style="position:absolute;left:2834;top:5040;width:55;height:83" coordorigin="2834,5040" coordsize="55,83" path="m2878,5048l2861,5048,2862,5050,2867,5051,2869,5056,2872,5060,2872,5072,2869,5084,2861,5097,2834,5122,2883,5122,2886,5115,2847,5115,2859,5102,2865,5094,2871,5090,2875,5084,2877,5078,2879,5076,2883,5068,2883,5054,2879,5050,2878,5048xm2889,5108l2885,5108,2883,5111,2883,5112,2879,5112,2877,5115,2886,5115,2889,5108xm2865,5040l2855,5040,2842,5046,2837,5058,2837,5061,2842,5056,2845,5051,2847,5051,2851,5050,2852,5048,2878,5048,2877,5046,2865,5040xe" filled="true" fillcolor="#000000" stroked="false">
              <v:path arrowok="t"/>
              <v:fill type="solid"/>
            </v:shape>
            <v:shape style="position:absolute;left:2899;top:5040;width:51;height:85" coordorigin="2899,5040" coordsize="51,85" path="m2923,5040l2922,5040,2919,5041,2916,5044,2913,5046,2909,5048,2908,5050,2903,5058,2899,5070,2899,5098,2903,5105,2905,5112,2913,5121,2919,5122,2923,5125,2928,5125,2929,5122,2933,5121,2923,5121,2919,5118,2918,5118,2916,5115,2913,5112,2913,5107,2912,5098,2909,5092,2909,5078,2912,5074,2912,5058,2916,5050,2919,5046,2923,5044,2935,5044,2933,5041,2928,5041,2923,5040xm2935,5044l2926,5044,2928,5046,2929,5046,2936,5051,2936,5061,2939,5066,2940,5072,2940,5088,2939,5094,2936,5102,2936,5112,2929,5118,2928,5118,2926,5121,2933,5121,2936,5118,2939,5117,2942,5115,2944,5111,2946,5105,2949,5101,2950,5094,2950,5072,2949,5064,2944,5056,2940,5050,2936,5046,2935,5044xe" filled="true" fillcolor="#000000" stroked="false">
              <v:path arrowok="t"/>
              <v:fill type="solid"/>
            </v:shape>
            <v:shape style="position:absolute;left:3234;top:5040;width:47;height:85" coordorigin="3234,5040" coordsize="47,85" path="m3254,5122l3240,5122,3244,5125,3248,5125,3254,5122xm3243,5115l3234,5115,3234,5122,3263,5122,3268,5118,3246,5118,3243,5115xm3270,5048l3258,5048,3260,5051,3264,5051,3264,5056,3268,5060,3268,5066,3267,5066,3267,5068,3264,5072,3258,5078,3254,5080,3253,5080,3248,5081,3250,5081,3254,5084,3257,5084,3258,5087,3260,5087,3263,5088,3264,5088,3268,5092,3268,5094,3270,5098,3270,5111,3264,5117,3260,5118,3268,5118,3277,5111,3278,5105,3280,5102,3280,5092,3278,5088,3277,5087,3274,5081,3268,5076,3264,5076,3270,5072,3274,5066,3274,5061,3277,5058,3277,5056,3274,5051,3270,5048xm3260,5040l3253,5040,3244,5044,3238,5050,3234,5058,3236,5058,3244,5050,3248,5048,3270,5048,3268,5044,3260,5040xe" filled="true" fillcolor="#000000" stroked="false">
              <v:path arrowok="t"/>
              <v:fill type="solid"/>
            </v:shape>
            <v:shape style="position:absolute;left:3295;top:5040;width:54;height:85" coordorigin="3295,5040" coordsize="54,85" path="m3321,5040l3317,5040,3315,5041,3311,5044,3301,5054,3298,5058,3297,5064,3297,5070,3295,5076,3295,5090,3297,5098,3298,5105,3301,5112,3305,5117,3311,5121,3315,5122,3321,5125,3324,5125,3325,5122,3329,5121,3321,5121,3317,5118,3315,5118,3311,5115,3311,5112,3308,5107,3307,5098,3307,5058,3311,5050,3315,5046,3317,5046,3318,5044,3331,5044,3329,5041,3325,5041,3321,5040xm3331,5044l3321,5044,3325,5046,3327,5046,3327,5048,3331,5050,3331,5056,3334,5061,3334,5066,3335,5072,3335,5088,3334,5094,3334,5102,3331,5108,3331,5115,3327,5117,3327,5118,3324,5118,3321,5121,3329,5121,3331,5118,3334,5117,3338,5115,3341,5111,3344,5105,3344,5101,3348,5088,3348,5081,3341,5056,3338,5050,3331,5044xe" filled="true" fillcolor="#000000" stroked="false">
              <v:path arrowok="t"/>
              <v:fill type="solid"/>
            </v:shape>
            <v:shape style="position:absolute;left:3597;top:5040;width:55;height:83" coordorigin="3597,5040" coordsize="55,83" path="m3639,5102l3629,5102,3629,5122,3639,5122,3639,5102xm3639,5040l3632,5040,3597,5094,3597,5102,3652,5102,3652,5094,3601,5094,3629,5051,3639,5051,3639,5040xm3639,5051l3629,5051,3629,5094,3639,5094,3639,5051xe" filled="true" fillcolor="#000000" stroked="false">
              <v:path arrowok="t"/>
              <v:fill type="solid"/>
            </v:shape>
            <v:shape style="position:absolute;left:3662;top:5040;width:51;height:85" coordorigin="3662,5040" coordsize="51,85" path="m3686,5040l3684,5040,3682,5041,3673,5046,3669,5050,3666,5058,3662,5070,3662,5098,3666,5105,3668,5112,3676,5121,3682,5122,3686,5125,3689,5125,3692,5122,3694,5121,3686,5121,3682,5118,3680,5118,3679,5115,3676,5112,3673,5107,3673,5098,3672,5092,3672,5078,3673,5074,3673,5054,3679,5050,3679,5048,3682,5046,3684,5044,3696,5044,3694,5041,3690,5041,3686,5040xm3696,5044l3689,5044,3690,5046,3692,5046,3699,5051,3699,5061,3700,5066,3702,5072,3702,5088,3700,5094,3699,5102,3699,5112,3692,5118,3689,5118,3689,5121,3694,5121,3699,5118,3700,5117,3704,5115,3706,5111,3709,5105,3710,5101,3713,5094,3713,5072,3710,5064,3706,5056,3702,5050,3696,5044xe" filled="true" fillcolor="#000000" stroked="false">
              <v:path arrowok="t"/>
              <v:fill type="solid"/>
            </v:shape>
            <v:shape style="position:absolute;left:3996;top:5041;width:47;height:84" coordorigin="3996,5041" coordsize="47,84" path="m4017,5122l4004,5122,4007,5125,4013,5125,4017,5122xm4003,5112l3998,5112,3998,5115,3996,5117,3996,5118,3998,5121,3998,5122,4023,5122,4024,5121,4028,5118,4013,5118,4008,5115,4004,5115,4003,5112xm4043,5041l4014,5041,3998,5072,4003,5072,4008,5074,4013,5076,4014,5076,4018,5078,4027,5084,4031,5088,4033,5092,4033,5108,4028,5111,4028,5112,4024,5115,4023,5117,4018,5118,4028,5118,4028,5117,4033,5115,4035,5112,4035,5111,4038,5108,4038,5105,4041,5102,4041,5101,4043,5097,4043,5094,4041,5088,4038,5084,4037,5078,4033,5076,4028,5070,4023,5066,4014,5064,4008,5061,4013,5051,4038,5051,4043,5041xe" filled="true" fillcolor="#000000" stroked="false">
              <v:path arrowok="t"/>
              <v:fill type="solid"/>
            </v:shape>
            <v:shape style="position:absolute;left:4057;top:5040;width:52;height:85" coordorigin="4057,5040" coordsize="52,85" path="m4081,5040l4079,5040,4078,5041,4074,5044,4065,5050,4061,5058,4058,5064,4058,5070,4057,5076,4057,5090,4058,5098,4061,5105,4063,5112,4071,5121,4078,5122,4081,5125,4085,5125,4088,5122,4092,5121,4081,5121,4079,5118,4075,5118,4074,5115,4071,5112,4071,5107,4068,5098,4068,5058,4074,5050,4078,5046,4079,5046,4081,5044,4094,5044,4092,5041,4085,5041,4081,5040xm4094,5044l4084,5044,4085,5046,4089,5046,4089,5048,4094,5051,4094,5056,4095,5061,4095,5066,4098,5072,4098,5088,4095,5094,4095,5102,4094,5108,4094,5112,4089,5117,4089,5118,4085,5118,4084,5121,4092,5121,4094,5118,4095,5117,4099,5115,4102,5111,4105,5105,4105,5101,4109,5088,4109,5081,4108,5072,4105,5064,4102,5056,4099,5050,4094,5044xe" filled="true" fillcolor="#000000" stroked="false">
              <v:path arrowok="t"/>
              <v:fill type="solid"/>
            </v:shape>
            <v:shape style="position:absolute;left:4392;top:5040;width:51;height:85" coordorigin="4392,5040" coordsize="51,85" path="m4439,5041l4429,5041,4412,5050,4399,5061,4398,5066,4396,5072,4393,5076,4393,5080,4392,5087,4392,5092,4393,5101,4393,5107,4398,5115,4403,5118,4406,5121,4409,5122,4412,5125,4416,5125,4422,5122,4429,5122,4430,5121,4416,5121,4413,5118,4409,5118,4409,5115,4406,5112,4406,5111,4403,5107,4403,5081,4406,5081,4408,5078,4403,5078,4406,5074,4406,5070,4409,5066,4409,5064,4412,5061,4413,5058,4416,5056,4419,5051,4420,5051,4422,5048,4426,5048,4429,5046,4430,5046,4439,5041xm4432,5076l4420,5076,4422,5078,4426,5080,4430,5088,4430,5092,4432,5097,4432,5107,4429,5115,4424,5118,4422,5118,4420,5121,4430,5121,4440,5111,4443,5105,4443,5087,4440,5081,4436,5078,4432,5076xm4430,5072l4412,5072,4408,5076,4403,5078,4412,5078,4413,5076,4432,5076,4430,5072xm4443,5040l4436,5040,4432,5041,4443,5041,4443,5040xe" filled="true" fillcolor="#000000" stroked="false">
              <v:path arrowok="t"/>
              <v:fill type="solid"/>
            </v:shape>
            <v:shape style="position:absolute;left:4452;top:5040;width:52;height:85" coordorigin="4452,5040" coordsize="52,85" path="m4479,5040l4477,5040,4469,5044,4463,5050,4460,5054,4456,5058,4456,5064,4452,5076,4452,5090,4454,5098,4456,5105,4463,5117,4469,5121,4473,5122,4479,5125,4481,5125,4483,5122,4487,5121,4479,5121,4474,5118,4473,5118,4469,5115,4469,5112,4467,5107,4467,5098,4464,5092,4464,5078,4467,5074,4467,5054,4469,5050,4473,5046,4474,5046,4477,5044,4489,5044,4487,5041,4483,5041,4479,5040xm4489,5044l4479,5044,4483,5046,4484,5046,4489,5050,4489,5056,4491,5061,4493,5066,4493,5094,4491,5102,4489,5108,4489,5115,4484,5118,4481,5118,4479,5121,4487,5121,4489,5118,4493,5117,4497,5115,4499,5111,4501,5105,4503,5101,4503,5094,4504,5088,4504,5081,4503,5072,4503,5064,4499,5056,4494,5050,4489,5044xe" filled="true" fillcolor="#000000" stroked="false">
              <v:path arrowok="t"/>
              <v:fill type="solid"/>
            </v:shape>
            <v:shape style="position:absolute;left:4787;top:5041;width:51;height:84" coordorigin="4787,5041" coordsize="51,84" path="m4836,5051l4828,5051,4801,5125,4808,5125,4836,5051xm4838,5041l4795,5041,4787,5061,4788,5061,4791,5058,4793,5058,4793,5056,4797,5054,4797,5051,4836,5051,4838,5046,4838,5041xe" filled="true" fillcolor="#000000" stroked="false">
              <v:path arrowok="t"/>
              <v:fill type="solid"/>
            </v:shape>
            <v:shape style="position:absolute;left:4849;top:5040;width:51;height:85" coordorigin="4849,5040" coordsize="51,85" path="m4875,5040l4872,5040,4870,5041,4866,5044,4865,5046,4859,5048,4858,5050,4854,5058,4849,5070,4849,5098,4854,5105,4855,5112,4865,5121,4870,5122,4875,5125,4876,5125,4885,5121,4875,5121,4870,5118,4868,5118,4866,5115,4865,5112,4865,5107,4862,5098,4859,5092,4859,5078,4862,5074,4862,5058,4866,5050,4866,5048,4875,5044,4885,5044,4885,5041,4878,5041,4875,5040xm4885,5044l4876,5044,4878,5046,4880,5046,4886,5051,4886,5061,4889,5066,4890,5072,4890,5088,4889,5094,4886,5102,4886,5112,4880,5118,4876,5118,4876,5121,4885,5121,4886,5118,4889,5117,4892,5115,4895,5111,4896,5105,4898,5101,4900,5094,4900,5072,4898,5064,4895,5056,4890,5050,4886,5046,4885,5044xe" filled="true" fillcolor="#000000" stroked="false">
              <v:path arrowok="t"/>
              <v:fill type="solid"/>
            </v:shape>
            <v:shape style="position:absolute;left:5186;top:5040;width:47;height:85" coordorigin="5186,5040" coordsize="47,85" path="m5214,5040l5204,5040,5193,5046,5190,5048,5189,5051,5189,5068,5190,5070,5190,5072,5194,5076,5199,5078,5202,5081,5200,5081,5199,5087,5194,5088,5189,5094,5189,5101,5186,5102,5186,5108,5189,5112,5190,5115,5190,5118,5199,5122,5204,5125,5214,5125,5217,5122,5223,5121,5207,5121,5199,5112,5199,5094,5200,5092,5200,5088,5202,5088,5204,5087,5223,5087,5214,5078,5219,5076,5211,5076,5202,5068,5202,5066,5200,5066,5200,5058,5199,5058,5199,5054,5200,5051,5200,5048,5202,5046,5204,5046,5207,5044,5221,5044,5214,5040xm5223,5087l5204,5087,5209,5090,5214,5094,5219,5102,5221,5102,5221,5112,5219,5115,5217,5118,5214,5118,5211,5121,5223,5121,5227,5118,5229,5115,5231,5112,5233,5108,5233,5102,5229,5094,5227,5092,5224,5088,5223,5087xm5221,5044l5211,5044,5214,5046,5219,5050,5219,5051,5221,5056,5221,5060,5219,5061,5219,5064,5217,5066,5217,5068,5214,5072,5214,5074,5211,5076,5219,5076,5227,5068,5229,5066,5231,5061,5231,5051,5224,5046,5221,5044xe" filled="true" fillcolor="#000000" stroked="false">
              <v:path arrowok="t"/>
              <v:fill type="solid"/>
            </v:shape>
            <v:shape style="position:absolute;left:5244;top:5040;width:54;height:85" coordorigin="5244,5040" coordsize="54,85" path="m5271,5040l5267,5040,5265,5041,5261,5044,5251,5054,5249,5058,5247,5064,5247,5070,5244,5076,5244,5090,5247,5098,5249,5105,5251,5112,5254,5117,5261,5121,5265,5122,5271,5125,5274,5125,5275,5122,5280,5121,5271,5121,5267,5118,5264,5118,5261,5115,5261,5112,5260,5107,5257,5098,5257,5058,5261,5050,5265,5046,5267,5046,5270,5044,5282,5044,5280,5041,5274,5041,5271,5040xm5282,5044l5271,5044,5274,5046,5278,5046,5278,5048,5281,5050,5281,5056,5284,5061,5284,5066,5285,5072,5285,5088,5284,5094,5284,5102,5281,5108,5281,5115,5278,5117,5278,5118,5274,5118,5271,5121,5280,5121,5281,5118,5284,5117,5288,5115,5291,5111,5294,5105,5294,5101,5298,5088,5298,5081,5295,5072,5291,5056,5288,5050,5282,5044xe" filled="true" fillcolor="#000000" stroked="false">
              <v:path arrowok="t"/>
              <v:fill type="solid"/>
            </v:shape>
            <v:shape style="position:absolute;left:5548;top:5040;width:54;height:85" coordorigin="5548,5040" coordsize="54,85" path="m5586,5044l5575,5044,5578,5046,5579,5046,5585,5051,5585,5056,5588,5058,5588,5066,5589,5068,5589,5076,5588,5078,5588,5084,5585,5087,5578,5087,5575,5088,5588,5088,5585,5092,5584,5098,5582,5102,5578,5108,5575,5112,5571,5115,5565,5121,5561,5122,5551,5122,5551,5125,5558,5125,5565,5122,5569,5121,5575,5118,5585,5108,5592,5105,5595,5098,5602,5080,5602,5074,5599,5066,5595,5054,5592,5048,5588,5046,5586,5044xm5584,5041l5564,5041,5558,5046,5554,5054,5551,5058,5548,5064,5548,5074,5555,5087,5561,5092,5578,5092,5582,5088,5571,5088,5571,5087,5568,5084,5565,5081,5565,5078,5561,5076,5561,5056,5565,5048,5568,5048,5571,5044,5586,5044,5584,5041xm5575,5040l5569,5041,5579,5041,5575,5040xe" filled="true" fillcolor="#000000" stroked="false">
              <v:path arrowok="t"/>
              <v:fill type="solid"/>
            </v:shape>
            <v:shape style="position:absolute;left:5612;top:5040;width:51;height:85" coordorigin="5612,5040" coordsize="51,85" path="m5636,5040l5635,5040,5632,5041,5625,5046,5620,5050,5619,5054,5615,5058,5615,5064,5612,5070,5612,5098,5615,5105,5619,5112,5626,5121,5632,5122,5636,5125,5639,5125,5642,5122,5645,5121,5636,5121,5632,5118,5630,5118,5628,5115,5626,5112,5625,5107,5625,5098,5622,5092,5622,5078,5625,5074,5625,5054,5628,5050,5628,5048,5632,5046,5635,5044,5647,5044,5645,5041,5640,5041,5636,5040xm5647,5044l5639,5044,5640,5046,5642,5046,5649,5051,5649,5061,5650,5066,5653,5072,5653,5088,5650,5094,5649,5102,5649,5112,5642,5118,5639,5118,5639,5121,5645,5121,5649,5118,5650,5117,5655,5115,5656,5111,5659,5105,5660,5101,5663,5094,5663,5072,5660,5064,5656,5056,5653,5050,5647,5044xe" filled="true" fillcolor="#000000" stroked="false">
              <v:path arrowok="t"/>
              <v:fill type="solid"/>
            </v:shape>
            <v:shape style="position:absolute;left:5926;top:5040;width:28;height:83" coordorigin="5926,5040" coordsize="28,83" path="m5947,5048l5932,5048,5936,5051,5936,5118,5932,5122,5954,5122,5953,5121,5949,5121,5949,5118,5947,5118,5947,5048xm5947,5040l5944,5040,5926,5048,5926,5050,5929,5048,5947,5048,5947,5040xe" filled="true" fillcolor="#000000" stroked="false">
              <v:path arrowok="t"/>
              <v:fill type="solid"/>
            </v:shape>
            <v:shape style="position:absolute;left:5977;top:5040;width:54;height:85" coordorigin="5977,5040" coordsize="54,85" path="m6004,5040l6000,5040,5997,5041,5993,5044,5989,5048,5984,5050,5981,5058,5979,5064,5979,5070,5977,5076,5977,5090,5979,5098,5981,5105,5983,5112,5987,5117,5993,5121,5997,5122,6004,5125,6005,5125,6008,5122,6011,5121,6004,5121,6000,5118,5995,5118,5993,5115,5993,5112,5991,5107,5989,5098,5989,5058,5993,5050,5997,5046,6000,5046,6001,5044,6014,5044,6011,5041,6005,5041,6004,5040xm6014,5044l6004,5044,6005,5046,6010,5046,6010,5048,6014,5051,6014,5056,6015,5061,6015,5066,6017,5072,6017,5088,6015,5094,6015,5102,6014,5108,6014,5112,6010,5117,6010,5118,6005,5118,6004,5121,6011,5121,6014,5118,6015,5117,6020,5115,6021,5111,6025,5105,6025,5101,6030,5088,6030,5081,6028,5072,6025,5064,6021,5056,6020,5050,6014,5044xe" filled="true" fillcolor="#000000" stroked="false">
              <v:path arrowok="t"/>
              <v:fill type="solid"/>
            </v:shape>
            <v:shape style="position:absolute;left:6040;top:5040;width:51;height:85" coordorigin="6040,5040" coordsize="51,85" path="m6064,5040l6062,5040,6061,5041,6052,5046,6048,5050,6046,5054,6041,5058,6041,5064,6040,5070,6040,5098,6041,5105,6046,5112,6054,5121,6061,5122,6064,5125,6066,5125,6068,5122,6071,5121,6064,5121,6061,5118,6058,5118,6056,5115,6054,5112,6052,5107,6052,5098,6051,5092,6051,5078,6052,5074,6052,5054,6056,5050,6056,5048,6061,5046,6062,5044,6074,5044,6072,5041,6068,5041,6064,5040xm6074,5044l6066,5044,6068,5046,6071,5046,6076,5051,6076,5061,6078,5066,6078,5094,6076,5102,6076,5112,6071,5118,6066,5118,6066,5121,6071,5121,6076,5118,6078,5117,6082,5115,6084,5111,6086,5105,6088,5101,6088,5094,6091,5088,6091,5081,6088,5072,6088,5064,6084,5056,6081,5050,6074,5044xe" filled="true" fillcolor="#000000" stroked="false">
              <v:path arrowok="t"/>
              <v:fill type="solid"/>
            </v:shape>
            <v:shape style="position:absolute;left:6324;top:5040;width:29;height:83" coordorigin="6324,5040" coordsize="29,83" path="m6345,5048l6329,5048,6334,5051,6334,5118,6329,5122,6352,5122,6350,5121,6346,5121,6346,5118,6345,5118,6345,5048xm6345,5040l6342,5040,6324,5048,6324,5050,6325,5048,6345,5048,6345,5040xe" filled="true" fillcolor="#000000" stroked="false">
              <v:path arrowok="t"/>
              <v:fill type="solid"/>
            </v:shape>
            <v:shape style="position:absolute;left:6380;top:5040;width:30;height:83" coordorigin="6380,5040" coordsize="30,83" path="m6400,5048l6386,5048,6390,5051,6390,5118,6386,5122,6409,5122,6406,5121,6403,5121,6403,5118,6400,5118,6400,5048xm6400,5040l6399,5040,6380,5048,6380,5050,6382,5048,6400,5048,6400,5040xe" filled="true" fillcolor="#000000" stroked="false">
              <v:path arrowok="t"/>
              <v:fill type="solid"/>
            </v:shape>
            <v:shape style="position:absolute;left:6430;top:5040;width:54;height:85" coordorigin="6430,5040" coordsize="54,85" path="m6457,5040l6454,5040,6451,5041,6447,5044,6443,5048,6439,5050,6436,5058,6433,5064,6433,5070,6430,5076,6430,5090,6433,5098,6436,5105,6437,5112,6441,5117,6447,5121,6451,5122,6457,5125,6460,5125,6461,5122,6466,5121,6457,5121,6454,5118,6450,5118,6447,5115,6447,5112,6446,5107,6443,5098,6443,5058,6447,5050,6451,5046,6454,5046,6456,5044,6468,5044,6466,5041,6460,5041,6457,5040xm6468,5044l6457,5044,6460,5046,6464,5046,6464,5048,6467,5051,6467,5056,6470,5061,6470,5066,6471,5072,6471,5088,6470,5094,6470,5102,6467,5108,6467,5112,6464,5117,6464,5118,6460,5118,6457,5121,6466,5121,6467,5118,6470,5117,6474,5115,6476,5111,6480,5105,6480,5101,6484,5088,6484,5081,6481,5072,6480,5064,6476,5056,6474,5050,6468,5044xe" filled="true" fillcolor="#000000" stroked="false">
              <v:path arrowok="t"/>
              <v:fill type="solid"/>
            </v:shape>
            <v:line style="position:absolute" from="1618,9574" to="1651,9574" stroked="true" strokeweight=".49754pt" strokecolor="#000000"/>
            <v:shape style="position:absolute;left:1669;top:9519;width:34;height:84" coordorigin="1669,9519" coordsize="34,84" path="m1702,9600l1671,9600,1671,9603,1702,9603,1702,9600xm1695,9599l1676,9599,1676,9600,1696,9600,1695,9599xm1692,9527l1676,9527,1676,9529,1679,9529,1679,9534,1681,9535,1681,9595,1679,9596,1679,9599,1692,9599,1692,9527xm1692,9519l1686,9519,1669,9527,1669,9529,1671,9529,1673,9527,1692,9527,1692,9519xe" filled="true" fillcolor="#000000" stroked="false">
              <v:path arrowok="t"/>
              <v:fill type="solid"/>
            </v:shape>
            <v:shape style="position:absolute;left:1722;top:9519;width:51;height:84" coordorigin="1722,9519" coordsize="51,84" path="m1742,9524l1733,9524,1732,9525,1723,9542,1722,9549,1722,9576,1726,9584,1727,9590,1732,9596,1736,9599,1742,9603,1753,9603,1754,9599,1742,9599,1737,9595,1733,9586,1733,9578,1732,9572,1732,9558,1733,9552,1733,9534,1737,9529,1737,9525,1742,9525,1742,9524xm1750,9519l1742,9519,1737,9524,1753,9524,1753,9525,1754,9525,1756,9529,1758,9531,1758,9539,1763,9552,1763,9566,1758,9582,1758,9590,1756,9592,1754,9596,1753,9596,1753,9599,1758,9599,1760,9596,1764,9592,1770,9579,1773,9574,1773,9552,1770,9542,1763,9529,1754,9521,1750,9519xe" filled="true" fillcolor="#000000" stroked="false">
              <v:path arrowok="t"/>
              <v:fill type="solid"/>
            </v:shape>
            <v:shape style="position:absolute;left:2084;top:9519;width:54;height:84" coordorigin="2084,9519" coordsize="54,84" path="m2107,9524l2099,9524,2097,9525,2092,9534,2088,9538,2088,9542,2087,9549,2084,9556,2084,9569,2087,9576,2088,9584,2092,9590,2094,9596,2101,9599,2105,9603,2115,9603,2119,9599,2107,9599,2102,9595,2099,9586,2099,9578,2097,9572,2097,9558,2099,9552,2099,9534,2102,9529,2102,9525,2105,9525,2107,9524xm2115,9519l2105,9519,2102,9524,2115,9524,2117,9525,2119,9525,2121,9529,2122,9531,2122,9539,2125,9546,2125,9574,2122,9582,2122,9590,2121,9592,2119,9596,2117,9596,2115,9599,2122,9599,2125,9596,2129,9592,2135,9579,2135,9574,2137,9568,2137,9559,2135,9552,2135,9542,2127,9529,2119,9521,2115,9519xe" filled="true" fillcolor="#000000" stroked="false">
              <v:path arrowok="t"/>
              <v:fill type="solid"/>
            </v:shape>
            <v:shape style="position:absolute;left:2429;top:9519;width:34;height:84" coordorigin="2429,9519" coordsize="34,84" path="m2462,9600l2431,9600,2431,9603,2462,9603,2462,9600xm2452,9527l2437,9527,2439,9529,2439,9534,2442,9535,2442,9595,2439,9596,2439,9599,2437,9600,2459,9600,2456,9599,2452,9599,2452,9527xm2452,9519l2450,9519,2429,9527,2429,9529,2431,9529,2433,9527,2452,9527,2452,9519xe" filled="true" fillcolor="#000000" stroked="false">
              <v:path arrowok="t"/>
              <v:fill type="solid"/>
            </v:shape>
            <v:shape style="position:absolute;left:2482;top:9519;width:51;height:84" coordorigin="2482,9519" coordsize="51,84" path="m2503,9524l2496,9524,2493,9525,2483,9542,2482,9549,2482,9576,2486,9584,2487,9590,2493,9596,2496,9599,2503,9603,2513,9603,2516,9599,2503,9599,2498,9595,2496,9590,2496,9586,2494,9578,2493,9572,2493,9558,2494,9552,2494,9535,2496,9534,2500,9525,2503,9525,2503,9524xm2510,9519l2503,9519,2498,9524,2513,9524,2513,9525,2514,9525,2516,9529,2518,9531,2518,9535,2520,9539,2520,9546,2523,9552,2523,9566,2520,9574,2520,9582,2518,9586,2518,9590,2516,9592,2514,9596,2513,9596,2513,9599,2518,9599,2520,9596,2524,9592,2527,9588,2530,9584,2530,9579,2533,9574,2533,9552,2530,9542,2523,9529,2520,9525,2516,9521,2510,9519xe" filled="true" fillcolor="#000000" stroked="false">
              <v:path arrowok="t"/>
              <v:fill type="solid"/>
            </v:shape>
            <v:shape style="position:absolute;left:2814;top:9519;width:54;height:84" coordorigin="2814,9519" coordsize="54,84" path="m2857,9527l2839,9527,2842,9529,2849,9535,2851,9539,2852,9542,2852,9546,2851,9552,2851,9558,2847,9562,2842,9569,2839,9576,2814,9600,2814,9603,2861,9603,2865,9592,2824,9592,2842,9574,2849,9569,2852,9562,2857,9558,2859,9554,2861,9552,2861,9548,2862,9544,2862,9538,2859,9529,2857,9527xm2867,9586l2865,9586,2861,9590,2861,9592,2865,9592,2867,9586xm2847,9519l2831,9519,2827,9524,2822,9525,2820,9529,2817,9534,2817,9535,2814,9542,2817,9542,2817,9539,2820,9535,2820,9534,2822,9531,2827,9529,2828,9529,2832,9527,2857,9527,2855,9525,2851,9524,2847,9519xe" filled="true" fillcolor="#000000" stroked="false">
              <v:path arrowok="t"/>
              <v:fill type="solid"/>
            </v:shape>
            <v:shape style="position:absolute;left:2877;top:9519;width:52;height:84" coordorigin="2877,9519" coordsize="52,84" path="m2899,9524l2892,9524,2889,9525,2888,9529,2883,9534,2879,9542,2879,9549,2877,9556,2877,9569,2879,9576,2881,9584,2883,9590,2888,9596,2893,9599,2898,9603,2908,9603,2912,9599,2899,9599,2898,9596,2893,9595,2893,9590,2889,9578,2889,9535,2892,9534,2896,9525,2898,9525,2899,9524xm2908,9519l2898,9519,2893,9524,2908,9524,2913,9529,2913,9535,2916,9539,2918,9546,2918,9574,2916,9582,2913,9586,2913,9592,2908,9599,2913,9599,2918,9596,2919,9592,2923,9588,2928,9579,2928,9574,2929,9568,2929,9559,2928,9552,2928,9542,2919,9529,2912,9521,2908,9519xe" filled="true" fillcolor="#000000" stroked="false">
              <v:path arrowok="t"/>
              <v:fill type="solid"/>
            </v:shape>
            <v:shape style="position:absolute;left:3212;top:9519;width:46;height:84" coordorigin="3212,9519" coordsize="46,84" path="m3250,9525l3234,9525,3238,9527,3244,9534,3244,9535,3246,9539,3246,9544,3244,9546,3244,9549,3234,9559,3223,9559,3223,9562,3234,9562,3238,9564,3238,9566,3240,9566,3243,9568,3244,9568,3244,9569,3246,9569,3248,9572,3248,9578,3250,9579,3250,9586,3248,9588,3246,9592,3243,9596,3240,9596,3236,9599,3213,9599,3213,9603,3234,9603,3240,9600,3246,9596,3258,9584,3258,9568,3254,9564,3254,9562,3250,9559,3244,9554,3253,9546,3254,9539,3254,9531,3250,9529,3250,9525xm3227,9596l3212,9596,3212,9599,3227,9599,3227,9596xm3217,9592l3213,9592,3213,9596,3222,9596,3217,9592xm3244,9519l3227,9519,3223,9524,3220,9524,3217,9525,3217,9529,3213,9534,3213,9538,3222,9529,3230,9525,3250,9525,3244,9519xe" filled="true" fillcolor="#000000" stroked="false">
              <v:path arrowok="t"/>
              <v:fill type="solid"/>
            </v:shape>
            <v:shape style="position:absolute;left:3274;top:9519;width:51;height:84" coordorigin="3274,9519" coordsize="51,84" path="m3295,9524l3287,9524,3285,9525,3280,9534,3277,9538,3277,9542,3274,9549,3274,9576,3277,9584,3285,9596,3288,9599,3295,9603,3305,9603,3307,9599,3295,9599,3291,9595,3287,9586,3287,9578,3285,9572,3285,9558,3287,9552,3287,9534,3291,9529,3291,9525,3295,9525,3295,9524xm3303,9519l3295,9519,3291,9524,3305,9524,3305,9525,3307,9525,3308,9529,3311,9531,3311,9539,3315,9552,3315,9566,3311,9582,3311,9590,3308,9592,3307,9596,3305,9596,3305,9599,3311,9599,3313,9596,3317,9592,3324,9579,3325,9574,3325,9552,3324,9542,3315,9529,3307,9521,3303,9519xe" filled="true" fillcolor="#000000" stroked="false">
              <v:path arrowok="t"/>
              <v:fill type="solid"/>
            </v:shape>
            <v:shape style="position:absolute;left:3605;top:9519;width:55;height:84" coordorigin="3605,9519" coordsize="55,84" path="m3648,9579l3638,9579,3638,9603,3648,9603,3648,9579xm3648,9519l3642,9519,3605,9574,3605,9579,3659,9579,3659,9572,3611,9572,3638,9531,3648,9531,3648,9519xm3648,9531l3638,9531,3638,9572,3648,9572,3648,9531xe" filled="true" fillcolor="#000000" stroked="false">
              <v:path arrowok="t"/>
              <v:fill type="solid"/>
            </v:shape>
            <v:shape style="position:absolute;left:3669;top:9519;width:54;height:84" coordorigin="3669,9519" coordsize="54,84" path="m3692,9524l3684,9524,3679,9529,3672,9542,3672,9549,3669,9556,3669,9569,3672,9576,3673,9584,3676,9590,3680,9596,3684,9599,3690,9603,3700,9603,3704,9599,3692,9599,3689,9596,3686,9595,3684,9590,3684,9586,3682,9578,3682,9535,3684,9534,3689,9525,3690,9525,3692,9524xm3699,9519l3690,9519,3686,9524,3700,9524,3702,9525,3704,9529,3706,9531,3706,9535,3709,9539,3709,9546,3710,9552,3710,9566,3709,9574,3709,9582,3706,9586,3706,9590,3704,9592,3702,9596,3700,9599,3706,9599,3709,9596,3713,9592,3714,9588,3719,9584,3719,9579,3722,9568,3722,9559,3720,9552,3719,9542,3714,9535,3713,9529,3704,9521,3699,9519xe" filled="true" fillcolor="#000000" stroked="false">
              <v:path arrowok="t"/>
              <v:fill type="solid"/>
            </v:shape>
            <v:shape style="position:absolute;left:4007;top:9519;width:47;height:84" coordorigin="4007,9519" coordsize="47,84" path="m4013,9592l4007,9592,4007,9599,4008,9600,4008,9603,4028,9603,4033,9600,4035,9599,4037,9599,4039,9596,4018,9596,4017,9595,4014,9595,4013,9592xm4053,9519l4023,9519,4007,9552,4017,9552,4033,9559,4038,9566,4038,9568,4043,9576,4043,9582,4041,9586,4038,9588,4037,9592,4035,9592,4033,9596,4039,9596,4043,9592,4045,9588,4048,9584,4048,9579,4051,9576,4051,9572,4048,9568,4048,9562,4045,9558,4043,9554,4037,9549,4033,9546,4024,9542,4017,9542,4023,9529,4047,9529,4053,9519xe" filled="true" fillcolor="#000000" stroked="false">
              <v:path arrowok="t"/>
              <v:fill type="solid"/>
            </v:shape>
            <v:shape style="position:absolute;left:4065;top:9519;width:54;height:84" coordorigin="4065,9519" coordsize="54,84" path="m4088,9524l4079,9524,4078,9525,4075,9529,4068,9538,4068,9542,4067,9549,4065,9556,4065,9569,4067,9576,4068,9584,4071,9590,4075,9596,4081,9599,4085,9603,4095,9603,4099,9599,4088,9599,4085,9596,4081,9595,4081,9590,4079,9586,4079,9578,4078,9572,4078,9558,4079,9552,4079,9534,4084,9525,4085,9525,4088,9524xm4095,9519l4085,9519,4081,9524,4095,9524,4098,9525,4099,9525,4102,9529,4102,9535,4104,9539,4105,9546,4105,9574,4104,9582,4102,9586,4102,9592,4099,9596,4098,9596,4095,9599,4102,9599,4105,9596,4109,9592,4115,9579,4115,9574,4118,9568,4118,9559,4115,9552,4115,9542,4108,9529,4099,9521,4095,9519xe" filled="true" fillcolor="#000000" stroked="false">
              <v:path arrowok="t"/>
              <v:fill type="solid"/>
            </v:shape>
            <v:shape style="position:absolute;left:4399;top:9519;width:54;height:84" coordorigin="4399,9519" coordsize="54,84" path="m4434,9549l4426,9549,4422,9552,4416,9554,4412,9556,4432,9556,4434,9559,4436,9562,4439,9566,4440,9572,4440,9588,4436,9592,4436,9596,4432,9596,4432,9599,4413,9599,4419,9603,4430,9603,4436,9600,4443,9596,4446,9592,4452,9579,4452,9569,4450,9566,4449,9559,4446,9556,4434,9549xm4440,9524l4430,9524,4426,9525,4420,9529,4416,9534,4412,9535,4409,9542,4406,9546,4403,9549,4403,9554,4399,9566,4399,9569,4402,9579,4406,9592,4412,9599,4422,9599,4416,9592,4413,9588,4412,9586,4412,9559,4416,9559,4416,9558,4420,9556,4412,9556,4413,9552,4416,9549,4420,9542,4420,9539,4422,9535,4426,9531,4430,9529,4434,9525,4436,9525,4440,9524xm4416,9559l4412,9559,4412,9562,4416,9559xm4450,9519l4440,9519,4432,9524,4443,9524,4446,9521,4450,9521,4450,9519xe" filled="true" fillcolor="#000000" stroked="false">
              <v:path arrowok="t"/>
              <v:fill type="solid"/>
            </v:shape>
            <v:shape style="position:absolute;left:4463;top:9519;width:51;height:84" coordorigin="4463,9519" coordsize="51,84" path="m4483,9524l4477,9524,4473,9525,4464,9542,4463,9549,4463,9576,4467,9584,4469,9590,4473,9596,4477,9599,4483,9603,4493,9603,4497,9599,4483,9599,4479,9595,4477,9590,4477,9586,4474,9578,4473,9572,4473,9558,4474,9552,4474,9535,4477,9534,4479,9529,4479,9525,4483,9525,4483,9524xm4491,9519l4483,9519,4479,9524,4493,9524,4493,9525,4494,9525,4497,9529,4499,9531,4499,9539,4503,9552,4503,9566,4499,9582,4499,9590,4497,9592,4494,9596,4493,9596,4493,9599,4499,9599,4501,9596,4504,9592,4511,9579,4513,9574,4513,9552,4511,9542,4503,9529,4499,9525,4497,9521,4491,9519xe" filled="true" fillcolor="#000000" stroked="false">
              <v:path arrowok="t"/>
              <v:fill type="solid"/>
            </v:shape>
            <v:shape style="position:absolute;left:4767;top:9519;width:51;height:84" coordorigin="4767,9519" coordsize="51,84" path="m4816,9529l4807,9529,4781,9603,4788,9603,4816,9529xm4818,9519l4773,9519,4767,9539,4773,9534,4775,9534,4777,9531,4778,9531,4781,9529,4816,9529,4818,9524,4818,9519xe" filled="true" fillcolor="#000000" stroked="false">
              <v:path arrowok="t"/>
              <v:fill type="solid"/>
            </v:shape>
            <v:shape style="position:absolute;left:4828;top:9519;width:52;height:84" coordorigin="4828,9519" coordsize="52,84" path="m4849,9524l4842,9524,4839,9525,4838,9529,4834,9534,4829,9542,4829,9549,4828,9556,4828,9569,4829,9576,4832,9584,4834,9590,4838,9596,4844,9599,4848,9603,4858,9603,4862,9599,4849,9599,4848,9596,4844,9595,4844,9590,4842,9586,4839,9578,4839,9535,4842,9534,4845,9525,4848,9525,4849,9524xm4858,9519l4848,9519,4844,9524,4858,9524,4865,9529,4865,9535,4866,9539,4866,9546,4868,9552,4868,9566,4866,9574,4866,9582,4865,9586,4865,9592,4858,9599,4865,9599,4866,9596,4875,9588,4876,9584,4876,9579,4880,9568,4880,9559,4878,9552,4876,9542,4875,9535,4870,9529,4862,9521,4858,9519xe" filled="true" fillcolor="#000000" stroked="false">
              <v:path arrowok="t"/>
              <v:fill type="solid"/>
            </v:shape>
            <v:shape style="position:absolute;left:5164;top:9519;width:47;height:84" coordorigin="5164,9519" coordsize="47,84" path="m5196,9519l5179,9519,5174,9524,5170,9525,5170,9527,5166,9535,5166,9542,5169,9544,5169,9549,5170,9552,5174,9554,5176,9558,5180,9562,5176,9564,5172,9568,5170,9572,5166,9576,5166,9579,5164,9582,5164,9586,5169,9595,5170,9596,5174,9599,5179,9603,5196,9603,5200,9599,5184,9599,5180,9596,5179,9595,5179,9588,5176,9586,5176,9579,5179,9578,5179,9569,5180,9568,5180,9566,5183,9565,5182,9564,5200,9564,5199,9562,5193,9558,5199,9556,5190,9556,5180,9548,5180,9544,5179,9542,5179,9529,5180,9525,5184,9524,5200,9524,5196,9519xm5200,9564l5184,9564,5183,9565,5189,9569,5193,9572,5194,9576,5199,9579,5199,9584,5200,9586,5200,9590,5199,9592,5199,9595,5194,9599,5200,9599,5204,9596,5211,9590,5211,9576,5207,9572,5207,9569,5204,9568,5200,9566,5200,9564xm5204,9524l5193,9524,5194,9525,5196,9525,5199,9529,5199,9542,5196,9546,5196,9548,5193,9552,5190,9556,5199,9556,5200,9552,5204,9549,5207,9546,5207,9544,5211,9539,5211,9534,5207,9525,5204,9524xe" filled="true" fillcolor="#000000" stroked="false">
              <v:path arrowok="t"/>
              <v:fill type="solid"/>
            </v:shape>
            <v:shape style="position:absolute;left:5224;top:9519;width:51;height:84" coordorigin="5224,9519" coordsize="51,84" path="m5244,9524l5237,9524,5234,9525,5231,9534,5227,9538,5227,9542,5224,9549,5224,9576,5227,9584,5234,9596,5239,9599,5244,9603,5254,9603,5257,9599,5244,9599,5241,9595,5237,9586,5237,9578,5234,9572,5234,9558,5237,9552,5237,9534,5241,9529,5241,9525,5244,9525,5244,9524xm5253,9519l5244,9519,5241,9524,5254,9524,5254,9525,5257,9525,5260,9529,5261,9531,5261,9539,5264,9546,5264,9574,5261,9582,5261,9590,5260,9592,5257,9596,5254,9596,5254,9599,5261,9599,5264,9596,5267,9592,5274,9579,5274,9574,5275,9568,5275,9559,5274,9552,5274,9542,5265,9529,5257,9521,5253,9519xe" filled="true" fillcolor="#000000" stroked="false">
              <v:path arrowok="t"/>
              <v:fill type="solid"/>
            </v:shape>
            <v:shape style="position:absolute;left:5558;top:9519;width:52;height:87" coordorigin="5558,9519" coordsize="52,87" path="m5561,9603l5559,9603,5559,9605,5561,9603xm5598,9524l5588,9524,5588,9525,5592,9525,5592,9529,5595,9534,5595,9538,5598,9539,5598,9562,5595,9562,5592,9566,5595,9566,5595,9572,5592,9576,5589,9582,5585,9590,5582,9595,5574,9599,5571,9600,5568,9600,5564,9603,5574,9603,5578,9599,5584,9596,5588,9592,5595,9588,5599,9582,5605,9578,5610,9559,5610,9552,5608,9546,5608,9539,5606,9534,5602,9527,5598,9524xm5588,9519l5578,9519,5571,9521,5564,9529,5561,9534,5559,9538,5558,9542,5558,9552,5559,9558,5561,9562,5568,9568,5575,9572,5582,9572,5588,9569,5595,9566,5579,9566,5578,9562,5575,9562,5571,9554,5569,9548,5569,9538,5571,9534,5571,9529,5578,9524,5598,9524,5592,9521,5588,9519xe" filled="true" fillcolor="#000000" stroked="false">
              <v:path arrowok="t"/>
              <v:fill type="solid"/>
            </v:shape>
            <v:shape style="position:absolute;left:5620;top:9519;width:51;height:84" coordorigin="5620,9519" coordsize="51,84" path="m5642,9524l5635,9524,5628,9529,5622,9542,5622,9549,5620,9556,5620,9569,5622,9576,5625,9584,5626,9590,5630,9596,5635,9599,5640,9603,5650,9603,5655,9599,5642,9599,5639,9596,5636,9595,5635,9590,5635,9586,5632,9578,5632,9535,5635,9534,5639,9525,5640,9525,5642,9524xm5649,9519l5640,9519,5636,9524,5650,9524,5653,9525,5655,9529,5656,9531,5656,9535,5659,9539,5659,9546,5660,9552,5660,9566,5659,9574,5659,9582,5656,9586,5656,9590,5655,9592,5653,9596,5650,9599,5656,9599,5659,9596,5663,9592,5665,9588,5669,9584,5669,9579,5670,9574,5670,9552,5669,9542,5665,9535,5663,9529,5655,9521,5649,9519xe" filled="true" fillcolor="#000000" stroked="false">
              <v:path arrowok="t"/>
              <v:fill type="solid"/>
            </v:shape>
            <v:shape style="position:absolute;left:5934;top:9519;width:31;height:84" coordorigin="5934,9519" coordsize="31,84" path="m5964,9600l5936,9600,5936,9603,5964,9603,5964,9600xm5961,9599l5943,9599,5943,9600,5963,9600,5961,9599xm5954,9527l5943,9527,5943,9529,5944,9529,5944,9534,5947,9535,5947,9595,5944,9596,5944,9599,5954,9599,5954,9527xm5954,9519l5953,9519,5934,9527,5934,9529,5936,9529,5939,9527,5954,9527,5954,9519xe" filled="true" fillcolor="#000000" stroked="false">
              <v:path arrowok="t"/>
              <v:fill type="solid"/>
            </v:shape>
            <v:shape style="position:absolute;left:5984;top:9519;width:54;height:84" coordorigin="5984,9519" coordsize="54,84" path="m6008,9524l6000,9524,5997,9525,5993,9534,5989,9538,5989,9542,5987,9549,5984,9556,5984,9569,5987,9576,5989,9584,5993,9590,5995,9596,6001,9599,6005,9603,6015,9603,6020,9599,6008,9599,6004,9595,6000,9586,6000,9578,5997,9572,5997,9558,6000,9552,6000,9534,6004,9529,6004,9525,6005,9525,6008,9524xm6015,9519l6005,9519,6004,9524,6015,9524,6017,9525,6020,9525,6021,9529,6021,9535,6024,9539,6025,9546,6025,9574,6024,9582,6021,9586,6021,9592,6020,9596,6017,9596,6015,9599,6021,9599,6025,9596,6030,9592,6035,9579,6035,9574,6038,9568,6038,9559,6035,9552,6035,9542,6028,9529,6020,9521,6015,9519xe" filled="true" fillcolor="#000000" stroked="false">
              <v:path arrowok="t"/>
              <v:fill type="solid"/>
            </v:shape>
            <v:shape style="position:absolute;left:6048;top:9519;width:51;height:84" coordorigin="6048,9519" coordsize="51,84" path="m6068,9524l6062,9524,6056,9529,6051,9542,6051,9549,6048,9556,6048,9569,6051,9576,6052,9584,6054,9590,6058,9596,6062,9599,6068,9603,6078,9603,6082,9599,6068,9599,6064,9595,6062,9590,6062,9586,6061,9578,6061,9535,6062,9534,6066,9525,6068,9525,6068,9524xm6076,9519l6068,9519,6064,9524,6078,9524,6078,9525,6081,9525,6082,9529,6084,9531,6084,9535,6086,9539,6086,9546,6088,9552,6088,9566,6086,9574,6086,9582,6084,9586,6084,9590,6082,9592,6081,9596,6078,9596,6078,9599,6084,9599,6086,9596,6091,9592,6092,9588,6096,9584,6096,9579,6099,9574,6099,9552,6096,9542,6088,9529,6086,9525,6082,9521,6076,9519xe" filled="true" fillcolor="#000000" stroked="false">
              <v:path arrowok="t"/>
              <v:fill type="solid"/>
            </v:shape>
            <v:shape style="position:absolute;left:6332;top:9519;width:31;height:84" coordorigin="6332,9519" coordsize="31,84" path="m6362,9600l6334,9600,6334,9603,6362,9603,6362,9600xm6358,9599l6339,9599,6339,9600,6360,9600,6358,9599xm6352,9527l6339,9527,6339,9529,6342,9529,6342,9534,6345,9535,6345,9595,6342,9596,6342,9599,6352,9599,6352,9527xm6352,9519l6350,9519,6332,9527,6332,9529,6334,9529,6335,9527,6352,9527,6352,9519xe" filled="true" fillcolor="#000000" stroked="false">
              <v:path arrowok="t"/>
              <v:fill type="solid"/>
            </v:shape>
            <v:shape style="position:absolute;left:6389;top:9519;width:31;height:84" coordorigin="6389,9519" coordsize="31,84" path="m6419,9600l6390,9600,6390,9603,6419,9603,6419,9600xm6415,9599l6397,9599,6397,9600,6417,9600,6415,9599xm6409,9527l6397,9527,6397,9529,6399,9529,6399,9534,6400,9535,6400,9595,6399,9596,6399,9599,6409,9599,6409,9527xm6409,9519l6406,9519,6389,9527,6389,9529,6390,9529,6393,9527,6409,9527,6409,9519xe" filled="true" fillcolor="#000000" stroked="false">
              <v:path arrowok="t"/>
              <v:fill type="solid"/>
            </v:shape>
            <v:shape style="position:absolute;left:6439;top:9519;width:53;height:84" coordorigin="6439,9519" coordsize="53,84" path="m6461,9524l6454,9524,6451,9525,6447,9534,6443,9538,6443,9542,6441,9549,6439,9556,6439,9569,6441,9576,6443,9584,6447,9590,6450,9596,6456,9599,6460,9603,6470,9603,6474,9599,6461,9599,6457,9595,6454,9586,6454,9578,6451,9572,6451,9558,6454,9552,6454,9534,6457,9529,6457,9525,6460,9525,6461,9524xm6470,9519l6460,9519,6457,9524,6470,9524,6471,9525,6474,9525,6476,9529,6476,9535,6477,9539,6480,9546,6480,9574,6477,9582,6476,9586,6476,9592,6474,9596,6471,9596,6470,9599,6476,9599,6480,9596,6484,9592,6490,9579,6490,9574,6492,9568,6492,9559,6490,9552,6490,9542,6481,9529,6474,9521,6470,9519xe" filled="true" fillcolor="#000000" stroked="false">
              <v:path arrowok="t"/>
              <v:fill type="solid"/>
            </v:shape>
            <v:shape style="position:absolute;left:3253;top:5264;width:918;height:87" type="#_x0000_t75" stroked="false">
              <v:imagedata r:id="rId78" o:title=""/>
            </v:shape>
            <v:shape style="position:absolute;left:4209;top:5264;width:417;height:114" type="#_x0000_t75" stroked="false">
              <v:imagedata r:id="rId79" o:title=""/>
            </v:shape>
            <v:shape style="position:absolute;left:4663;top:5267;width:175;height:109" type="#_x0000_t75" stroked="false">
              <v:imagedata r:id="rId80" o:title=""/>
            </v:shape>
            <v:shape style="position:absolute;left:3258;top:9741;width:923;height:88" type="#_x0000_t75" stroked="false">
              <v:imagedata r:id="rId81" o:title=""/>
            </v:shape>
            <v:shape style="position:absolute;left:4220;top:9741;width:417;height:114" type="#_x0000_t75" stroked="false">
              <v:imagedata r:id="rId82" o:title=""/>
            </v:shape>
            <v:shape style="position:absolute;left:4673;top:9744;width:175;height:109" type="#_x0000_t75" stroked="false">
              <v:imagedata r:id="rId83" o:title=""/>
            </v:shape>
            <v:line style="position:absolute" from="2092,5781" to="2145,5781" stroked="true" strokeweight="2.588895pt" strokecolor="#000000"/>
            <v:shape style="position:absolute;left:2092;top:5749;width:60;height:12" coordorigin="2092,5749" coordsize="60,12" path="m2145,5749l2092,5749,2092,5760,2145,5760,2139,5755,2152,5755,2145,5749xm2152,5749l2145,5749,2152,5755,2152,5749xe" filled="true" fillcolor="#000000" stroked="false">
              <v:path arrowok="t"/>
              <v:fill type="solid"/>
            </v:shape>
            <v:shape style="position:absolute;left:2139;top:5755;width:13;height:59" coordorigin="2139,5755" coordsize="13,59" path="m2152,5801l2145,5801,2145,5813,2152,5807,2152,5801xm2152,5807l2145,5813,2152,5813,2152,5807xm2152,5755l2139,5755,2139,5807,2145,5801,2152,5801,2152,5755xe" filled="true" fillcolor="#000000" stroked="false">
              <v:path arrowok="t"/>
              <v:fill type="solid"/>
            </v:shape>
            <v:shape style="position:absolute;left:2087;top:5801;width:59;height:13" coordorigin="2087,5801" coordsize="59,13" path="m2087,5807l2087,5813,2092,5813,2087,5807xm2145,5801l2092,5801,2099,5807,2087,5807,2092,5813,2145,5813,2145,5801xe" filled="true" fillcolor="#000000" stroked="false">
              <v:path arrowok="t"/>
              <v:fill type="solid"/>
            </v:shape>
            <v:shape style="position:absolute;left:2087;top:5749;width:12;height:59" coordorigin="2087,5749" coordsize="12,59" path="m2092,5749l2087,5755,2087,5807,2099,5807,2099,5760,2092,5760,2092,5749xm2099,5755l2092,5760,2099,5760,2099,5755xm2092,5749l2087,5749,2087,5755,2092,5749xe" filled="true" fillcolor="#000000" stroked="false">
              <v:path arrowok="t"/>
              <v:fill type="solid"/>
            </v:shape>
            <v:line style="position:absolute" from="3074,6365" to="3126,6365" stroked="true" strokeweight="2.656358pt" strokecolor="#000000"/>
            <v:shape style="position:absolute;left:3074;top:6333;width:59;height:12" coordorigin="3074,6333" coordsize="59,12" path="m3126,6333l3074,6333,3074,6344,3126,6344,3121,6338,3132,6338,3126,6333xm3132,6333l3126,6333,3132,6338,3132,6333xe" filled="true" fillcolor="#000000" stroked="false">
              <v:path arrowok="t"/>
              <v:fill type="solid"/>
            </v:shape>
            <v:shape style="position:absolute;left:3121;top:6338;width:12;height:60" coordorigin="3121,6338" coordsize="12,60" path="m3132,6385l3126,6385,3126,6398,3132,6391,3132,6385xm3132,6391l3126,6398,3132,6398,3132,6391xm3132,6338l3121,6338,3121,6391,3126,6385,3132,6385,3132,6338xe" filled="true" fillcolor="#000000" stroked="false">
              <v:path arrowok="t"/>
              <v:fill type="solid"/>
            </v:shape>
            <v:shape style="position:absolute;left:3068;top:6385;width:59;height:13" coordorigin="3068,6385" coordsize="59,13" path="m3068,6391l3068,6398,3074,6398,3068,6391xm3126,6385l3074,6385,3080,6391,3068,6391,3074,6398,3126,6398,3126,6385xe" filled="true" fillcolor="#000000" stroked="false">
              <v:path arrowok="t"/>
              <v:fill type="solid"/>
            </v:shape>
            <v:shape style="position:absolute;left:3068;top:6333;width:13;height:59" coordorigin="3068,6333" coordsize="13,59" path="m3074,6333l3068,6338,3068,6391,3080,6391,3080,6344,3074,6344,3074,6333xm3080,6338l3074,6344,3080,6344,3080,6338xm3074,6333l3068,6333,3068,6338,3074,6333xe" filled="true" fillcolor="#000000" stroked="false">
              <v:path arrowok="t"/>
              <v:fill type="solid"/>
            </v:shape>
            <v:line style="position:absolute" from="4065,7080" to="4119,7080" stroked="true" strokeweight="2.656358pt" strokecolor="#000000"/>
            <v:shape style="position:absolute;left:4065;top:7047;width:62;height:13" coordorigin="4065,7047" coordsize="62,13" path="m4119,7047l4065,7047,4065,7060,4119,7060,4112,7053,4126,7053,4119,7047xm4126,7047l4119,7047,4126,7053,4126,7047xe" filled="true" fillcolor="#000000" stroked="false">
              <v:path arrowok="t"/>
              <v:fill type="solid"/>
            </v:shape>
            <v:shape style="position:absolute;left:4112;top:7053;width:15;height:60" coordorigin="4112,7053" coordsize="15,60" path="m4126,7100l4119,7100,4119,7113,4126,7106,4126,7100xm4126,7106l4119,7113,4126,7113,4126,7106xm4126,7053l4112,7053,4112,7106,4119,7100,4126,7100,4126,7053xe" filled="true" fillcolor="#000000" stroked="false">
              <v:path arrowok="t"/>
              <v:fill type="solid"/>
            </v:shape>
            <v:shape style="position:absolute;left:4058;top:7100;width:61;height:13" coordorigin="4058,7100" coordsize="61,13" path="m4058,7106l4058,7113,4065,7113,4058,7106xm4119,7100l4065,7100,4071,7106,4058,7106,4065,7113,4119,7113,4119,7100xe" filled="true" fillcolor="#000000" stroked="false">
              <v:path arrowok="t"/>
              <v:fill type="solid"/>
            </v:shape>
            <v:shape style="position:absolute;left:4058;top:7047;width:13;height:60" coordorigin="4058,7047" coordsize="13,60" path="m4065,7047l4058,7053,4058,7106,4071,7106,4071,7060,4065,7060,4065,7047xm4071,7053l4065,7060,4071,7060,4071,7053xm4065,7047l4058,7047,4058,7053,4065,7047xe" filled="true" fillcolor="#000000" stroked="false">
              <v:path arrowok="t"/>
              <v:fill type="solid"/>
            </v:shape>
            <v:shape style="position:absolute;left:2039;top:944;width:4039;height:4011" type="#_x0000_t75" stroked="false">
              <v:imagedata r:id="rId84" o:title=""/>
            </v:shape>
            <v:shape style="position:absolute;left:4035;top:8967;width:55;height:52" coordorigin="4035,8967" coordsize="55,52" path="m4063,8967l4035,8992,4063,9018,4089,8992,4063,8967xe" filled="true" fillcolor="#00ff00" stroked="false">
              <v:path arrowok="t"/>
              <v:fill type="solid"/>
            </v:shape>
            <v:shape style="position:absolute;left:4033;top:8958;width:32;height:40" coordorigin="4033,8958" coordsize="32,40" path="m4063,8958l4058,8961,4033,8988,4038,8997,4065,8970,4058,8970,4065,8961,4063,8958xe" filled="true" fillcolor="#00ff00" stroked="false">
              <v:path arrowok="t"/>
              <v:fill type="solid"/>
            </v:shape>
            <v:shape style="position:absolute;left:4058;top:8961;width:37;height:36" coordorigin="4058,8961" coordsize="37,36" path="m4065,8961l4058,8970,4085,8997,4085,8988,4092,8988,4065,8961xm4092,8988l4085,8988,4092,8997,4092,8988xm4092,8988l4092,8997,4095,8992,4092,8988xe" filled="true" fillcolor="#00ff00" stroked="false">
              <v:path arrowok="t"/>
              <v:fill type="solid"/>
            </v:shape>
            <v:shape style="position:absolute;left:4058;top:8988;width:34;height:40" coordorigin="4058,8988" coordsize="34,40" path="m4085,8988l4058,9015,4065,9015,4058,9023,4063,9028,4065,9023,4092,8997,4085,8988xe" filled="true" fillcolor="#00ff00" stroked="false">
              <v:path arrowok="t"/>
              <v:fill type="solid"/>
            </v:shape>
            <v:shape style="position:absolute;left:4028;top:8988;width:37;height:35" coordorigin="4028,8988" coordsize="37,35" path="m4033,8988l4033,8997,4058,9023,4065,9015,4047,8997,4038,8997,4033,8988xm4033,8988l4028,8992,4033,8997,4033,8988xm4038,8988l4038,8997,4047,8997,4038,8988xe" filled="true" fillcolor="#00ff00" stroked="false">
              <v:path arrowok="t"/>
              <v:fill type="solid"/>
            </v:shape>
            <v:shape style="position:absolute;left:2081;top:7576;width:52;height:54" coordorigin="2081,7576" coordsize="52,54" path="m2107,7576l2081,7603,2107,7630,2133,7603,2107,7576xe" filled="true" fillcolor="#00ff00" stroked="false">
              <v:path arrowok="t"/>
              <v:fill type="solid"/>
            </v:shape>
            <v:shape style="position:absolute;left:2077;top:7569;width:35;height:39" coordorigin="2077,7569" coordsize="35,39" path="m2107,7569l2102,7572,2077,7599,2084,7607,2111,7580,2102,7580,2111,7572,2107,7569xe" filled="true" fillcolor="#00ff00" stroked="false">
              <v:path arrowok="t"/>
              <v:fill type="solid"/>
            </v:shape>
            <v:shape style="position:absolute;left:2102;top:7572;width:39;height:35" coordorigin="2102,7572" coordsize="39,35" path="m2111,7572l2102,7580,2129,7607,2129,7599,2137,7599,2111,7572xm2137,7599l2129,7599,2137,7607,2137,7599xm2137,7599l2137,7607,2141,7603,2137,7599xe" filled="true" fillcolor="#00ff00" stroked="false">
              <v:path arrowok="t"/>
              <v:fill type="solid"/>
            </v:shape>
            <v:shape style="position:absolute;left:2102;top:7599;width:36;height:39" coordorigin="2102,7599" coordsize="36,39" path="m2129,7599l2102,7624,2111,7624,2102,7633,2107,7637,2111,7633,2137,7607,2129,7599xe" filled="true" fillcolor="#00ff00" stroked="false">
              <v:path arrowok="t"/>
              <v:fill type="solid"/>
            </v:shape>
            <v:shape style="position:absolute;left:2072;top:7599;width:40;height:35" coordorigin="2072,7599" coordsize="40,35" path="m2077,7599l2077,7607,2102,7633,2111,7624,2092,7607,2084,7607,2077,7599xm2077,7599l2072,7603,2077,7607,2077,7599xm2084,7599l2084,7607,2092,7607,2084,7599xe" filled="true" fillcolor="#00ff00" stroked="false">
              <v:path arrowok="t"/>
              <v:fill type="solid"/>
            </v:shape>
            <v:shape style="position:absolute;left:6005;top:8967;width:54;height:52" coordorigin="6005,8967" coordsize="54,52" path="m6030,8967l6005,9018,6058,9018,6030,8967xe" filled="true" fillcolor="#ff0000" stroked="false">
              <v:path arrowok="t"/>
              <v:fill type="solid"/>
            </v:shape>
            <v:shape style="position:absolute;left:6024;top:8964;width:45;height:64" coordorigin="6024,8964" coordsize="45,64" path="m6059,9012l6058,9012,6058,9028,6062,9017,6059,9012xm6062,9017l6058,9028,6068,9025,6062,9017xm6034,8964l6024,8970,6052,9023,6058,9012,6059,9012,6034,8964xe" filled="true" fillcolor="#ff0000" stroked="false">
              <v:path arrowok="t"/>
              <v:fill type="solid"/>
            </v:shape>
            <v:shape style="position:absolute;left:5995;top:9012;width:64;height:16" coordorigin="5995,9012" coordsize="64,16" path="m6000,9017l5995,9025,6005,9028,6000,9017xm6000,9017l6005,9028,6058,9028,6058,9023,6010,9023,6000,9017xm6058,9012l6005,9012,6010,9023,6058,9023,6058,9012xe" filled="true" fillcolor="#ff0000" stroked="false">
              <v:path arrowok="t"/>
              <v:fill type="solid"/>
            </v:shape>
            <v:shape style="position:absolute;left:6000;top:8954;width:34;height:69" coordorigin="6000,8954" coordsize="34,69" path="m6030,8954l6024,8964,6000,9017,6010,9023,6034,8970,6024,8970,6034,8964,6030,8954xe" filled="true" fillcolor="#ff0000" stroked="false">
              <v:path arrowok="t"/>
              <v:fill type="solid"/>
            </v:shape>
            <v:shape style="position:absolute;left:5014;top:6526;width:61;height:61" coordorigin="5014,6526" coordsize="61,61" path="m5067,6526l5014,6580,5020,6587,5075,6535,5071,6530,5067,6526xe" filled="true" fillcolor="#ff00ff" stroked="false">
              <v:path arrowok="t"/>
              <v:fill type="solid"/>
            </v:shape>
            <v:shape style="position:absolute;left:5014;top:6526;width:61;height:61" coordorigin="5014,6526" coordsize="61,61" path="m5020,6526l5018,6530,5014,6535,5067,6587,5075,6580,5020,6526xe" filled="true" fillcolor="#ff00ff" stroked="false">
              <v:path arrowok="t"/>
              <v:fill type="solid"/>
            </v:shape>
            <v:shape style="position:absolute;left:2074;top:8970;width:61;height:59" coordorigin="2074,8970" coordsize="61,59" path="m2129,8970l2074,9023,2082,9029,2135,8977,2131,8972,2129,8970xe" filled="true" fillcolor="#ff00ff" stroked="false">
              <v:path arrowok="t"/>
              <v:fill type="solid"/>
            </v:shape>
            <v:shape style="position:absolute;left:2074;top:8970;width:61;height:59" coordorigin="2074,8970" coordsize="61,59" path="m2082,8970l2078,8972,2074,8977,2129,9029,2135,9023,2082,8970xe" filled="true" fillcolor="#ff00ff" stroked="false">
              <v:path arrowok="t"/>
              <v:fill type="solid"/>
            </v:shape>
            <v:shape style="position:absolute;left:6000;top:5791;width:61;height:61" coordorigin="6000,5791" coordsize="61,61" path="m6052,5791l6000,5844,6005,5851,6061,5797,6056,5796,6052,5791xe" filled="true" fillcolor="#ff00ff" stroked="false">
              <v:path arrowok="t"/>
              <v:fill type="solid"/>
            </v:shape>
            <v:shape style="position:absolute;left:6000;top:5791;width:61;height:61" coordorigin="6000,5791" coordsize="61,61" path="m6005,5791l6004,5796,6000,5797,6052,5851,6061,5844,6005,5791xe" filled="true" fillcolor="#ff00ff" stroked="false">
              <v:path arrowok="t"/>
              <v:fill type="solid"/>
            </v:shape>
            <v:line style="position:absolute" from="5989,5461" to="6071,5461" stroked="true" strokeweight=".565003pt" strokecolor="#00ff00"/>
            <v:line style="position:absolute" from="5989,6978" to="6071,6978" stroked="true" strokeweight=".683063pt" strokecolor="#00ff00"/>
            <v:line style="position:absolute" from="6028,5463" to="6028,6979" stroked="true" strokeweight=".691664pt" strokecolor="#00ff00"/>
            <v:line style="position:absolute" from="5991,8563" to="6072,8563" stroked="true" strokeweight=".649332pt" strokecolor="#ff0000"/>
            <v:line style="position:absolute" from="5991,9416" to="6072,9416" stroked="true" strokeweight=".624033pt" strokecolor="#ff0000"/>
            <v:line style="position:absolute" from="6031,8565" to="6031,9418" stroked="true" strokeweight=".624185pt" strokecolor="#ff0000"/>
            <v:line style="position:absolute" from="3057,7823" to="3141,7823" stroked="true" strokeweight=".632466pt" strokecolor="#0000ff"/>
            <v:line style="position:absolute" from="3057,8787" to="3141,8787" stroked="true" strokeweight=".758959pt" strokecolor="#0000ff"/>
            <v:line style="position:absolute" from="3098,7823" to="3098,8788" stroked="true" strokeweight=".624185pt" strokecolor="#0000ff"/>
            <v:line style="position:absolute" from="3057,7087" to="3141,7087" stroked="true" strokeweight=".691496pt" strokecolor="#ff0000"/>
            <v:line style="position:absolute" from="3057,5805" to="3141,5805" stroked="true" strokeweight=".565003pt" strokecolor="#ff0000"/>
            <v:line style="position:absolute" from="3098,5803" to="3098,7086" stroked="true" strokeweight=".624185pt" strokecolor="#ff0000"/>
            <v:line style="position:absolute" from="3057,7728" to="3141,7728" stroked="true" strokeweight=".716795pt" strokecolor="#ff00ff"/>
            <v:line style="position:absolute" from="3057,8100" to="3141,8100" stroked="true" strokeweight=".683063pt" strokecolor="#ff00ff"/>
            <v:line style="position:absolute" from="3098,7726" to="3098,8101" stroked="true" strokeweight=".624184pt" strokecolor="#ff00ff"/>
            <v:line style="position:absolute" from="2067,7183" to="2148,7183" stroked="true" strokeweight=".565003pt" strokecolor="#00ff00"/>
            <v:line style="position:absolute" from="2067,8023" to="2148,8023" stroked="true" strokeweight=".691496pt" strokecolor="#00ff00"/>
            <v:line style="position:absolute" from="2105,7184" to="2105,8024" stroked="true" strokeweight=".683229pt" strokecolor="#00ff00"/>
            <v:line style="position:absolute" from="5007,5925" to="5091,5925" stroked="true" strokeweight=".649332pt" strokecolor="#0000ff"/>
            <v:line style="position:absolute" from="5007,6065" to="5091,6065" stroked="true" strokeweight=".565003pt" strokecolor="#0000ff"/>
            <v:line style="position:absolute" from="5048,5925" to="5048,6064" stroked="true" strokeweight=".632619pt" strokecolor="#0000ff"/>
            <v:line style="position:absolute" from="2078,5672" to="2159,5672" stroked="true" strokeweight=".632466pt" strokecolor="#000000"/>
            <v:line style="position:absolute" from="2078,5908" to="2159,5908" stroked="true" strokeweight=".691496pt" strokecolor="#000000"/>
            <v:line style="position:absolute" from="2119,5672" to="2119,5908" stroked="true" strokeweight=".632619pt" strokecolor="#000000"/>
            <v:line style="position:absolute" from="2078,6033" to="2159,6033" stroked="true" strokeweight=".632466pt" strokecolor="#ff0000"/>
            <v:line style="position:absolute" from="2078,5885" to="2159,5885" stroked="true" strokeweight=".632466pt" strokecolor="#ff0000"/>
            <v:line style="position:absolute" from="2119,5882" to="2119,6033" stroked="true" strokeweight=".632619pt" strokecolor="#ff0000"/>
            <v:line style="position:absolute" from="2064,8473" to="2145,8473" stroked="true" strokeweight=".758959pt" strokecolor="#0000ff"/>
            <v:line style="position:absolute" from="2064,9264" to="2145,9264" stroked="true" strokeweight=".624033pt" strokecolor="#0000ff"/>
            <v:line style="position:absolute" from="2105,8474" to="2105,9265" stroked="true" strokeweight=".624185pt" strokecolor="#0000ff"/>
            <v:line style="position:absolute" from="2064,8721" to="2145,8721" stroked="true" strokeweight=".683063pt" strokecolor="#0000ff"/>
            <v:line style="position:absolute" from="2064,9264" to="2145,9264" stroked="true" strokeweight=".624033pt" strokecolor="#0000ff"/>
            <v:line style="position:absolute" from="2105,8721" to="2105,9264" stroked="true" strokeweight=".624184pt" strokecolor="#0000ff"/>
            <v:line style="position:absolute" from="2064,8721" to="2145,8721" stroked="true" strokeweight=".683063pt" strokecolor="#ff00ff"/>
            <v:line style="position:absolute" from="2064,9302" to="2145,9302" stroked="true" strokeweight=".624033pt" strokecolor="#ff00ff"/>
            <v:line style="position:absolute" from="2105,8721" to="2105,9302" stroked="true" strokeweight=".624184pt" strokecolor="#ff00ff"/>
            <v:line style="position:absolute" from="4051,6851" to="4132,6851" stroked="true" strokeweight=".649332pt" strokecolor="#ff0000"/>
            <v:line style="position:absolute" from="4051,7335" to="4132,7335" stroked="true" strokeweight=".565003pt" strokecolor="#ff0000"/>
            <v:line style="position:absolute" from="4092,6851" to="4092,7337" stroked="true" strokeweight=".632619pt" strokecolor="#ff0000"/>
            <v:line style="position:absolute" from="4051,6958" to="4132,6958" stroked="true" strokeweight=".708362pt" strokecolor="#ff0000"/>
            <v:line style="position:absolute" from="4051,7687" to="4132,7687" stroked="true" strokeweight=".691496pt" strokecolor="#ff0000"/>
            <v:line style="position:absolute" from="4092,6958" to="4092,7688" stroked="true" strokeweight=".632619pt" strokecolor="#ff0000"/>
            <v:line style="position:absolute" from="4051,6955" to="4132,6955" stroked="true" strokeweight=".649332pt" strokecolor="#000000"/>
            <v:line style="position:absolute" from="4051,7189" to="4132,7189" stroked="true" strokeweight=".565003pt" strokecolor="#000000"/>
            <v:line style="position:absolute" from="4092,6955" to="4092,7189" stroked="true" strokeweight=".632619pt" strokecolor="#000000"/>
            <v:line style="position:absolute" from="4051,7040" to="4132,7040" stroked="true" strokeweight=".691496pt" strokecolor="#ff00ff"/>
            <v:line style="position:absolute" from="4051,7167" to="4132,7167" stroked="true" strokeweight=".624033pt" strokecolor="#ff00ff"/>
            <v:line style="position:absolute" from="4092,7042" to="4092,7167" stroked="true" strokeweight=".632619pt" strokecolor="#ff00ff"/>
            <v:line style="position:absolute" from="4997,7313" to="5081,7313" stroked="true" strokeweight=".649332pt" strokecolor="#ff0000"/>
            <v:line style="position:absolute" from="4997,8197" to="5081,8197" stroked="true" strokeweight=".716795pt" strokecolor="#ff0000"/>
            <v:line style="position:absolute" from="5038,7315" to="5038,8197" stroked="true" strokeweight=".624185pt" strokecolor="#ff0000"/>
            <v:line style="position:absolute" from="4997,7864" to="5081,7864" stroked="true" strokeweight=".624033pt" strokecolor="#000000"/>
            <v:line style="position:absolute" from="4997,8197" to="5081,8197" stroked="true" strokeweight=".716795pt" strokecolor="#000000"/>
            <v:line style="position:absolute" from="5038,7864" to="5038,8198" stroked="true" strokeweight=".624184pt" strokecolor="#000000"/>
            <v:line style="position:absolute" from="5989,5459" to="6071,5459" stroked="true" strokeweight=".649332pt" strokecolor="#00ff00"/>
            <v:line style="position:absolute" from="5989,6388" to="6071,6388" stroked="true" strokeweight=".716795pt" strokecolor="#00ff00"/>
            <v:line style="position:absolute" from="6028,5462" to="6028,6389" stroked="true" strokeweight=".691664pt" strokecolor="#00ff00"/>
            <v:line style="position:absolute" from="5989,5638" to="6071,5638" stroked="true" strokeweight=".691496pt" strokecolor="#0000ff"/>
            <v:line style="position:absolute" from="5989,6388" to="6071,6388" stroked="true" strokeweight=".716795pt" strokecolor="#0000ff"/>
            <v:line style="position:absolute" from="6028,5639" to="6028,6389" stroked="true" strokeweight=".691664pt" strokecolor="#0000ff"/>
            <v:line style="position:absolute" from="5989,5638" to="6071,5638" stroked="true" strokeweight=".691496pt" strokecolor="#ff00ff"/>
            <v:line style="position:absolute" from="5989,5995" to="6071,5995" stroked="true" strokeweight=".691496pt" strokecolor="#ff00ff"/>
            <v:line style="position:absolute" from="6028,5638" to="6028,5993" stroked="true" strokeweight=".691664pt" strokecolor="#ff00ff"/>
            <v:shape style="position:absolute;left:2115;top:5962;width:1018;height:493" coordorigin="2115,5962" coordsize="1018,493" path="m3125,6454l3125,6454,3126,6454,3125,6454xm2119,5962l2115,5972,3125,6454,3132,6444,3131,6444,2119,5962xe" filled="true" fillcolor="#ff0000" stroked="false">
              <v:path arrowok="t"/>
              <v:fill type="solid"/>
            </v:shape>
            <v:shape style="position:absolute;left:3125;top:6444;width:970;height:677" coordorigin="3125,6444" coordsize="970,677" path="m3132,6444l3125,6454,4085,7121,4085,7118,4094,7110,3132,6444xe" filled="true" fillcolor="#ff0000" stroked="false">
              <v:path arrowok="t"/>
              <v:fill type="solid"/>
            </v:shape>
            <v:shape style="position:absolute;left:4085;top:7110;width:962;height:845" coordorigin="4085,7110" coordsize="962,845" path="m4094,7110l4085,7118,5041,7955,5047,7947,4094,7110xe" filled="true" fillcolor="#ff0000" stroked="false">
              <v:path arrowok="t"/>
              <v:fill type="solid"/>
            </v:shape>
            <v:shape style="position:absolute;left:5041;top:7947;width:995;height:1082" coordorigin="5041,7947" coordsize="995,1082" path="m5047,7947l5041,7955,6030,9029,6031,9028,6035,9023,5047,7947xe" filled="true" fillcolor="#ff0000" stroked="false">
              <v:path arrowok="t"/>
              <v:fill type="solid"/>
            </v:shape>
            <v:shape style="position:absolute;left:2092;top:7481;width:1176;height:322" coordorigin="2092,7481" coordsize="1176,322" path="m2739,7493l2629,7493,2707,7498,2741,7503,2777,7509,2814,7518,2883,7538,2918,7550,2950,7566,2984,7580,3017,7600,3050,7619,3080,7641,3112,7664,3143,7688,3173,7714,3203,7742,3260,7803,3268,7797,3240,7765,3212,7735,3181,7705,3121,7654,3055,7609,3023,7590,2991,7570,2956,7556,2922,7540,2888,7528,2817,7508,2780,7499,2739,7493xm2594,7481l2553,7485,2514,7488,2473,7491,2392,7503,2351,7513,2310,7523,2267,7533,2182,7562,2137,7576,2092,7594,2099,7604,2141,7587,2269,7543,2395,7513,2476,7502,2514,7498,2594,7493,2739,7493,2707,7488,2629,7483,2594,7481xe" filled="true" fillcolor="#00ff00" stroked="false">
              <v:path arrowok="t"/>
              <v:fill type="solid"/>
            </v:shape>
            <v:shape style="position:absolute;left:3260;top:7797;width:545;height:584" coordorigin="3260,7797" coordsize="545,584" path="m3268,7797l3260,7803,3798,8380,3804,8372,3268,7797xm3805,8370l3804,8372,3805,8373,3805,8370xe" filled="true" fillcolor="#00ff00" stroked="false">
              <v:path arrowok="t"/>
              <v:fill type="solid"/>
            </v:shape>
            <v:shape style="position:absolute;left:3798;top:8221;width:1065;height:326" coordorigin="3798,8221" coordsize="1065,326" path="m3805,8370l3798,8380,3832,8403,3865,8423,3899,8444,3963,8475,4028,8504,4063,8515,4095,8525,4128,8532,4160,8539,4195,8542,4227,8545,4261,8546,4294,8545,4329,8541,4370,8535,4227,8535,4195,8532,4162,8529,4130,8522,4098,8515,4033,8494,4000,8480,3967,8465,3903,8434,3838,8393,3805,8370xm4853,8223l4819,8258,4787,8289,4720,8349,4687,8373,4653,8397,4621,8420,4588,8440,4555,8458,4524,8474,4489,8490,4456,8501,4424,8512,4392,8521,4359,8526,4294,8535,4370,8535,4393,8531,4426,8522,4460,8511,4494,8501,4560,8468,4592,8450,4626,8430,4661,8407,4693,8383,4726,8356,4760,8326,4793,8298,4828,8263,4859,8228,4862,8227,4853,8223xm4862,8227l4859,8228,4862,8228,4862,8227xm4854,8221l4852,8222,4853,8223,4854,8221xe" filled="true" fillcolor="#00ff00" stroked="false">
              <v:path arrowok="t"/>
              <v:fill type="solid"/>
            </v:shape>
            <v:shape style="position:absolute;left:4852;top:6205;width:1186;height:2023" coordorigin="4852,6205" coordsize="1186,2023" path="m6028,6205l4852,8222,4862,8227,6038,6209,6031,6206,6028,6205xe" filled="true" fillcolor="#00ff00" stroked="false">
              <v:path arrowok="t"/>
              <v:fill type="solid"/>
            </v:shape>
            <v:shape style="position:absolute;left:2135;top:5786;width:990;height:660" coordorigin="2135,5786" coordsize="990,660" path="m3117,6445l3116,6446,3118,6446,3117,6445xm2139,5786l2135,5796,3117,6445,3125,6435,2139,5786xe" filled="true" fillcolor="#000000" stroked="false">
              <v:path arrowok="t"/>
              <v:fill type="solid"/>
            </v:shape>
            <v:shape style="position:absolute;left:3116;top:6435;width:979;height:665" coordorigin="3116,6435" coordsize="979,665" path="m3125,6435l3116,6446,4085,7100,4094,7092,4094,7090,3125,6435xe" filled="true" fillcolor="#000000" stroked="false">
              <v:path arrowok="t"/>
              <v:fill type="solid"/>
            </v:shape>
            <v:shape style="position:absolute;left:4085;top:7092;width:978;height:1001" coordorigin="4085,7092" coordsize="978,1001" path="m4094,7092l4085,7100,5054,8093,5062,8085,4094,7092xe" filled="true" fillcolor="#000000" stroked="false">
              <v:path arrowok="t"/>
              <v:fill type="solid"/>
            </v:shape>
            <v:shape style="position:absolute;left:5054;top:8085;width:977;height:988" coordorigin="5054,8085" coordsize="977,988" path="m5062,8085l5054,8093,6025,9073,6030,9069,6031,9065,5062,8085xe" filled="true" fillcolor="#000000" stroked="false">
              <v:path arrowok="t"/>
              <v:fill type="solid"/>
            </v:shape>
            <v:shape style="position:absolute;left:2094;top:7913;width:1028;height:1099" coordorigin="2094,7913" coordsize="1028,1099" path="m3115,7913l2094,9007,2102,9012,3122,7921,3115,7913xe" filled="true" fillcolor="#ff00ff" stroked="false">
              <v:path arrowok="t"/>
              <v:fill type="solid"/>
            </v:shape>
            <v:shape style="position:absolute;left:3115;top:7104;width:967;height:817" coordorigin="3115,7104" coordsize="967,817" path="m4075,7104l4075,7106,3115,7913,3122,7921,4081,7114,4075,7104xe" filled="true" fillcolor="#ff00ff" stroked="false">
              <v:path arrowok="t"/>
              <v:fill type="solid"/>
            </v:shape>
            <v:shape style="position:absolute;left:4075;top:6536;width:962;height:578" coordorigin="4075,6536" coordsize="962,578" path="m5029,6537l4075,7104,4081,7114,5034,6547,5037,6547,5029,6537xm5030,6536l5028,6536,5029,6537,5030,6536xe" filled="true" fillcolor="#ff00ff" stroked="false">
              <v:path arrowok="t"/>
              <v:fill type="solid"/>
            </v:shape>
            <v:shape style="position:absolute;left:5028;top:5818;width:1010;height:730" coordorigin="5028,5818" coordsize="1010,730" path="m6030,5818l5028,6536,5037,6547,6038,5828,6034,5821,6030,5818xe" filled="true" fillcolor="#ff00ff" stroked="false">
              <v:path arrowok="t"/>
              <v:fill type="solid"/>
            </v:shape>
            <v:shape style="position:absolute;left:4048;top:5860;width:1986;height:1362" coordorigin="4048,5860" coordsize="1986,1362" path="m6034,5860l5957,5862,5882,5868,5809,5877,5737,5887,5669,5898,5602,5915,5538,5933,5474,5953,5412,5976,5290,6029,5231,6059,5115,6128,5058,6165,5001,6206,4947,6252,4834,6344,4778,6398,4723,6449,4608,6566,4551,6626,4432,6758,4373,6827,4247,6975,4183,7052,4048,7214,4057,7222,4126,7138,4256,6981,4319,6908,4379,6834,4440,6763,4499,6698,4560,6634,4616,6573,4673,6515,4730,6458,4787,6405,4842,6353,4896,6304,4953,6262,5010,6216,5067,6176,5122,6138,5237,6069,5294,6039,5416,5986,5476,5963,5541,5943,5606,5925,5670,5908,5740,5897,5811,5887,5882,5878,5957,5872,6034,5871,6034,5860xe" filled="true" fillcolor="#0000ff" stroked="false">
              <v:path arrowok="t"/>
              <v:fill type="solid"/>
            </v:shape>
            <v:shape style="position:absolute;left:3081;top:7214;width:976;height:1031" coordorigin="3081,7214" coordsize="976,1031" path="m4048,7214l4024,7246,3998,7276,3973,7310,3946,7341,3919,7374,3891,7404,3862,7437,3836,7468,3780,7533,3751,7563,3722,7597,3692,7627,3662,7661,3632,7692,3542,7787,3477,7852,3447,7884,3352,7979,3317,8012,3253,8076,3217,8107,3183,8140,3151,8171,3083,8236,3091,8245,3091,8242,3125,8212,3159,8180,3192,8148,3260,8083,3293,8050,3325,8020,3517,7827,3609,7731,3639,7700,3669,7667,3699,7635,3729,7604,3759,7572,3785,7540,3815,7508,3842,7478,3899,7411,3926,7380,3952,7350,3978,7317,4007,7285,4033,7254,4057,7222,4048,7214xm3081,8235l3081,8237,3083,8236,3081,8235xe" filled="true" fillcolor="#0000ff" stroked="false">
              <v:path arrowok="t"/>
              <v:fill type="solid"/>
            </v:shape>
            <v:shape style="position:absolute;left:2094;top:8235;width:997;height:635" coordorigin="2094,8235" coordsize="997,635" path="m3081,8235l3017,8279,2987,8302,2954,8323,2923,8346,2892,8367,2861,8389,2831,8410,2737,8474,2705,8494,2676,8515,2646,8532,2614,8552,2523,8614,2431,8668,2368,8704,2340,8724,2279,8759,2247,8776,2216,8794,2094,8859,2099,8869,2129,8853,2162,8836,2192,8820,2222,8802,2283,8769,2527,8624,2558,8603,2650,8542,2680,8525,2713,8502,2744,8484,2774,8464,2837,8420,2867,8399,2899,8377,2929,8356,3091,8245,3081,8235xe" filled="true" fillcolor="#0000ff" stroked="false">
              <v:path arrowok="t"/>
              <v:fill type="solid"/>
            </v:shape>
            <v:line style="position:absolute" from="6697,1155" to="6747,1155" stroked="true" strokeweight=".565003pt" strokecolor="#000000"/>
            <v:line style="position:absolute" from="6697,1354" to="6747,1354" stroked="true" strokeweight=".565003pt" strokecolor="#000000"/>
            <v:line style="position:absolute" from="6697,1551" to="6747,1551" stroked="true" strokeweight=".565003pt" strokecolor="#000000"/>
            <v:line style="position:absolute" from="6697,1748" to="6747,1748" stroked="true" strokeweight=".632466pt" strokecolor="#000000"/>
            <v:line style="position:absolute" from="6697,1944" to="6747,1944" stroked="true" strokeweight=".649332pt" strokecolor="#000000"/>
            <v:shape style="position:absolute;left:6697;top:2134;width:51;height:13" coordorigin="6697,2134" coordsize="51,13" path="m6747,2136l6697,2136,6697,2147,6747,2147,6747,2136xm6727,2134l6714,2134,6709,2136,6733,2136,6727,2134xe" filled="true" fillcolor="#000000" stroked="false">
              <v:path arrowok="t"/>
              <v:fill type="solid"/>
            </v:shape>
            <v:line style="position:absolute" from="6697,2339" to="6747,2339" stroked="true" strokeweight=".624033pt" strokecolor="#000000"/>
            <v:shape style="position:absolute;left:6697;top:2529;width:51;height:13" coordorigin="6697,2529" coordsize="51,13" path="m6747,2531l6697,2531,6697,2541,6703,2541,6709,2539,6747,2539,6747,2531xm6733,2539l6709,2539,6714,2541,6727,2541,6733,2539xm6747,2539l6733,2539,6741,2541,6747,2541,6747,2539xm6733,2529l6709,2529,6703,2531,6741,2531,6733,2529xe" filled="true" fillcolor="#000000" stroked="false">
              <v:path arrowok="t"/>
              <v:fill type="solid"/>
            </v:shape>
            <v:line style="position:absolute" from="6697,2733" to="6747,2733" stroked="true" strokeweight=".691496pt" strokecolor="#000000"/>
            <v:line style="position:absolute" from="6697,2930" to="6747,2930" stroked="true" strokeweight=".691496pt" strokecolor="#000000"/>
            <v:shape style="position:absolute;left:6697;top:3119;width:51;height:15" coordorigin="6697,3119" coordsize="51,15" path="m6747,3123l6697,3123,6697,3133,6703,3133,6709,3132,6747,3132,6747,3123xm6733,3132l6709,3132,6714,3133,6727,3133,6733,3132xm6747,3132l6733,3132,6741,3133,6747,3133,6747,3132xm6727,3119l6714,3119,6703,3123,6741,3123,6733,3121,6727,3119xe" filled="true" fillcolor="#000000" stroked="false">
              <v:path arrowok="t"/>
              <v:fill type="solid"/>
            </v:shape>
            <v:line style="position:absolute" from="6697,3323" to="6747,3323" stroked="true" strokeweight=".565003pt" strokecolor="#000000"/>
            <v:shape style="position:absolute;left:6697;top:3514;width:51;height:13" coordorigin="6697,3514" coordsize="51,13" path="m6747,3517l6697,3517,6697,3526,6747,3526,6747,3517xm6727,3514l6714,3514,6709,3517,6733,3517,6727,3514xe" filled="true" fillcolor="#000000" stroked="false">
              <v:path arrowok="t"/>
              <v:fill type="solid"/>
            </v:shape>
            <v:line style="position:absolute" from="6697,3718" to="6747,3718" stroked="true" strokeweight=".565003pt" strokecolor="#000000"/>
            <v:shape style="position:absolute;left:6697;top:3909;width:51;height:13" coordorigin="6697,3909" coordsize="51,13" path="m6747,3912l6697,3912,6697,3922,6703,3922,6709,3919,6747,3919,6747,3912xm6733,3919l6709,3919,6714,3922,6727,3922,6733,3919xm6747,3919l6733,3919,6741,3922,6747,3922,6747,3919xm6733,3909l6709,3909,6703,3912,6741,3912,6733,3909xe" filled="true" fillcolor="#000000" stroked="false">
              <v:path arrowok="t"/>
              <v:fill type="solid"/>
            </v:shape>
            <v:shape style="position:absolute;left:6697;top:4105;width:51;height:13" coordorigin="6697,4105" coordsize="51,13" path="m6747,4108l6697,4108,6697,4118,6703,4118,6709,4116,6747,4116,6747,4108xm6733,4116l6709,4116,6714,4118,6727,4118,6733,4116xm6747,4116l6733,4116,6741,4118,6747,4118,6747,4116xm6733,4105l6709,4105,6703,4108,6741,4108,6733,4105xe" filled="true" fillcolor="#000000" stroked="false">
              <v:path arrowok="t"/>
              <v:fill type="solid"/>
            </v:shape>
            <v:shape style="position:absolute;left:6697;top:4301;width:51;height:16" coordorigin="6697,4301" coordsize="51,16" path="m6747,4307l6697,4307,6697,4317,6703,4317,6709,4314,6747,4314,6747,4307xm6733,4314l6709,4314,6714,4317,6727,4317,6733,4314xm6747,4314l6733,4314,6741,4317,6747,4317,6747,4314xm6727,4301l6714,4301,6703,4307,6741,4307,6733,4304,6727,4301xe" filled="true" fillcolor="#000000" stroked="false">
              <v:path arrowok="t"/>
              <v:fill type="solid"/>
            </v:shape>
            <v:shape style="position:absolute;left:6697;top:4499;width:51;height:12" coordorigin="6697,4499" coordsize="51,12" path="m6747,4500l6697,4500,6697,4510,6703,4510,6709,4509,6747,4509,6747,4500xm6733,4509l6709,4509,6714,4510,6727,4510,6733,4509xm6747,4509l6733,4509,6741,4510,6747,4510,6747,4509xm6733,4499l6709,4499,6703,4500,6741,4500,6733,4499xe" filled="true" fillcolor="#000000" stroked="false">
              <v:path arrowok="t"/>
              <v:fill type="solid"/>
            </v:shape>
            <v:shape style="position:absolute;left:6697;top:4695;width:51;height:14" coordorigin="6697,4695" coordsize="51,14" path="m6747,4699l6697,4699,6697,4709,6703,4709,6709,4707,6747,4707,6747,4699xm6733,4707l6709,4707,6714,4709,6727,4709,6733,4707xm6747,4707l6733,4707,6741,4709,6747,4709,6747,4707xm6727,4695l6714,4695,6703,4699,6741,4699,6733,4697,6727,4695xe" filled="true" fillcolor="#000000" stroked="false">
              <v:path arrowok="t"/>
              <v:fill type="solid"/>
            </v:shape>
            <v:line style="position:absolute" from="6697,4902" to="6747,4902" stroked="true" strokeweight=".632466pt" strokecolor="#000000"/>
            <v:line style="position:absolute" from="6318,4904" to="6369,4904" stroked="true" strokeweight=".565003pt" strokecolor="#000000"/>
            <v:shape style="position:absolute;left:6318;top:4565;width:51;height:16" coordorigin="6318,4565" coordsize="51,16" path="m6369,4570l6318,4570,6318,4580,6324,4580,6329,4578,6369,4578,6369,4570xm6356,4578l6329,4578,6335,4580,6350,4580,6356,4578xm6369,4578l6356,4578,6362,4580,6369,4580,6369,4578xm6350,4565l6335,4565,6324,4570,6362,4570,6350,4565xe" filled="true" fillcolor="#000000" stroked="false">
              <v:path arrowok="t"/>
              <v:fill type="solid"/>
            </v:shape>
            <v:shape style="position:absolute;left:6318;top:4237;width:51;height:13" coordorigin="6318,4237" coordsize="51,13" path="m6369,4240l6318,4240,6318,4250,6369,4250,6369,4240xm6350,4237l6335,4237,6329,4240,6356,4240,6350,4237xe" filled="true" fillcolor="#000000" stroked="false">
              <v:path arrowok="t"/>
              <v:fill type="solid"/>
            </v:shape>
            <v:shape style="position:absolute;left:6318;top:3909;width:51;height:13" coordorigin="6318,3909" coordsize="51,13" path="m6369,3912l6318,3912,6318,3922,6324,3922,6329,3919,6369,3919,6369,3912xm6356,3919l6329,3919,6335,3922,6350,3922,6356,3919xm6369,3919l6356,3919,6362,3922,6369,3922,6369,3919xm6356,3909l6329,3909,6324,3912,6362,3912,6356,3909xe" filled="true" fillcolor="#000000" stroked="false">
              <v:path arrowok="t"/>
              <v:fill type="solid"/>
            </v:shape>
            <v:line style="position:absolute" from="6315,3586" to="6366,3586" stroked="true" strokeweight=".716795pt" strokecolor="#000000"/>
            <v:shape style="position:absolute;left:6315;top:3251;width:51;height:13" coordorigin="6315,3251" coordsize="51,13" path="m6366,3253l6315,3253,6315,3263,6324,3263,6329,3261,6366,3261,6366,3253xm6355,3261l6329,3261,6335,3263,6348,3263,6355,3261xm6366,3261l6355,3261,6360,3263,6366,3263,6366,3261xm6355,3251l6329,3251,6324,3253,6360,3253,6355,3251xe" filled="true" fillcolor="#000000" stroked="false">
              <v:path arrowok="t"/>
              <v:fill type="solid"/>
            </v:shape>
            <v:line style="position:absolute" from="6315,2926" to="6366,2926" stroked="true" strokeweight=".649332pt" strokecolor="#000000"/>
            <v:line style="position:absolute" from="6315,2598" to="6366,2598" stroked="true" strokeweight=".624033pt" strokecolor="#000000"/>
            <v:shape style="position:absolute;left:6315;top:2262;width:51;height:13" coordorigin="6315,2262" coordsize="51,13" path="m6366,2264l6315,2264,6315,2274,6366,2274,6366,2264xm6348,2262l6335,2262,6329,2264,6355,2264,6348,2262xe" filled="true" fillcolor="#000000" stroked="false">
              <v:path arrowok="t"/>
              <v:fill type="solid"/>
            </v:shape>
            <v:line style="position:absolute" from="6315,1940" to="6366,1940" stroked="true" strokeweight=".649332pt" strokecolor="#000000"/>
            <v:line style="position:absolute" from="6315,1610" to="6366,1610" stroked="true" strokeweight=".691496pt" strokecolor="#000000"/>
            <v:line style="position:absolute" from="6315,1282" to="6366,1282" stroked="true" strokeweight=".632466pt" strokecolor="#000000"/>
            <v:line style="position:absolute" from="6315,951" to="6366,951" stroked="true" strokeweight=".649332pt" strokecolor="#000000"/>
            <v:line style="position:absolute" from="6399,4923" to="6410,4923" stroked="true" strokeweight="2.529865pt" strokecolor="#000000"/>
            <v:line style="position:absolute" from="6008,4923" to="6020,4923" stroked="true" strokeweight="2.529865pt" strokecolor="#000000"/>
            <v:line style="position:absolute" from="5616,4923" to="5628,4923" stroked="true" strokeweight="2.529865pt" strokecolor="#000000"/>
            <v:line style="position:absolute" from="5224,4923" to="5237,4923" stroked="true" strokeweight="2.529865pt" strokecolor="#000000"/>
            <v:line style="position:absolute" from="1703,4930" to="1716,4930" stroked="true" strokeweight="2.470835pt" strokecolor="#000000"/>
            <v:line style="position:absolute" from="6011,9441" to="6025,9441" stroked="true" strokeweight="2.529865pt" strokecolor="#000000"/>
            <v:line style="position:absolute" from="5622,9441" to="5635,9441" stroked="true" strokeweight="2.529865pt" strokecolor="#000000"/>
            <v:line style="position:absolute" from="5231,9441" to="5243,9441" stroked="true" strokeweight="2.529865pt" strokecolor="#000000"/>
            <v:shape style="position:absolute;left:4839;top:9416;width:13;height:51" coordorigin="4839,9416" coordsize="13,51" path="m4849,9416l4839,9416,4839,9467,4849,9467,4849,9453,4852,9447,4852,9433,4849,9426,4849,9416xe" filled="true" fillcolor="#000000" stroked="false">
              <v:path arrowok="t"/>
              <v:fill type="solid"/>
            </v:shape>
            <v:shape style="position:absolute;left:4449;top:9416;width:12;height:51" coordorigin="4449,9416" coordsize="12,51" path="m4459,9416l4449,9416,4449,9422,4450,9426,4449,9433,4449,9447,4450,9453,4449,9458,4449,9467,4459,9467,4459,9458,4460,9453,4460,9426,4459,9422,4459,9416xe" filled="true" fillcolor="#000000" stroked="false">
              <v:path arrowok="t"/>
              <v:fill type="solid"/>
            </v:shape>
            <v:line style="position:absolute" from="4057,9441" to="4068,9441" stroked="true" strokeweight="2.529865pt" strokecolor="#000000"/>
            <v:line style="position:absolute" from="3666,9439" to="3679,9439" stroked="true" strokeweight="2.538298pt" strokecolor="#000000"/>
            <v:line style="position:absolute" from="3274,9439" to="3287,9439" stroked="true" strokeweight="2.538298pt" strokecolor="#000000"/>
            <v:shape style="position:absolute;left:2883;top:9414;width:16;height:51" coordorigin="2883,9414" coordsize="16,51" path="m2893,9414l2883,9414,2883,9420,2885,9426,2883,9433,2883,9444,2885,9453,2883,9458,2883,9464,2893,9464,2893,9458,2896,9453,2898,9444,2898,9433,2893,9420,2893,9414xe" filled="true" fillcolor="#000000" stroked="false">
              <v:path arrowok="t"/>
              <v:fill type="solid"/>
            </v:shape>
            <v:shape style="position:absolute;left:2493;top:9414;width:14;height:51" coordorigin="2493,9414" coordsize="14,51" path="m2503,9414l2493,9414,2493,9420,2494,9426,2493,9433,2493,9444,2494,9453,2493,9458,2493,9464,2503,9464,2503,9458,2504,9453,2506,9444,2506,9433,2503,9420,2503,9414xe" filled="true" fillcolor="#000000" stroked="false">
              <v:path arrowok="t"/>
              <v:fill type="solid"/>
            </v:shape>
            <v:shape style="position:absolute;left:2102;top:9414;width:13;height:51" coordorigin="2102,9414" coordsize="13,51" path="m2112,9414l2102,9414,2102,9464,2112,9464,2112,9453,2115,9444,2115,9433,2112,9426,2112,9414xe" filled="true" fillcolor="#000000" stroked="false">
              <v:path arrowok="t"/>
              <v:fill type="solid"/>
            </v:shape>
            <v:line style="position:absolute" from="1707,9441" to="1722,9441" stroked="true" strokeweight="2.529865pt" strokecolor="#000000"/>
            <v:line style="position:absolute" from="6964,1354" to="7015,1354" stroked="true" strokeweight=".565003pt" strokecolor="#000000"/>
            <v:line style="position:absolute" from="6964,1698" to="7015,1698" stroked="true" strokeweight=".691496pt" strokecolor="#000000"/>
            <v:shape style="position:absolute;left:6964;top:2032;width:51;height:13" coordorigin="6964,2032" coordsize="51,13" path="m7015,2035l6964,2035,6964,2045,6970,2045,6977,2043,7015,2043,7015,2035xm7001,2043l6977,2043,6983,2045,6995,2045,7001,2043xm7015,2043l7001,2043,7007,2045,7015,2045,7015,2043xm7001,2032l6977,2032,6970,2035,7007,2035,7001,2032xe" filled="true" fillcolor="#000000" stroked="false">
              <v:path arrowok="t"/>
              <v:fill type="solid"/>
            </v:shape>
            <v:line style="position:absolute" from="6964,2381" to="7015,2381" stroked="true" strokeweight=".565003pt" strokecolor="#000000"/>
            <v:shape style="position:absolute;left:6964;top:2718;width:51;height:13" coordorigin="6964,2718" coordsize="51,13" path="m7015,2720l6964,2720,6964,2730,6970,2730,6977,2728,7015,2728,7015,2720xm7001,2728l6977,2728,6983,2730,6995,2730,7001,2728xm7015,2728l7001,2728,7007,2730,7015,2730,7015,2728xm7001,2718l6977,2718,6970,2720,7007,2720,7001,2718xe" filled="true" fillcolor="#000000" stroked="false">
              <v:path arrowok="t"/>
              <v:fill type="solid"/>
            </v:shape>
            <v:line style="position:absolute" from="6964,3066" to="7015,3066" stroked="true" strokeweight=".573436pt" strokecolor="#000000"/>
            <v:shape style="position:absolute;left:6964;top:3400;width:51;height:13" coordorigin="6964,3400" coordsize="51,13" path="m7015,3403l6964,3403,6964,3413,7015,3413,7015,3403xm6995,3400l6983,3400,6977,3403,7001,3403,6995,3400xe" filled="true" fillcolor="#000000" stroked="false">
              <v:path arrowok="t"/>
              <v:fill type="solid"/>
            </v:shape>
            <v:line style="position:absolute" from="6964,3750" to="7015,3750" stroked="true" strokeweight=".708362pt" strokecolor="#000000"/>
            <v:shape style="position:absolute;left:6963;top:4085;width:51;height:13" coordorigin="6963,4085" coordsize="51,13" path="m7013,4088l6963,4088,6963,4098,6968,4098,6974,4095,7013,4095,7013,4088xm7001,4095l6974,4095,6980,4098,6995,4098,7001,4095xm7013,4095l7001,4095,7007,4098,7013,4098,7013,4095xm7001,4085l6974,4085,6968,4088,7007,4088,7001,4085xe" filled="true" fillcolor="#000000" stroked="false">
              <v:path arrowok="t"/>
              <v:fill type="solid"/>
            </v:shape>
            <v:line style="position:absolute" from="6963,4434" to="7013,4434" stroked="true" strokeweight=".565003pt" strokecolor="#000000"/>
            <v:line style="position:absolute" from="6963,4776" to="7013,4776" stroked="true" strokeweight=".649332pt" strokecolor="#000000"/>
            <v:line style="position:absolute" from="6984,9246" to="7035,9246" stroked="true" strokeweight=".565003pt" strokecolor="#000000"/>
            <v:line style="position:absolute" from="6701,9414" to="6751,9414" stroked="true" strokeweight=".624033pt" strokecolor="#000000"/>
            <v:line style="position:absolute" from="6409,9416" to="6460,9416" stroked="true" strokeweight=".624033pt" strokecolor="#000000"/>
            <v:line style="position:absolute" from="1661,4904" to="1712,4904" stroked="true" strokeweight=".565003pt" strokecolor="#000000"/>
            <v:line style="position:absolute" from="1661,5903" to="1712,5903" stroked="true" strokeweight=".565003pt" strokecolor="#000000"/>
            <v:line style="position:absolute" from="1375,5463" to="1423,5463" stroked="true" strokeweight=".624033pt" strokecolor="#000000"/>
            <v:shape style="position:absolute;left:6409;top:9153;width:51;height:14" coordorigin="6409,9153" coordsize="51,14" path="m6460,9157l6409,9157,6409,9167,6417,9167,6423,9164,6460,9164,6460,9157xm6447,9164l6423,9164,6429,9167,6441,9167,6447,9164xm6460,9164l6447,9164,6454,9167,6460,9167,6460,9164xm6441,9153l6429,9153,6417,9157,6454,9157,6441,9153xe" filled="true" fillcolor="#000000" stroked="false">
              <v:path arrowok="t"/>
              <v:fill type="solid"/>
            </v:shape>
            <v:shape style="position:absolute;left:6409;top:8897;width:51;height:13" coordorigin="6409,8897" coordsize="51,13" path="m6460,8900l6409,8900,6409,8910,6460,8910,6460,8900xm6441,8897l6429,8897,6423,8900,6447,8900,6441,8897xe" filled="true" fillcolor="#000000" stroked="false">
              <v:path arrowok="t"/>
              <v:fill type="solid"/>
            </v:shape>
            <v:shape style="position:absolute;left:6409;top:8642;width:51;height:12" coordorigin="6409,8642" coordsize="51,12" path="m6460,8644l6409,8644,6409,8654,6417,8654,6423,8652,6460,8652,6460,8644xm6447,8652l6423,8652,6429,8654,6441,8654,6447,8652xm6460,8652l6447,8652,6454,8654,6460,8654,6460,8652xm6441,8642l6429,8642,6423,8644,6447,8644,6441,8642xe" filled="true" fillcolor="#000000" stroked="false">
              <v:path arrowok="t"/>
              <v:fill type="solid"/>
            </v:shape>
            <v:shape style="position:absolute;left:6409;top:8387;width:51;height:14" coordorigin="6409,8387" coordsize="51,14" path="m6460,8390l6409,8390,6409,8401,6417,8401,6423,8399,6460,8399,6460,8390xm6447,8399l6423,8399,6429,8401,6441,8401,6447,8399xm6460,8399l6447,8399,6454,8401,6460,8401,6460,8399xm6441,8387l6429,8387,6417,8390,6454,8390,6441,8387xe" filled="true" fillcolor="#000000" stroked="false">
              <v:path arrowok="t"/>
              <v:fill type="solid"/>
            </v:shape>
            <v:shape style="position:absolute;left:6409;top:8131;width:51;height:13" coordorigin="6409,8131" coordsize="51,13" path="m6460,8133l6409,8133,6409,8144,6460,8144,6460,8133xm6441,8131l6429,8131,6423,8133,6447,8133,6441,8131xe" filled="true" fillcolor="#000000" stroked="false">
              <v:path arrowok="t"/>
              <v:fill type="solid"/>
            </v:shape>
            <v:shape style="position:absolute;left:6409;top:7876;width:51;height:15" coordorigin="6409,7876" coordsize="51,15" path="m6460,7880l6409,7880,6409,7890,6417,7890,6423,7888,6460,7888,6460,7880xm6447,7888l6423,7888,6429,7890,6441,7890,6447,7888xm6460,7888l6447,7888,6454,7890,6460,7890,6460,7888xm6441,7876l6429,7876,6417,7880,6454,7880,6441,7876xe" filled="true" fillcolor="#000000" stroked="false">
              <v:path arrowok="t"/>
              <v:fill type="solid"/>
            </v:shape>
            <v:shape style="position:absolute;left:6409;top:7620;width:51;height:13" coordorigin="6409,7620" coordsize="51,13" path="m6460,7623l6409,7623,6409,7633,6460,7633,6460,7623xm6441,7620l6429,7620,6423,7623,6447,7623,6441,7620xe" filled="true" fillcolor="#000000" stroked="false">
              <v:path arrowok="t"/>
              <v:fill type="solid"/>
            </v:shape>
            <v:shape style="position:absolute;left:6409;top:7367;width:51;height:13" coordorigin="6409,7367" coordsize="51,13" path="m6460,7370l6409,7370,6409,7380,6415,7380,6420,7378,6460,7378,6460,7370xm6447,7378l6420,7378,6427,7380,6439,7380,6447,7378xm6460,7378l6447,7378,6454,7380,6460,7380,6460,7378xm6447,7367l6420,7367,6415,7370,6454,7370,6447,7367xe" filled="true" fillcolor="#000000" stroked="false">
              <v:path arrowok="t"/>
              <v:fill type="solid"/>
            </v:shape>
            <v:shape style="position:absolute;left:6409;top:7110;width:51;height:14" coordorigin="6409,7110" coordsize="51,14" path="m6460,7114l6409,7114,6409,7124,6415,7124,6420,7123,6460,7123,6460,7114xm6447,7123l6420,7123,6427,7124,6439,7124,6447,7123xm6460,7123l6447,7123,6454,7124,6460,7124,6460,7123xm6439,7110l6427,7110,6415,7114,6454,7114,6447,7113,6439,7110xe" filled="true" fillcolor="#000000" stroked="false">
              <v:path arrowok="t"/>
              <v:fill type="solid"/>
            </v:shape>
            <v:shape style="position:absolute;left:6409;top:6857;width:51;height:13" coordorigin="6409,6857" coordsize="51,13" path="m6460,6860l6409,6860,6409,6870,6415,6870,6420,6867,6460,6867,6460,6860xm6447,6867l6420,6867,6427,6870,6439,6870,6447,6867xm6460,6867l6447,6867,6454,6870,6460,6870,6460,6867xm6447,6857l6420,6857,6415,6860,6454,6860,6447,6857xe" filled="true" fillcolor="#000000" stroked="false">
              <v:path arrowok="t"/>
              <v:fill type="solid"/>
            </v:shape>
            <v:shape style="position:absolute;left:6409;top:6601;width:51;height:13" coordorigin="6409,6601" coordsize="51,13" path="m6460,6604l6409,6604,6409,6614,6415,6614,6420,6611,6460,6611,6460,6604xm6447,6611l6420,6611,6427,6614,6439,6614,6447,6611xm6460,6611l6447,6611,6454,6614,6460,6614,6460,6611xm6447,6601l6420,6601,6415,6604,6454,6604,6447,6601xe" filled="true" fillcolor="#000000" stroked="false">
              <v:path arrowok="t"/>
              <v:fill type="solid"/>
            </v:shape>
            <v:shape style="position:absolute;left:6409;top:6347;width:51;height:12" coordorigin="6409,6347" coordsize="51,12" path="m6460,6348l6409,6348,6409,6358,6460,6358,6460,6348xm6439,6347l6427,6347,6420,6348,6447,6348,6439,6347xe" filled="true" fillcolor="#000000" stroked="false">
              <v:path arrowok="t"/>
              <v:fill type="solid"/>
            </v:shape>
            <v:shape style="position:absolute;left:6409;top:6091;width:51;height:13" coordorigin="6409,6091" coordsize="51,13" path="m6460,6093l6409,6093,6409,6104,6415,6104,6420,6101,6460,6101,6460,6093xm6447,6101l6420,6101,6427,6104,6439,6104,6447,6101xm6460,6101l6447,6101,6454,6104,6460,6104,6460,6101xm6447,6091l6420,6091,6415,6093,6454,6093,6447,6091xe" filled="true" fillcolor="#000000" stroked="false">
              <v:path arrowok="t"/>
              <v:fill type="solid"/>
            </v:shape>
            <v:shape style="position:absolute;left:6409;top:5836;width:51;height:12" coordorigin="6409,5836" coordsize="51,12" path="m6460,5838l6409,5838,6409,5848,6460,5848,6460,5838xm6439,5836l6427,5836,6420,5838,6447,5838,6439,5836xe" filled="true" fillcolor="#000000" stroked="false">
              <v:path arrowok="t"/>
              <v:fill type="solid"/>
            </v:shape>
            <v:line style="position:absolute" from="6409,5589" to="6460,5589" stroked="true" strokeweight=".565003pt" strokecolor="#000000"/>
            <v:shape style="position:absolute;left:6701;top:9159;width:51;height:12" coordorigin="6701,9159" coordsize="51,12" path="m6751,9160l6701,9160,6701,9170,6707,9170,6713,9169,6751,9169,6751,9160xm6740,9169l6713,9169,6721,9170,6733,9170,6740,9169xm6751,9169l6740,9169,6745,9170,6751,9170,6751,9169xm6740,9159l6713,9159,6707,9160,6745,9160,6740,9159xe" filled="true" fillcolor="#000000" stroked="false">
              <v:path arrowok="t"/>
              <v:fill type="solid"/>
            </v:shape>
            <v:shape style="position:absolute;left:6701;top:8911;width:51;height:13" coordorigin="6701,8911" coordsize="51,13" path="m6751,8913l6701,8913,6701,8924,6751,8924,6751,8913xm6733,8911l6721,8911,6713,8913,6740,8913,6733,8911xe" filled="true" fillcolor="#000000" stroked="false">
              <v:path arrowok="t"/>
              <v:fill type="solid"/>
            </v:shape>
            <v:shape style="position:absolute;left:6701;top:8664;width:51;height:13" coordorigin="6701,8664" coordsize="51,13" path="m6751,8667l6701,8667,6701,8677,6751,8677,6751,8667xm6733,8664l6721,8664,6713,8667,6740,8667,6733,8664xe" filled="true" fillcolor="#000000" stroked="false">
              <v:path arrowok="t"/>
              <v:fill type="solid"/>
            </v:shape>
            <v:shape style="position:absolute;left:6701;top:8417;width:51;height:13" coordorigin="6701,8417" coordsize="51,13" path="m6751,8420l6701,8420,6701,8430,6751,8430,6751,8420xm6733,8417l6721,8417,6713,8420,6740,8420,6733,8417xe" filled="true" fillcolor="#000000" stroked="false">
              <v:path arrowok="t"/>
              <v:fill type="solid"/>
            </v:shape>
            <v:shape style="position:absolute;left:6701;top:8170;width:51;height:14" coordorigin="6701,8170" coordsize="51,14" path="m6751,8174l6701,8174,6701,8184,6707,8184,6713,8181,6751,8181,6751,8174xm6740,8181l6713,8181,6721,8184,6733,8184,6740,8181xm6751,8181l6740,8181,6745,8184,6751,8184,6751,8181xm6733,8170l6721,8170,6713,8171,6707,8174,6745,8174,6733,8170xe" filled="true" fillcolor="#000000" stroked="false">
              <v:path arrowok="t"/>
              <v:fill type="solid"/>
            </v:shape>
            <v:shape style="position:absolute;left:6701;top:7923;width:51;height:15" coordorigin="6701,7923" coordsize="51,15" path="m6751,7927l6701,7927,6701,7937,6707,7937,6713,7934,6751,7934,6751,7927xm6740,7934l6713,7934,6721,7937,6733,7937,6740,7934xm6751,7934l6740,7934,6745,7937,6751,7937,6751,7934xm6733,7923l6721,7923,6713,7924,6707,7927,6745,7927,6733,7923xe" filled="true" fillcolor="#000000" stroked="false">
              <v:path arrowok="t"/>
              <v:fill type="solid"/>
            </v:shape>
            <v:shape style="position:absolute;left:6701;top:7677;width:51;height:13" coordorigin="6701,7677" coordsize="51,13" path="m6751,7680l6701,7680,6701,7690,6707,7690,6713,7688,6751,7688,6751,7680xm6740,7688l6713,7688,6721,7690,6733,7690,6740,7688xm6751,7688l6740,7688,6745,7690,6751,7690,6751,7688xm6740,7677l6713,7677,6707,7680,6745,7680,6740,7677xe" filled="true" fillcolor="#000000" stroked="false">
              <v:path arrowok="t"/>
              <v:fill type="solid"/>
            </v:shape>
            <v:shape style="position:absolute;left:6701;top:7431;width:51;height:12" coordorigin="6701,7431" coordsize="51,12" path="m6751,7432l6701,7432,6701,7442,6707,7442,6713,7441,6751,7441,6751,7432xm6740,7441l6713,7441,6721,7442,6733,7442,6740,7441xm6751,7441l6740,7441,6745,7442,6751,7442,6751,7441xm6740,7431l6713,7431,6707,7432,6745,7432,6740,7431xe" filled="true" fillcolor="#000000" stroked="false">
              <v:path arrowok="t"/>
              <v:fill type="solid"/>
            </v:shape>
            <v:shape style="position:absolute;left:6701;top:7181;width:51;height:13" coordorigin="6701,7181" coordsize="51,13" path="m6751,7184l6701,7184,6701,7194,6751,7194,6751,7184xm6733,7181l6721,7181,6713,7184,6740,7184,6733,7181xe" filled="true" fillcolor="#000000" stroked="false">
              <v:path arrowok="t"/>
              <v:fill type="solid"/>
            </v:shape>
            <v:shape style="position:absolute;left:6701;top:6934;width:51;height:14" coordorigin="6701,6934" coordsize="51,14" path="m6751,6938l6701,6938,6701,6948,6707,6948,6713,6945,6751,6945,6751,6938xm6740,6945l6713,6945,6721,6948,6733,6948,6740,6945xm6751,6945l6740,6945,6745,6948,6751,6948,6751,6945xm6733,6934l6721,6934,6713,6936,6707,6938,6745,6938,6733,6934xe" filled="true" fillcolor="#000000" stroked="false">
              <v:path arrowok="t"/>
              <v:fill type="solid"/>
            </v:shape>
            <v:shape style="position:absolute;left:6701;top:6687;width:51;height:15" coordorigin="6701,6687" coordsize="51,15" path="m6751,6691l6701,6691,6701,6701,6707,6701,6713,6699,6751,6699,6751,6691xm6740,6699l6713,6699,6721,6701,6733,6701,6740,6699xm6751,6699l6740,6699,6745,6701,6751,6701,6751,6699xm6733,6687l6721,6687,6713,6688,6707,6691,6745,6691,6733,6687xe" filled="true" fillcolor="#000000" stroked="false">
              <v:path arrowok="t"/>
              <v:fill type="solid"/>
            </v:shape>
            <v:shape style="position:absolute;left:6701;top:6442;width:51;height:13" coordorigin="6701,6442" coordsize="51,13" path="m6751,6444l6701,6444,6701,6454,6707,6454,6713,6452,6751,6452,6751,6444xm6740,6452l6713,6452,6721,6454,6733,6454,6740,6452xm6751,6452l6740,6452,6745,6454,6751,6454,6751,6452xm6740,6442l6713,6442,6707,6444,6745,6444,6740,6442xe" filled="true" fillcolor="#000000" stroked="false">
              <v:path arrowok="t"/>
              <v:fill type="solid"/>
            </v:shape>
            <v:shape style="position:absolute;left:6701;top:6195;width:51;height:12" coordorigin="6701,6195" coordsize="51,12" path="m6751,6196l6701,6196,6701,6206,6707,6206,6713,6205,6751,6205,6751,6196xm6740,6205l6713,6205,6721,6206,6733,6206,6740,6205xm6751,6205l6740,6205,6745,6206,6751,6206,6751,6205xm6740,6195l6713,6195,6707,6196,6745,6196,6740,6195xe" filled="true" fillcolor="#000000" stroked="false">
              <v:path arrowok="t"/>
              <v:fill type="solid"/>
            </v:shape>
            <v:shape style="position:absolute;left:6701;top:5948;width:51;height:12" coordorigin="6701,5948" coordsize="51,12" path="m6751,5949l6701,5949,6701,5959,6707,5959,6713,5958,6751,5958,6751,5949xm6740,5958l6713,5958,6721,5959,6733,5959,6740,5958xm6751,5958l6740,5958,6745,5959,6751,5959,6751,5958xm6740,5948l6713,5948,6707,5949,6745,5949,6740,5948xe" filled="true" fillcolor="#000000" stroked="false">
              <v:path arrowok="t"/>
              <v:fill type="solid"/>
            </v:shape>
            <v:shape style="position:absolute;left:6701;top:5699;width:51;height:13" coordorigin="6701,5699" coordsize="51,13" path="m6751,5702l6701,5702,6701,5712,6751,5712,6751,5702xm6733,5699l6721,5699,6713,5702,6740,5702,6733,5699xe" filled="true" fillcolor="#000000" stroked="false">
              <v:path arrowok="t"/>
              <v:fill type="solid"/>
            </v:shape>
            <v:line style="position:absolute" from="6701,5462" to="6751,5462" stroked="true" strokeweight=".691496pt" strokecolor="#000000"/>
            <v:shape style="position:absolute;left:6987;top:8946;width:51;height:14" coordorigin="6987,8946" coordsize="51,14" path="m7038,8950l6987,8950,6987,8960,6993,8960,6998,8958,7038,8958,7038,8950xm7025,8958l6998,8958,7005,8960,7017,8960,7025,8958xm7038,8958l7025,8958,7031,8960,7038,8960,7038,8958xm7017,8946l7005,8946,6993,8950,7031,8950,7025,8948,7017,8946xe" filled="true" fillcolor="#000000" stroked="false">
              <v:path arrowok="t"/>
              <v:fill type="solid"/>
            </v:shape>
            <v:shape style="position:absolute;left:6987;top:8656;width:51;height:12" coordorigin="6987,8656" coordsize="51,12" path="m7038,8658l6987,8658,6987,8668,6993,8668,6998,8667,7038,8667,7038,8658xm7025,8667l6998,8667,7005,8668,7017,8668,7025,8667xm7038,8667l7025,8667,7031,8668,7038,8668,7038,8667xm7025,8656l6998,8656,6993,8658,7031,8658,7025,8656xe" filled="true" fillcolor="#000000" stroked="false">
              <v:path arrowok="t"/>
              <v:fill type="solid"/>
            </v:shape>
            <v:shape style="position:absolute;left:6987;top:8364;width:51;height:13" coordorigin="6987,8364" coordsize="51,13" path="m7038,8367l6987,8367,6987,8377,7038,8377,7038,8367xm7018,8364l7007,8364,7001,8367,7025,8367,7018,8364xe" filled="true" fillcolor="#000000" stroked="false">
              <v:path arrowok="t"/>
              <v:fill type="solid"/>
            </v:shape>
            <v:shape style="position:absolute;left:6987;top:8073;width:51;height:13" coordorigin="6987,8073" coordsize="51,13" path="m7038,8075l6987,8075,6987,8085,6995,8085,7001,8083,7038,8083,7038,8075xm7025,8083l7001,8083,7007,8085,7018,8085,7025,8083xm7038,8083l7025,8083,7031,8085,7038,8085,7038,8083xm7025,8073l7001,8073,6995,8075,7031,8075,7025,8073xe" filled="true" fillcolor="#000000" stroked="false">
              <v:path arrowok="t"/>
              <v:fill type="solid"/>
            </v:shape>
            <v:shape style="position:absolute;left:6988;top:7782;width:51;height:12" coordorigin="6988,7782" coordsize="51,12" path="m7039,7783l6988,7783,6988,7793,7039,7793,7039,7783xm7021,7782l7007,7782,7001,7783,7027,7783,7021,7782xe" filled="true" fillcolor="#000000" stroked="false">
              <v:path arrowok="t"/>
              <v:fill type="solid"/>
            </v:shape>
            <v:shape style="position:absolute;left:6991;top:7491;width:51;height:12" coordorigin="6991,7491" coordsize="51,12" path="m7041,7493l6991,7493,6991,7503,6997,7503,7003,7502,7041,7502,7041,7493xm7027,7502l7003,7502,7008,7503,7021,7503,7027,7502xm7041,7502l7027,7502,7034,7503,7041,7503,7041,7502xm7027,7491l7003,7491,6997,7493,7034,7493,7027,7491xe" filled="true" fillcolor="#000000" stroked="false">
              <v:path arrowok="t"/>
              <v:fill type="solid"/>
            </v:shape>
            <v:shape style="position:absolute;left:6991;top:7199;width:51;height:13" coordorigin="6991,7199" coordsize="51,13" path="m7041,7201l6991,7201,6991,7211,7041,7211,7041,7201xm7021,7199l7008,7199,7003,7201,7027,7201,7021,7199xe" filled="true" fillcolor="#000000" stroked="false">
              <v:path arrowok="t"/>
              <v:fill type="solid"/>
            </v:shape>
            <v:shape style="position:absolute;left:6991;top:6908;width:51;height:14" coordorigin="6991,6908" coordsize="51,14" path="m7041,6912l6991,6912,6991,6922,6997,6922,7005,6920,7041,6920,7041,6912xm7028,6920l7005,6920,7011,6922,7023,6922,7028,6920xm7041,6920l7028,6920,7035,6922,7041,6922,7041,6920xm7023,6908l7011,6908,7005,6910,6997,6912,7035,6912,7023,6908xe" filled="true" fillcolor="#000000" stroked="false">
              <v:path arrowok="t"/>
              <v:fill type="solid"/>
            </v:shape>
            <v:shape style="position:absolute;left:6993;top:6618;width:51;height:13" coordorigin="6993,6618" coordsize="51,13" path="m7044,6620l6993,6620,6993,6630,6998,6630,7005,6628,7044,6628,7044,6620xm7031,6628l7005,6628,7011,6630,7025,6630,7031,6628xm7044,6628l7031,6628,7038,6630,7044,6630,7044,6628xm7031,6618l7005,6618,6998,6620,7038,6620,7031,6618xe" filled="true" fillcolor="#000000" stroked="false">
              <v:path arrowok="t"/>
              <v:fill type="solid"/>
            </v:shape>
            <v:shape style="position:absolute;left:6993;top:6324;width:51;height:15" coordorigin="6993,6324" coordsize="51,15" path="m7044,6328l6993,6328,6993,6338,6998,6338,7005,6337,7044,6337,7044,6328xm7031,6337l7005,6337,7011,6338,7025,6338,7031,6337xm7044,6337l7031,6337,7038,6338,7044,6338,7044,6337xm7025,6324l7011,6324,6998,6328,7038,6328,7025,6324xe" filled="true" fillcolor="#000000" stroked="false">
              <v:path arrowok="t"/>
              <v:fill type="solid"/>
            </v:shape>
            <v:shape style="position:absolute;left:6995;top:6034;width:50;height:13" coordorigin="6995,6034" coordsize="50,13" path="m7044,6037l6995,6037,6995,6047,7001,6047,7007,6044,7044,6044,7044,6037xm7031,6044l7007,6044,7013,6047,7025,6047,7031,6044xm7044,6044l7031,6044,7038,6047,7044,6047,7044,6044xm7031,6034l7007,6034,7001,6037,7038,6037,7031,6034xe" filled="true" fillcolor="#000000" stroked="false">
              <v:path arrowok="t"/>
              <v:fill type="solid"/>
            </v:shape>
            <v:shape style="position:absolute;left:6995;top:5743;width:50;height:13" coordorigin="6995,5743" coordsize="50,13" path="m7044,5745l6995,5745,6995,5755,7044,5755,7044,5745xm7025,5743l7013,5743,7007,5745,7031,5745,7025,5743xe" filled="true" fillcolor="#000000" stroked="false">
              <v:path arrowok="t"/>
              <v:fill type="solid"/>
            </v:shape>
            <v:line style="position:absolute" from="6995,5461" to="7045,5461" stroked="true" strokeweight=".565003pt" strokecolor="#000000"/>
            <v:shape style="position:absolute;left:1375;top:5813;width:51;height:13" coordorigin="1375,5813" coordsize="51,13" path="m1426,5816l1375,5816,1375,5826,1426,5826,1426,5816xm1408,5813l1395,5813,1387,5816,1413,5816,1408,5813xe" filled="true" fillcolor="#000000" stroked="false">
              <v:path arrowok="t"/>
              <v:fill type="solid"/>
            </v:shape>
            <v:shape style="position:absolute;left:1375;top:6172;width:51;height:13" coordorigin="1375,6172" coordsize="51,13" path="m1426,6174l1375,6174,1375,6185,1426,6185,1426,6174xm1408,6172l1395,6172,1387,6174,1413,6174,1408,6172xe" filled="true" fillcolor="#000000" stroked="false">
              <v:path arrowok="t"/>
              <v:fill type="solid"/>
            </v:shape>
            <v:shape style="position:absolute;left:1375;top:6530;width:51;height:16" coordorigin="1375,6530" coordsize="51,16" path="m1426,6535l1375,6535,1375,6546,1381,6546,1387,6543,1426,6543,1426,6535xm1413,6543l1387,6543,1395,6546,1408,6546,1413,6543xm1426,6543l1413,6543,1419,6546,1426,6546,1426,6543xm1408,6530l1395,6530,1387,6533,1381,6535,1419,6535,1408,6530xe" filled="true" fillcolor="#000000" stroked="false">
              <v:path arrowok="t"/>
              <v:fill type="solid"/>
            </v:shape>
            <v:shape style="position:absolute;left:1375;top:6891;width:51;height:13" coordorigin="1375,6891" coordsize="51,13" path="m1426,6894l1375,6894,1375,6904,1381,6904,1387,6901,1426,6901,1426,6894xm1413,6901l1387,6901,1395,6904,1408,6904,1413,6901xm1426,6901l1413,6901,1419,6904,1426,6904,1426,6901xm1413,6891l1387,6891,1381,6894,1419,6894,1413,6891xe" filled="true" fillcolor="#000000" stroked="false">
              <v:path arrowok="t"/>
              <v:fill type="solid"/>
            </v:shape>
            <v:shape style="position:absolute;left:1375;top:7249;width:51;height:13" coordorigin="1375,7249" coordsize="51,13" path="m1426,7252l1375,7252,1375,7262,1381,7262,1387,7260,1426,7260,1426,7252xm1413,7260l1387,7260,1395,7262,1408,7262,1413,7260xm1426,7260l1413,7260,1419,7262,1426,7262,1426,7260xm1413,7249l1387,7249,1381,7252,1419,7252,1413,7249xe" filled="true" fillcolor="#000000" stroked="false">
              <v:path arrowok="t"/>
              <v:fill type="solid"/>
            </v:shape>
            <v:shape style="position:absolute;left:1377;top:7610;width:51;height:13" coordorigin="1377,7610" coordsize="51,13" path="m1428,7613l1377,7613,1377,7623,1382,7623,1389,7620,1428,7620,1428,7613xm1415,7620l1389,7620,1397,7623,1409,7623,1415,7620xm1428,7620l1415,7620,1422,7623,1428,7623,1428,7620xm1415,7610l1389,7610,1382,7613,1422,7613,1415,7610xe" filled="true" fillcolor="#000000" stroked="false">
              <v:path arrowok="t"/>
              <v:fill type="solid"/>
            </v:shape>
            <v:shape style="position:absolute;left:1377;top:7969;width:51;height:13" coordorigin="1377,7969" coordsize="51,13" path="m1428,7971l1377,7971,1377,7981,1382,7981,1389,7979,1428,7979,1428,7971xm1415,7979l1389,7979,1397,7981,1409,7981,1415,7979xm1428,7979l1415,7979,1422,7981,1428,7981,1428,7979xm1415,7969l1389,7969,1382,7971,1422,7971,1415,7969xe" filled="true" fillcolor="#000000" stroked="false">
              <v:path arrowok="t"/>
              <v:fill type="solid"/>
            </v:shape>
            <v:shape style="position:absolute;left:1377;top:8328;width:51;height:12" coordorigin="1377,8328" coordsize="51,12" path="m1428,8330l1377,8330,1377,8340,1428,8340,1428,8330xm1409,8328l1397,8328,1389,8330,1415,8330,1409,8328xe" filled="true" fillcolor="#000000" stroked="false">
              <v:path arrowok="t"/>
              <v:fill type="solid"/>
            </v:shape>
            <v:shape style="position:absolute;left:1377;top:8687;width:51;height:14" coordorigin="1377,8687" coordsize="51,14" path="m1428,8691l1377,8691,1377,8701,1382,8701,1389,8698,1428,8698,1428,8691xm1415,8698l1389,8698,1397,8701,1409,8701,1415,8698xm1428,8698l1415,8698,1422,8701,1428,8701,1428,8698xm1409,8687l1397,8687,1389,8688,1382,8691,1422,8691,1409,8687xe" filled="true" fillcolor="#000000" stroked="false">
              <v:path arrowok="t"/>
              <v:fill type="solid"/>
            </v:shape>
            <v:shape style="position:absolute;left:1377;top:9045;width:51;height:14" coordorigin="1377,9045" coordsize="51,14" path="m1428,9049l1377,9049,1377,9059,1382,9059,1389,9058,1428,9058,1428,9049xm1415,9058l1389,9058,1397,9059,1409,9059,1415,9058xm1428,9058l1415,9058,1422,9059,1428,9059,1428,9058xm1409,9045l1397,9045,1389,9048,1382,9049,1422,9049,1409,9045xe" filled="true" fillcolor="#000000" stroked="false">
              <v:path arrowok="t"/>
              <v:fill type="solid"/>
            </v:shape>
            <v:line style="position:absolute" from="1375,9414" to="1426,9414" stroked="true" strokeweight=".624033pt" strokecolor="#000000"/>
            <v:shape style="position:absolute;left:1663;top:6434;width:51;height:12" coordorigin="1663,6434" coordsize="51,12" path="m1713,6435l1663,6435,1663,6446,1669,6446,1675,6444,1713,6444,1713,6435xm1702,6444l1675,6444,1683,6446,1695,6446,1702,6444xm1713,6444l1702,6444,1707,6446,1713,6446,1713,6444xm1702,6434l1675,6434,1669,6435,1707,6435,1702,6434xe" filled="true" fillcolor="#000000" stroked="false">
              <v:path arrowok="t"/>
              <v:fill type="solid"/>
            </v:shape>
            <v:shape style="position:absolute;left:1663;top:6975;width:51;height:12" coordorigin="1663,6975" coordsize="51,12" path="m1713,6976l1663,6976,1663,6986,1669,6986,1675,6985,1713,6985,1713,6976xm1702,6985l1675,6985,1683,6986,1695,6986,1702,6985xm1713,6985l1702,6985,1707,6986,1713,6986,1713,6985xm1702,6975l1675,6975,1669,6976,1707,6976,1702,6975xe" filled="true" fillcolor="#000000" stroked="false">
              <v:path arrowok="t"/>
              <v:fill type="solid"/>
            </v:shape>
            <v:shape style="position:absolute;left:1663;top:7513;width:51;height:16" coordorigin="1663,7513" coordsize="51,16" path="m1713,7518l1663,7518,1663,7528,1669,7528,1675,7526,1713,7526,1713,7518xm1702,7526l1675,7526,1683,7528,1695,7528,1702,7526xm1713,7526l1702,7526,1707,7528,1713,7528,1713,7526xm1695,7513l1683,7513,1675,7515,1669,7518,1707,7518,1695,7513xe" filled="true" fillcolor="#000000" stroked="false">
              <v:path arrowok="t"/>
              <v:fill type="solid"/>
            </v:shape>
            <v:shape style="position:absolute;left:1665;top:8055;width:51;height:12" coordorigin="1665,8055" coordsize="51,12" path="m1716,8056l1665,8056,1665,8066,1671,8066,1676,8065,1716,8065,1716,8056xm1703,8065l1676,8065,1685,8066,1696,8066,1703,8065xm1716,8065l1703,8065,1707,8066,1716,8066,1716,8065xm1703,8055l1676,8055,1671,8056,1707,8056,1703,8055xe" filled="true" fillcolor="#000000" stroked="false">
              <v:path arrowok="t"/>
              <v:fill type="solid"/>
            </v:shape>
            <v:shape style="position:absolute;left:1665;top:8593;width:51;height:13" coordorigin="1665,8593" coordsize="51,13" path="m1716,8597l1665,8597,1665,8606,1716,8606,1716,8597xm1696,8593l1685,8593,1671,8597,1707,8597,1703,8595,1696,8593xe" filled="true" fillcolor="#000000" stroked="false">
              <v:path arrowok="t"/>
              <v:fill type="solid"/>
            </v:shape>
            <v:line style="position:absolute" from="1663,9143" to="1713,9143" stroked="true" strokeweight=".624033pt" strokecolor="#000000"/>
            <v:shape style="position:absolute;left:1661;top:4535;width:51;height:16" coordorigin="1661,4535" coordsize="51,16" path="m1712,4540l1661,4540,1661,4550,1669,4550,1675,4547,1712,4547,1712,4540xm1702,4547l1675,4547,1681,4550,1695,4550,1702,4547xm1712,4547l1702,4547,1706,4550,1712,4550,1712,4547xm1695,4535l1681,4535,1669,4540,1706,4540,1702,4537,1695,4535xe" filled="true" fillcolor="#000000" stroked="false">
              <v:path arrowok="t"/>
              <v:fill type="solid"/>
            </v:shape>
            <v:line style="position:absolute" from="1663,4184" to="1713,4184" stroked="true" strokeweight=".565003pt" strokecolor="#000000"/>
            <v:shape style="position:absolute;left:1663;top:3818;width:51;height:13" coordorigin="1663,3818" coordsize="51,13" path="m1713,3820l1663,3820,1663,3831,1713,3831,1713,3820xm1695,3818l1683,3818,1675,3820,1702,3820,1695,3818xe" filled="true" fillcolor="#000000" stroked="false">
              <v:path arrowok="t"/>
              <v:fill type="solid"/>
            </v:shape>
            <v:shape style="position:absolute;left:1663;top:3460;width:51;height:12" coordorigin="1663,3460" coordsize="51,12" path="m1713,3461l1663,3461,1663,3471,1669,3471,1675,3470,1713,3470,1713,3461xm1702,3470l1675,3470,1683,3471,1695,3471,1702,3470xm1713,3470l1702,3470,1707,3471,1713,3471,1713,3470xm1702,3460l1675,3460,1669,3461,1707,3461,1702,3460xe" filled="true" fillcolor="#000000" stroked="false">
              <v:path arrowok="t"/>
              <v:fill type="solid"/>
            </v:shape>
            <v:shape style="position:absolute;left:1665;top:3101;width:51;height:12" coordorigin="1665,3101" coordsize="51,12" path="m1716,3102l1665,3102,1665,3112,1671,3112,1676,3111,1716,3111,1716,3102xm1703,3111l1676,3111,1685,3112,1696,3112,1703,3111xm1716,3111l1703,3111,1707,3112,1716,3112,1716,3111xm1703,3101l1676,3101,1671,3102,1707,3102,1703,3101xe" filled="true" fillcolor="#000000" stroked="false">
              <v:path arrowok="t"/>
              <v:fill type="solid"/>
            </v:shape>
            <v:line style="position:absolute" from="1665,2747" to="1716,2747" stroked="true" strokeweight=".691496pt" strokecolor="#000000"/>
            <v:line style="position:absolute" from="1665,2387" to="1716,2387" stroked="true" strokeweight=".565003pt" strokecolor="#000000"/>
            <v:line style="position:absolute" from="1665,2028" to="1716,2028" stroked="true" strokeweight=".624033pt" strokecolor="#000000"/>
            <v:shape style="position:absolute;left:1665;top:1663;width:51;height:12" coordorigin="1665,1663" coordsize="51,12" path="m1716,1664l1665,1664,1665,1674,1716,1674,1716,1664xm1696,1663l1685,1663,1676,1664,1706,1664,1696,1663xe" filled="true" fillcolor="#000000" stroked="false">
              <v:path arrowok="t"/>
              <v:fill type="solid"/>
            </v:shape>
            <v:line style="position:absolute" from="1666,1309" to="1717,1309" stroked="true" strokeweight=".632466pt" strokecolor="#000000"/>
            <v:line style="position:absolute" from="1665,951" to="1716,951" stroked="true" strokeweight=".649332pt" strokecolor="#000000"/>
            <v:line style="position:absolute" from="1391,957" to="1442,957" stroked="true" strokeweight=".649332pt" strokecolor="#000000"/>
            <v:line style="position:absolute" from="1391,1218" to="1442,1218" stroked="true" strokeweight=".649332pt" strokecolor="#000000"/>
            <v:line style="position:absolute" from="1391,1482" to="1442,1482" stroked="true" strokeweight=".624033pt" strokecolor="#000000"/>
            <v:line style="position:absolute" from="1391,1745" to="1442,1745" stroked="true" strokeweight=".632466pt" strokecolor="#000000"/>
            <v:line style="position:absolute" from="1391,2008" to="1442,2008" stroked="true" strokeweight=".691496pt" strokecolor="#000000"/>
            <v:line style="position:absolute" from="1391,2271" to="1442,2271" stroked="true" strokeweight=".691496pt" strokecolor="#000000"/>
            <v:line style="position:absolute" from="1391,2533" to="1442,2533" stroked="true" strokeweight=".565003pt" strokecolor="#000000"/>
            <v:line style="position:absolute" from="1391,2797" to="1442,2797" stroked="true" strokeweight=".565003pt" strokecolor="#000000"/>
            <v:line style="position:absolute" from="1391,3058" to="1442,3058" stroked="true" strokeweight=".632466pt" strokecolor="#000000"/>
            <v:line style="position:absolute" from="1389,3321" to="1439,3321" stroked="true" strokeweight=".624033pt" strokecolor="#000000"/>
            <v:line style="position:absolute" from="1389,3583" to="1439,3583" stroked="true" strokeweight=".565003pt" strokecolor="#000000"/>
            <v:line style="position:absolute" from="1389,3846" to="1439,3846" stroked="true" strokeweight=".590302pt" strokecolor="#000000"/>
            <v:line style="position:absolute" from="1389,4110" to="1439,4110" stroked="true" strokeweight=".581869pt" strokecolor="#000000"/>
            <v:line style="position:absolute" from="1389,4372" to="1439,4372" stroked="true" strokeweight=".716795pt" strokecolor="#000000"/>
            <v:line style="position:absolute" from="1389,4635" to="1439,4635" stroked="true" strokeweight=".632466pt" strokecolor="#000000"/>
            <v:line style="position:absolute" from="1389,4898" to="1439,4898" stroked="true" strokeweight=".624033pt" strokecolor="#000000"/>
            <v:shape style="position:absolute;left:4099;top:981;width:199;height:109" type="#_x0000_t75" stroked="false">
              <v:imagedata r:id="rId85" o:title=""/>
            </v:shape>
            <v:shape style="position:absolute;left:3729;top:975;width:825;height:529" type="#_x0000_t75" stroked="false">
              <v:imagedata r:id="rId86" o:title=""/>
            </v:shape>
            <v:shape style="position:absolute;left:4104;top:1417;width:403;height:112" type="#_x0000_t75" stroked="false">
              <v:imagedata r:id="rId87" o:title=""/>
            </v:shape>
            <v:shape style="position:absolute;left:4544;top:1417;width:200;height:112" type="#_x0000_t75" stroked="false">
              <v:imagedata r:id="rId88" o:title=""/>
            </v:shape>
            <v:shape style="position:absolute;left:3731;top:1593;width:60;height:85" coordorigin="3731,1593" coordsize="60,85" path="m3754,1674l3739,1674,3739,1676,3731,1676,3731,1678,3759,1678,3759,1676,3754,1674xm3751,1593l3749,1593,3734,1602,3739,1602,3741,1603,3741,1674,3751,1674,3751,1647,3759,1647,3754,1646,3754,1644,3753,1644,3751,1642,3751,1612,3756,1607,3751,1607,3751,1593xm3782,1603l3770,1603,3771,1607,3773,1607,3775,1612,3780,1616,3780,1637,3775,1640,3775,1644,3771,1646,3770,1647,3751,1647,3753,1650,3761,1650,3761,1653,3770,1653,3777,1647,3785,1640,3787,1634,3787,1627,3790,1622,3790,1617,3785,1606,3782,1603xm3771,1593l3765,1593,3765,1596,3761,1597,3759,1597,3759,1599,3754,1602,3754,1603,3751,1607,3756,1607,3757,1606,3759,1606,3759,1603,3782,1603,3781,1602,3780,1597,3771,1593xe" filled="true" fillcolor="#000000" stroked="false">
              <v:path arrowok="t"/>
              <v:fill type="solid"/>
            </v:shape>
            <v:shape style="position:absolute;left:3795;top:1569;width:88;height:82" coordorigin="3795,1569" coordsize="88,82" path="m3824,1647l3801,1647,3801,1650,3826,1650,3824,1647xm3875,1647l3854,1647,3852,1650,3876,1650,3875,1647xm3821,1571l3801,1571,3805,1575,3805,1577,3808,1577,3808,1640,3805,1644,3805,1647,3820,1647,3818,1646,3818,1612,3871,1612,3871,1607,3818,1607,3818,1582,3820,1579,3820,1575,3821,1575,3821,1571xm3871,1612l3858,1612,3858,1646,3856,1647,3872,1647,3871,1646,3871,1612xm3875,1571l3854,1571,3854,1573,3856,1575,3858,1575,3858,1607,3871,1607,3871,1582,3872,1579,3872,1573,3875,1571xm3831,1569l3795,1569,3795,1571,3831,1571,3831,1569xm3883,1569l3848,1569,3848,1571,3883,1571,3883,1569xe" filled="true" fillcolor="#000000" stroked="false">
              <v:path arrowok="t"/>
              <v:fill type="solid"/>
            </v:shape>
            <v:shape style="position:absolute;left:4454;top:965;width:17;height:41" coordorigin="4454,965" coordsize="17,41" path="m4471,1004l4456,1004,4456,1005,4471,1005,4471,1004xm4467,965l4464,965,4454,968,4454,969,4460,969,4460,1004,4467,1004,4467,965xe" filled="true" fillcolor="#000000" stroked="false">
              <v:path arrowok="t"/>
              <v:fill type="solid"/>
            </v:shape>
            <v:shape style="position:absolute;left:4493;top:1109;width:17;height:41" coordorigin="4493,1109" coordsize="17,41" path="m4509,1147l4494,1147,4494,1150,4509,1150,4509,1147xm4504,1109l4503,1109,4493,1111,4493,1113,4499,1113,4499,1147,4504,1147,4504,1109xe" filled="true" fillcolor="#000000" stroked="false">
              <v:path arrowok="t"/>
              <v:fill type="solid"/>
            </v:shape>
            <v:shape style="position:absolute;left:4399;top:1252;width:17;height:41" coordorigin="4399,1252" coordsize="17,41" path="m4416,1292l4399,1292,4399,1293,4416,1293,4416,1292xm4409,1252l4399,1255,4399,1257,4403,1257,4406,1259,4406,1289,4403,1292,4409,1292,4409,1252xe" filled="true" fillcolor="#000000" stroked="false">
              <v:path arrowok="t"/>
              <v:fill type="solid"/>
            </v:shape>
            <v:shape style="position:absolute;left:3905;top:1338;width:27;height:41" coordorigin="3905,1338" coordsize="27,41" path="m3926,1369l3922,1369,3922,1379,3926,1379,3926,1369xm3926,1338l3922,1338,3905,1364,3905,1369,3932,1369,3932,1364,3906,1364,3922,1344,3926,1344,3926,1338xm3926,1344l3922,1344,3922,1364,3926,1364,3926,1344xe" filled="true" fillcolor="#000000" stroked="false">
              <v:path arrowok="t"/>
              <v:fill type="solid"/>
            </v:shape>
            <v:shape style="position:absolute;left:3911;top:1486;width:22;height:41" coordorigin="3911,1486" coordsize="22,41" path="m3926,1525l3913,1525,3913,1526,3922,1526,3926,1525xm3915,1521l3913,1521,3911,1522,3911,1525,3919,1525,3919,1522,3915,1522,3915,1521xm3929,1504l3917,1504,3917,1506,3922,1506,3922,1508,3926,1508,3926,1510,3927,1510,3927,1514,3929,1514,3929,1518,3926,1522,3923,1522,3922,1525,3927,1525,3932,1521,3932,1518,3933,1516,3933,1512,3932,1510,3932,1508,3929,1506,3929,1504xm3932,1490l3926,1490,3926,1492,3927,1494,3927,1498,3926,1501,3926,1502,3923,1504,3926,1504,3932,1498,3932,1490xm3915,1490l3913,1490,3911,1494,3911,1495,3915,1494,3915,1490xm3929,1488l3915,1488,3915,1490,3929,1490,3929,1488xm3926,1486l3922,1486,3919,1488,3926,1488,3926,1486xe" filled="true" fillcolor="#000000" stroked="false">
              <v:path arrowok="t"/>
              <v:fill type="solid"/>
            </v:shape>
            <v:line style="position:absolute" from="3617,1024" to="3672,1024" stroked="true" strokeweight="2.597328pt" strokecolor="#000000"/>
            <v:shape style="position:absolute;left:3617;top:991;width:62;height:13" coordorigin="3617,991" coordsize="62,13" path="m3672,991l3617,991,3617,1004,3672,1004,3666,998,3679,998,3672,991xm3679,991l3672,991,3679,998,3679,991xe" filled="true" fillcolor="#000000" stroked="false">
              <v:path arrowok="t"/>
              <v:fill type="solid"/>
            </v:shape>
            <v:shape style="position:absolute;left:3666;top:998;width:13;height:62" coordorigin="3666,998" coordsize="13,62" path="m3679,1044l3672,1044,3672,1059,3679,1050,3679,1044xm3679,1050l3672,1059,3679,1059,3679,1050xm3679,998l3666,998,3666,1050,3672,1044,3679,1044,3679,998xe" filled="true" fillcolor="#000000" stroked="false">
              <v:path arrowok="t"/>
              <v:fill type="solid"/>
            </v:shape>
            <v:shape style="position:absolute;left:3611;top:1044;width:61;height:15" coordorigin="3611,1044" coordsize="61,15" path="m3611,1050l3611,1059,3617,1059,3611,1050xm3672,1044l3617,1044,3625,1050,3611,1050,3617,1059,3672,1059,3672,1044xe" filled="true" fillcolor="#000000" stroked="false">
              <v:path arrowok="t"/>
              <v:fill type="solid"/>
            </v:shape>
            <v:shape style="position:absolute;left:3611;top:991;width:14;height:59" coordorigin="3611,991" coordsize="14,59" path="m3617,991l3611,998,3611,1050,3625,1050,3625,1004,3617,1004,3617,991xm3625,998l3617,1004,3625,1004,3625,998xm3617,991l3611,991,3611,998,3617,991xe" filled="true" fillcolor="#000000" stroked="false">
              <v:path arrowok="t"/>
              <v:fill type="solid"/>
            </v:shape>
            <v:line style="position:absolute" from="3577,1025" to="3713,1025" stroked="true" strokeweight=".691496pt" strokecolor="#000000"/>
            <v:shape style="position:absolute;left:3617;top:1143;width:55;height:54" coordorigin="3617,1143" coordsize="55,54" path="m3646,1143l3635,1146,3625,1151,3621,1160,3617,1170,3621,1180,3625,1188,3635,1194,3646,1197,3656,1194,3663,1188,3668,1180,3672,1170,3668,1160,3663,1151,3656,1146,3646,1143xe" filled="true" fillcolor="#0000ff" stroked="false">
              <v:path arrowok="t"/>
              <v:fill type="solid"/>
            </v:shape>
            <v:shape style="position:absolute;left:3646;top:1137;width:34;height:34" coordorigin="3646,1137" coordsize="34,34" path="m3646,1137l3646,1150,3652,1151,3659,1153,3663,1161,3666,1170,3679,1170,3673,1157,3668,1147,3658,1141,3646,1137xe" filled="true" fillcolor="#0000ff" stroked="false">
              <v:path arrowok="t"/>
              <v:fill type="solid"/>
            </v:shape>
            <v:shape style="position:absolute;left:3646;top:1170;width:34;height:32" coordorigin="3646,1170" coordsize="34,32" path="m3679,1170l3666,1170,3663,1178,3659,1184,3652,1188,3646,1190,3646,1202,3658,1198,3668,1192,3673,1181,3679,1170xe" filled="true" fillcolor="#0000ff" stroked="false">
              <v:path arrowok="t"/>
              <v:fill type="solid"/>
            </v:shape>
            <v:shape style="position:absolute;left:3611;top:1170;width:35;height:32" coordorigin="3611,1170" coordsize="35,32" path="m3625,1170l3611,1170,3615,1181,3621,1192,3632,1198,3646,1202,3646,1190,3638,1188,3629,1184,3625,1178,3625,1170xe" filled="true" fillcolor="#0000ff" stroked="false">
              <v:path arrowok="t"/>
              <v:fill type="solid"/>
            </v:shape>
            <v:shape style="position:absolute;left:3611;top:1137;width:35;height:34" coordorigin="3611,1137" coordsize="35,34" path="m3646,1137l3632,1141,3621,1147,3615,1157,3611,1170,3625,1170,3625,1161,3629,1153,3646,1150,3646,1137xe" filled="true" fillcolor="#0000ff" stroked="false">
              <v:path arrowok="t"/>
              <v:fill type="solid"/>
            </v:shape>
            <v:line style="position:absolute" from="3577,1170" to="3713,1170" stroked="true" strokeweight=".624033pt" strokecolor="#0000ff"/>
            <v:shape style="position:absolute;left:3617;top:1288;width:55;height:55" coordorigin="3617,1288" coordsize="55,55" path="m3642,1288l3617,1342,3672,1342,3642,1288xe" filled="true" fillcolor="#ff0000" stroked="false">
              <v:path arrowok="t"/>
              <v:fill type="solid"/>
            </v:shape>
            <v:shape style="position:absolute;left:3638;top:1285;width:45;height:64" coordorigin="3638,1285" coordsize="45,64" path="m3673,1333l3672,1333,3672,1349,3676,1338,3673,1333xm3676,1338l3672,1349,3682,1346,3676,1338xm3648,1285l3638,1292,3666,1344,3672,1333,3673,1333,3648,1285xe" filled="true" fillcolor="#ff0000" stroked="false">
              <v:path arrowok="t"/>
              <v:fill type="solid"/>
            </v:shape>
            <v:shape style="position:absolute;left:3609;top:1333;width:64;height:16" coordorigin="3609,1333" coordsize="64,16" path="m3613,1338l3609,1346,3617,1349,3613,1338xm3613,1338l3617,1349,3672,1349,3672,1344,3622,1344,3613,1338xm3672,1333l3617,1333,3622,1344,3672,1344,3672,1333xe" filled="true" fillcolor="#ff0000" stroked="false">
              <v:path arrowok="t"/>
              <v:fill type="solid"/>
            </v:shape>
            <v:shape style="position:absolute;left:3613;top:1275;width:36;height:69" coordorigin="3613,1275" coordsize="36,69" path="m3642,1275l3638,1285,3613,1338,3622,1344,3648,1292,3638,1292,3648,1285,3642,1275xe" filled="true" fillcolor="#ff0000" stroked="false">
              <v:path arrowok="t"/>
              <v:fill type="solid"/>
            </v:shape>
            <v:line style="position:absolute" from="3577,1315" to="3713,1315" stroked="true" strokeweight=".708362pt" strokecolor="#ff0000"/>
            <v:shape style="position:absolute;left:3617;top:1441;width:55;height:54" coordorigin="3617,1441" coordsize="55,54" path="m3646,1441l3617,1467,3646,1494,3672,1467,3646,1441xe" filled="true" fillcolor="#00ff00" stroked="false">
              <v:path arrowok="t"/>
              <v:fill type="solid"/>
            </v:shape>
            <v:shape style="position:absolute;left:3615;top:1435;width:34;height:37" coordorigin="3615,1435" coordsize="34,37" path="m3646,1435l3642,1437,3615,1464,3621,1471,3648,1445,3642,1445,3648,1437,3646,1435xe" filled="true" fillcolor="#00ff00" stroked="false">
              <v:path arrowok="t"/>
              <v:fill type="solid"/>
            </v:shape>
            <v:shape style="position:absolute;left:3642;top:1437;width:37;height:34" coordorigin="3642,1437" coordsize="37,34" path="m3648,1437l3642,1445,3668,1471,3668,1464,3673,1464,3648,1437xm3673,1464l3668,1464,3673,1471,3673,1464xm3673,1464l3673,1471,3679,1467,3673,1464xe" filled="true" fillcolor="#00ff00" stroked="false">
              <v:path arrowok="t"/>
              <v:fill type="solid"/>
            </v:shape>
            <v:shape style="position:absolute;left:3642;top:1464;width:32;height:39" coordorigin="3642,1464" coordsize="32,39" path="m3668,1464l3642,1490,3648,1490,3642,1498,3646,1502,3648,1498,3673,1471,3668,1464xe" filled="true" fillcolor="#00ff00" stroked="false">
              <v:path arrowok="t"/>
              <v:fill type="solid"/>
            </v:shape>
            <v:shape style="position:absolute;left:3611;top:1464;width:37;height:35" coordorigin="3611,1464" coordsize="37,35" path="m3615,1464l3615,1471,3642,1498,3648,1490,3629,1471,3621,1471,3615,1464xm3615,1464l3611,1467,3615,1471,3615,1464xm3621,1464l3621,1471,3629,1471,3621,1464xe" filled="true" fillcolor="#00ff00" stroked="false">
              <v:path arrowok="t"/>
              <v:fill type="solid"/>
            </v:shape>
            <v:line style="position:absolute" from="3577,1468" to="3713,1468" stroked="true" strokeweight=".640899pt" strokecolor="#00ff00"/>
            <v:shape style="position:absolute;left:3615;top:1612;width:59;height:59" coordorigin="3615,1612" coordsize="59,59" path="m3668,1612l3615,1664,3621,1670,3673,1617,3672,1613,3668,1612xe" filled="true" fillcolor="#ff00ff" stroked="false">
              <v:path arrowok="t"/>
              <v:fill type="solid"/>
            </v:shape>
            <v:shape style="position:absolute;left:3615;top:1612;width:59;height:59" coordorigin="3615,1612" coordsize="59,59" path="m3621,1612l3617,1613,3615,1617,3668,1670,3673,1664,3621,1612xe" filled="true" fillcolor="#ff00ff" stroked="false">
              <v:path arrowok="t"/>
              <v:fill type="solid"/>
            </v:shape>
            <v:line style="position:absolute" from="3577,1641" to="3713,1641" stroked="true" strokeweight=".691496pt" strokecolor="#ff00ff"/>
            <v:shape style="position:absolute;left:2072;top:1369;width:54;height:52" coordorigin="2072,1369" coordsize="54,52" path="m2097,1369l2072,1421,2125,1421,2097,1369xe" filled="true" fillcolor="#ff0000" stroked="false">
              <v:path arrowok="t"/>
              <v:fill type="solid"/>
            </v:shape>
            <v:shape style="position:absolute;left:2092;top:1366;width:44;height:62" coordorigin="2092,1366" coordsize="44,62" path="m2128,1414l2125,1414,2125,1427,2131,1419,2128,1414xm2131,1419l2125,1427,2135,1427,2131,1419xm2102,1366l2092,1370,2121,1425,2125,1414,2128,1414,2102,1366xe" filled="true" fillcolor="#ff0000" stroked="false">
              <v:path arrowok="t"/>
              <v:fill type="solid"/>
            </v:shape>
            <v:shape style="position:absolute;left:2064;top:1414;width:61;height:13" coordorigin="2064,1414" coordsize="61,13" path="m2068,1419l2064,1427,2072,1427,2068,1419xm2068,1419l2072,1427,2125,1427,2125,1425,2078,1425,2068,1419xm2125,1414l2072,1414,2078,1425,2125,1425,2125,1414xe" filled="true" fillcolor="#ff0000" stroked="false">
              <v:path arrowok="t"/>
              <v:fill type="solid"/>
            </v:shape>
            <v:shape style="position:absolute;left:2068;top:1356;width:35;height:69" coordorigin="2068,1356" coordsize="35,69" path="m2097,1356l2092,1366,2068,1419,2078,1425,2102,1370,2092,1370,2102,1366,2097,1356xe" filled="true" fillcolor="#ff0000" stroked="false">
              <v:path arrowok="t"/>
              <v:fill type="solid"/>
            </v:shape>
            <v:shape style="position:absolute;left:1788;top:995;width:127;height:110" type="#_x0000_t75" stroked="false">
              <v:imagedata r:id="rId89" o:title=""/>
            </v:shape>
            <v:shape style="position:absolute;left:1790;top:5527;width:132;height:110" type="#_x0000_t75" stroked="false">
              <v:imagedata r:id="rId90" o:title=""/>
            </v:shape>
            <v:shape style="position:absolute;left:5022;top:5968;width:54;height:55" coordorigin="5022,5968" coordsize="54,55" path="m5048,5968l5038,5972,5030,5976,5024,5983,5022,5993,5024,6004,5030,6013,5038,6019,5048,6022,5058,6019,5067,6013,5072,6004,5075,5993,5072,5983,5067,5976,5058,5972,5048,5968xe" filled="true" fillcolor="#0000ff" stroked="false">
              <v:path arrowok="t"/>
              <v:fill type="solid"/>
            </v:shape>
            <v:shape style="position:absolute;left:5048;top:5962;width:34;height:32" coordorigin="5048,5962" coordsize="34,32" path="m5048,5962l5048,5976,5057,5976,5065,5980,5067,5988,5069,5993,5081,5993,5077,5982,5071,5972,5061,5965,5048,5962xe" filled="true" fillcolor="#0000ff" stroked="false">
              <v:path arrowok="t"/>
              <v:fill type="solid"/>
            </v:shape>
            <v:shape style="position:absolute;left:5048;top:5993;width:34;height:36" coordorigin="5048,5993" coordsize="34,36" path="m5081,5993l5069,5993,5065,6010,5057,6013,5048,6013,5048,6029,5061,6024,5071,6019,5077,6008,5081,5993xe" filled="true" fillcolor="#0000ff" stroked="false">
              <v:path arrowok="t"/>
              <v:fill type="solid"/>
            </v:shape>
            <v:shape style="position:absolute;left:5017;top:5993;width:32;height:36" coordorigin="5017,5993" coordsize="32,36" path="m5028,5993l5017,5993,5020,6008,5027,6019,5037,6024,5048,6029,5048,6013,5041,6013,5034,6010,5030,6002,5028,5993xe" filled="true" fillcolor="#0000ff" stroked="false">
              <v:path arrowok="t"/>
              <v:fill type="solid"/>
            </v:shape>
            <v:shape style="position:absolute;left:5017;top:5962;width:32;height:32" coordorigin="5017,5962" coordsize="32,32" path="m5048,5962l5037,5965,5027,5972,5020,5982,5017,5993,5028,5993,5030,5988,5034,5980,5041,5976,5048,5976,5048,5962xe" filled="true" fillcolor="#0000ff" stroked="false">
              <v:path arrowok="t"/>
              <v:fill type="solid"/>
            </v:shape>
            <v:shape style="position:absolute;left:6004;top:5838;width:52;height:54" coordorigin="6004,5838" coordsize="52,54" path="m6030,5838l6020,5840,6010,5844,6005,5854,6004,5864,6005,5875,6010,5882,6020,5888,6030,5891,6040,5888,6048,5882,6052,5875,6056,5864,6048,5844,6040,5840,6030,5838xe" filled="true" fillcolor="#0000ff" stroked="false">
              <v:path arrowok="t"/>
              <v:fill type="solid"/>
            </v:shape>
            <v:shape style="position:absolute;left:6030;top:5831;width:32;height:33" coordorigin="6030,5831" coordsize="32,33" path="m6030,5831l6030,5844,6035,5844,6044,5848,6048,5856,6051,5864,6062,5864,6058,5851,6052,5841,6041,5836,6030,5831xe" filled="true" fillcolor="#0000ff" stroked="false">
              <v:path arrowok="t"/>
              <v:fill type="solid"/>
            </v:shape>
            <v:shape style="position:absolute;left:6030;top:5864;width:32;height:34" coordorigin="6030,5864" coordsize="32,34" path="m6062,5864l6051,5864,6048,5872,6044,5878,6035,5882,6030,5885,6030,5897,6041,5892,6052,5887,6058,5877,6062,5864xe" filled="true" fillcolor="#0000ff" stroked="false">
              <v:path arrowok="t"/>
              <v:fill type="solid"/>
            </v:shape>
            <v:shape style="position:absolute;left:5995;top:5864;width:36;height:34" coordorigin="5995,5864" coordsize="36,34" path="m6010,5864l5995,5864,6000,5877,6005,5887,6015,5892,6030,5897,6030,5885,6021,5882,6014,5878,6010,5872,6010,5864xe" filled="true" fillcolor="#0000ff" stroked="false">
              <v:path arrowok="t"/>
              <v:fill type="solid"/>
            </v:shape>
            <v:shape style="position:absolute;left:5995;top:5831;width:36;height:33" coordorigin="5995,5831" coordsize="36,33" path="m6030,5831l6015,5836,6005,5841,6000,5851,5995,5864,6010,5864,6010,5856,6014,5848,6021,5844,6030,5844,6030,5831xe" filled="true" fillcolor="#0000ff" stroked="false">
              <v:path arrowok="t"/>
              <v:fill type="solid"/>
            </v:shape>
            <v:shape style="position:absolute;left:3074;top:8268;width:52;height:52" coordorigin="3074,8268" coordsize="52,52" path="m3101,8268l3091,8269,3080,8275,3075,8283,3074,8293,3075,8303,3080,8313,3091,8318,3101,8320,3111,8318,3118,8313,3125,8303,3126,8293,3125,8283,3118,8275,3111,8269,3101,8268xe" filled="true" fillcolor="#0000ff" stroked="false">
              <v:path arrowok="t"/>
              <v:fill type="solid"/>
            </v:shape>
            <v:shape style="position:absolute;left:3101;top:8261;width:32;height:32" coordorigin="3101,8261" coordsize="32,32" path="m3101,8261l3101,8273,3106,8275,3115,8279,3118,8288,3121,8293,3132,8293,3128,8282,3122,8271,3112,8265,3101,8261xe" filled="true" fillcolor="#0000ff" stroked="false">
              <v:path arrowok="t"/>
              <v:fill type="solid"/>
            </v:shape>
            <v:shape style="position:absolute;left:3101;top:8293;width:32;height:34" coordorigin="3101,8293" coordsize="32,34" path="m3132,8293l3121,8293,3118,8302,3115,8310,3106,8313,3101,8313,3101,8326,3112,8323,3122,8316,3128,8306,3132,8293xe" filled="true" fillcolor="#0000ff" stroked="false">
              <v:path arrowok="t"/>
              <v:fill type="solid"/>
            </v:shape>
            <v:shape style="position:absolute;left:3068;top:8293;width:34;height:34" coordorigin="3068,8293" coordsize="34,34" path="m3080,8293l3068,8293,3070,8306,3078,8316,3088,8323,3101,8326,3101,8313,3092,8313,3084,8310,3080,8302,3080,8293xe" filled="true" fillcolor="#0000ff" stroked="false">
              <v:path arrowok="t"/>
              <v:fill type="solid"/>
            </v:shape>
            <v:shape style="position:absolute;left:3068;top:8261;width:34;height:32" coordorigin="3068,8261" coordsize="34,32" path="m3101,8261l3088,8265,3078,8271,3070,8282,3068,8293,3080,8293,3080,8288,3084,8279,3092,8275,3101,8273,3101,8261xe" filled="true" fillcolor="#0000ff" stroked="false">
              <v:path arrowok="t"/>
              <v:fill type="solid"/>
            </v:shape>
            <v:shape style="position:absolute;left:2078;top:8836;width:54;height:54" coordorigin="2078,8836" coordsize="54,54" path="m2105,8836l2094,8840,2087,8845,2082,8853,2078,8863,2087,8883,2094,8887,2105,8889,2115,8887,2125,8883,2129,8873,2131,8863,2129,8853,2125,8845,2105,8836xe" filled="true" fillcolor="#0000ff" stroked="false">
              <v:path arrowok="t"/>
              <v:fill type="solid"/>
            </v:shape>
            <v:shape style="position:absolute;left:2105;top:8830;width:34;height:33" coordorigin="2105,8830" coordsize="34,33" path="m2105,8830l2105,8843,2112,8845,2121,8849,2125,8856,2125,8863,2139,8863,2135,8850,2129,8840,2119,8835,2105,8830xe" filled="true" fillcolor="#0000ff" stroked="false">
              <v:path arrowok="t"/>
              <v:fill type="solid"/>
            </v:shape>
            <v:shape style="position:absolute;left:2105;top:8863;width:34;height:35" coordorigin="2105,8863" coordsize="34,35" path="m2139,8863l2125,8863,2125,8871,2121,8879,2112,8883,2105,8883,2105,8897,2119,8893,2129,8887,2135,8877,2139,8863xe" filled="true" fillcolor="#0000ff" stroked="false">
              <v:path arrowok="t"/>
              <v:fill type="solid"/>
            </v:shape>
            <v:shape style="position:absolute;left:2072;top:8863;width:34;height:35" coordorigin="2072,8863" coordsize="34,35" path="m2084,8863l2072,8863,2077,8877,2082,8887,2092,8893,2105,8897,2105,8883,2099,8883,2091,8879,2087,8871,2084,8863xe" filled="true" fillcolor="#0000ff" stroked="false">
              <v:path arrowok="t"/>
              <v:fill type="solid"/>
            </v:shape>
            <v:shape style="position:absolute;left:2072;top:8830;width:34;height:33" coordorigin="2072,8830" coordsize="34,33" path="m2105,8830l2092,8835,2082,8840,2077,8850,2072,8863,2084,8863,2087,8856,2091,8849,2099,8845,2105,8843,2105,8830xe" filled="true" fillcolor="#0000ff" stroked="false">
              <v:path arrowok="t"/>
              <v:fill type="solid"/>
            </v:shape>
            <v:shape style="position:absolute;left:4065;top:7161;width:55;height:54" coordorigin="4065,7161" coordsize="55,54" path="m4092,7161l4081,7165,4074,7169,4068,7177,4065,7188,4074,7208,4081,7211,4092,7214,4102,7211,4112,7208,4119,7188,4115,7177,4112,7169,4092,7161xe" filled="true" fillcolor="#0000ff" stroked="false">
              <v:path arrowok="t"/>
              <v:fill type="solid"/>
            </v:shape>
            <v:shape style="position:absolute;left:4092;top:7154;width:35;height:34" coordorigin="4092,7154" coordsize="35,34" path="m4092,7154l4092,7167,4099,7169,4108,7174,4112,7181,4112,7188,4126,7188,4122,7175,4115,7165,4105,7158,4092,7154xe" filled="true" fillcolor="#0000ff" stroked="false">
              <v:path arrowok="t"/>
              <v:fill type="solid"/>
            </v:shape>
            <v:shape style="position:absolute;left:4092;top:7188;width:35;height:32" coordorigin="4092,7188" coordsize="35,32" path="m4126,7188l4112,7188,4112,7195,4108,7204,4099,7208,4092,7208,4092,7219,4105,7218,4115,7211,4122,7201,4126,7188xe" filled="true" fillcolor="#0000ff" stroked="false">
              <v:path arrowok="t"/>
              <v:fill type="solid"/>
            </v:shape>
            <v:shape style="position:absolute;left:4058;top:7188;width:34;height:32" coordorigin="4058,7188" coordsize="34,32" path="m4071,7188l4058,7188,4063,7201,4068,7211,4079,7218,4092,7219,4092,7208,4085,7208,4078,7204,4074,7195,4071,7188xe" filled="true" fillcolor="#0000ff" stroked="false">
              <v:path arrowok="t"/>
              <v:fill type="solid"/>
            </v:shape>
            <v:shape style="position:absolute;left:4058;top:7154;width:34;height:34" coordorigin="4058,7154" coordsize="34,34" path="m4092,7154l4079,7158,4068,7165,4063,7175,4058,7188,4071,7188,4074,7181,4078,7174,4085,7169,4092,7167,4092,7154xe" filled="true" fillcolor="#0000ff" stroked="false">
              <v:path arrowok="t"/>
              <v:fill type="solid"/>
            </v:shape>
            <v:shape style="position:absolute;left:6004;top:6174;width:52;height:52" coordorigin="6004,6174" coordsize="52,52" path="m6030,6174l6004,6201,6030,6226,6056,6201,6030,6174xe" filled="true" fillcolor="#00ff00" stroked="false">
              <v:path arrowok="t"/>
              <v:fill type="solid"/>
            </v:shape>
            <v:shape style="position:absolute;left:6000;top:6165;width:32;height:40" coordorigin="6000,6165" coordsize="32,40" path="m6030,6165l6025,6171,6000,6196,6005,6205,6031,6178,6025,6178,6031,6171,6030,6165xe" filled="true" fillcolor="#00ff00" stroked="false">
              <v:path arrowok="t"/>
              <v:fill type="solid"/>
            </v:shape>
            <v:shape style="position:absolute;left:6025;top:6171;width:37;height:35" coordorigin="6025,6171" coordsize="37,35" path="m6031,6171l6025,6178,6052,6205,6052,6196,6061,6196,6031,6171xm6061,6196l6052,6196,6061,6205,6061,6196xm6061,6196l6061,6205,6062,6201,6061,6196xe" filled="true" fillcolor="#00ff00" stroked="false">
              <v:path arrowok="t"/>
              <v:fill type="solid"/>
            </v:shape>
            <v:shape style="position:absolute;left:6025;top:6196;width:36;height:40" coordorigin="6025,6196" coordsize="36,40" path="m6052,6196l6025,6222,6031,6222,6025,6232,6030,6235,6031,6232,6061,6205,6052,6196xe" filled="true" fillcolor="#00ff00" stroked="false">
              <v:path arrowok="t"/>
              <v:fill type="solid"/>
            </v:shape>
            <v:shape style="position:absolute;left:5995;top:6196;width:37;height:36" coordorigin="5995,6196" coordsize="37,36" path="m6000,6196l6000,6205,6025,6232,6031,6222,6014,6205,6005,6205,6000,6196xm6000,6196l5995,6201,6000,6205,6000,6196xm6005,6196l6005,6205,6014,6205,6005,6196xe" filled="true" fillcolor="#00ff00" stroked="false">
              <v:path arrowok="t"/>
              <v:fill type="solid"/>
            </v:shape>
            <v:line style="position:absolute" from="5991,8956" to="6072,8956" stroked="true" strokeweight=".565003pt" strokecolor="#000000"/>
            <v:line style="position:absolute" from="5991,9246" to="6072,9246" stroked="true" strokeweight=".565003pt" strokecolor="#000000"/>
            <v:line style="position:absolute" from="6031,8956" to="6031,9245" stroked="true" strokeweight=".624184pt" strokecolor="#000000"/>
            <v:line style="position:absolute" from="5991,8956" to="6072,8956" stroked="true" strokeweight=".565003pt" strokecolor="#ff0000"/>
            <v:line style="position:absolute" from="5991,9416" to="6072,9416" stroked="true" strokeweight=".624033pt" strokecolor="#ff0000"/>
            <v:line style="position:absolute" from="6031,8956" to="6031,9416" stroked="true" strokeweight=".624184pt" strokecolor="#ff0000"/>
            <v:line style="position:absolute" from="6005,9072" to="6058,9072" stroked="true" strokeweight="2.656358pt" strokecolor="#000000"/>
            <v:shape style="position:absolute;left:6005;top:9039;width:60;height:13" coordorigin="6005,9039" coordsize="60,13" path="m6058,9039l6005,9039,6005,9052,6058,9052,6052,9045,6064,9045,6058,9039xm6064,9039l6058,9039,6064,9045,6064,9039xe" filled="true" fillcolor="#000000" stroked="false">
              <v:path arrowok="t"/>
              <v:fill type="solid"/>
            </v:shape>
            <v:shape style="position:absolute;left:6052;top:9045;width:13;height:59" coordorigin="6052,9045" coordsize="13,59" path="m6064,9092l6058,9092,6058,9103,6064,9098,6064,9092xm6064,9098l6058,9103,6064,9103,6064,9098xm6064,9045l6052,9045,6052,9098,6058,9092,6064,9092,6064,9045xe" filled="true" fillcolor="#000000" stroked="false">
              <v:path arrowok="t"/>
              <v:fill type="solid"/>
            </v:shape>
            <v:shape style="position:absolute;left:6000;top:9092;width:59;height:12" coordorigin="6000,9092" coordsize="59,12" path="m6000,9098l6000,9103,6005,9103,6000,9098xm6058,9092l6005,9092,6011,9098,6000,9098,6005,9103,6058,9103,6058,9092xe" filled="true" fillcolor="#000000" stroked="false">
              <v:path arrowok="t"/>
              <v:fill type="solid"/>
            </v:shape>
            <v:shape style="position:absolute;left:6000;top:9039;width:12;height:60" coordorigin="6000,9039" coordsize="12,60" path="m6005,9039l6000,9045,6000,9098,6011,9098,6011,9052,6005,9052,6005,9039xm6011,9045l6005,9052,6011,9052,6011,9045xm6005,9039l6000,9039,6000,9045,6005,9039xe" filled="true" fillcolor="#000000" stroked="false">
              <v:path arrowok="t"/>
              <v:fill type="solid"/>
            </v:shape>
            <v:line style="position:absolute" from="5012,8036" to="5065,8036" stroked="true" strokeweight="2.656358pt" strokecolor="#000000"/>
            <v:shape style="position:absolute;left:5012;top:8004;width:60;height:12" coordorigin="5012,8004" coordsize="60,12" path="m5065,8004l5012,8004,5012,8016,5065,8016,5058,8009,5071,8009,5065,8004xm5071,8004l5065,8004,5071,8009,5071,8004xe" filled="true" fillcolor="#000000" stroked="false">
              <v:path arrowok="t"/>
              <v:fill type="solid"/>
            </v:shape>
            <v:shape style="position:absolute;left:5058;top:8009;width:13;height:60" coordorigin="5058,8009" coordsize="13,60" path="m5071,8056l5065,8056,5065,8069,5071,8063,5071,8056xm5071,8063l5065,8069,5071,8069,5071,8063xm5071,8009l5058,8009,5058,8063,5065,8056,5071,8056,5071,8009xe" filled="true" fillcolor="#000000" stroked="false">
              <v:path arrowok="t"/>
              <v:fill type="solid"/>
            </v:shape>
            <v:shape style="position:absolute;left:5006;top:8056;width:59;height:13" coordorigin="5006,8056" coordsize="59,13" path="m5006,8063l5006,8069,5012,8069,5006,8063xm5065,8056l5012,8056,5018,8063,5006,8063,5012,8069,5065,8069,5065,8056xe" filled="true" fillcolor="#000000" stroked="false">
              <v:path arrowok="t"/>
              <v:fill type="solid"/>
            </v:shape>
            <v:shape style="position:absolute;left:5006;top:8004;width:12;height:59" coordorigin="5006,8004" coordsize="12,59" path="m5012,8004l5006,8009,5006,8063,5018,8063,5018,8016,5012,8016,5012,8004xm5018,8009l5012,8016,5018,8016,5018,8009xm5012,8004l5006,8004,5006,8009,5012,8004xe" filled="true" fillcolor="#000000" stroked="false">
              <v:path arrowok="t"/>
              <v:fill type="solid"/>
            </v:shape>
            <v:line style="position:absolute" from="4033,8137" to="4114,8137" stroked="true" strokeweight=".649332pt" strokecolor="#00ff00"/>
            <v:line style="position:absolute" from="4033,9416" to="4114,9416" stroked="true" strokeweight=".624033pt" strokecolor="#00ff00"/>
            <v:line style="position:absolute" from="4072,8140" to="4072,9418" stroked="true" strokeweight=".708534pt" strokecolor="#00ff00"/>
            <v:line style="position:absolute" from="4997,7039" to="5081,7039" stroked="true" strokeweight=".624033pt" strokecolor="#00ff00"/>
            <v:line style="position:absolute" from="4997,9100" to="5081,9100" stroked="true" strokeweight=".632466pt" strokecolor="#00ff00"/>
            <v:line style="position:absolute" from="5038,7043" to="5038,9102" stroked="true" strokeweight=".624185pt" strokecolor="#00ff00"/>
            <v:shape style="position:absolute;left:5012;top:8036;width:54;height:54" coordorigin="5012,8036" coordsize="54,54" path="m5038,8036l5012,8063,5038,8089,5065,8063,5038,8036xe" filled="true" fillcolor="#00ff00" stroked="false">
              <v:path arrowok="t"/>
              <v:fill type="solid"/>
            </v:shape>
            <v:shape style="position:absolute;left:5007;top:8028;width:35;height:39" coordorigin="5007,8028" coordsize="35,39" path="m5038,8028l5007,8059,5017,8066,5042,8040,5034,8040,5042,8032,5038,8028xe" filled="true" fillcolor="#00ff00" stroked="false">
              <v:path arrowok="t"/>
              <v:fill type="solid"/>
            </v:shape>
            <v:shape style="position:absolute;left:5034;top:8032;width:38;height:35" coordorigin="5034,8032" coordsize="38,35" path="m5042,8032l5034,8040,5061,8066,5061,8059,5069,8059,5042,8032xm5069,8059l5061,8059,5069,8066,5069,8059xm5069,8059l5069,8066,5072,8063,5069,8059xe" filled="true" fillcolor="#00ff00" stroked="false">
              <v:path arrowok="t"/>
              <v:fill type="solid"/>
            </v:shape>
            <v:shape style="position:absolute;left:5034;top:8059;width:35;height:39" coordorigin="5034,8059" coordsize="35,39" path="m5061,8059l5034,8085,5042,8085,5034,8093,5038,8097,5069,8066,5061,8059xe" filled="true" fillcolor="#00ff00" stroked="false">
              <v:path arrowok="t"/>
              <v:fill type="solid"/>
            </v:shape>
            <v:shape style="position:absolute;left:5004;top:8059;width:39;height:35" coordorigin="5004,8059" coordsize="39,35" path="m5007,8059l5007,8066,5034,8093,5042,8085,5024,8066,5017,8066,5007,8059xm5007,8059l5004,8063,5007,8066,5007,8059xm5017,8059l5017,8066,5024,8066,5017,8059xe" filled="true" fillcolor="#00ff00" stroked="false">
              <v:path arrowok="t"/>
              <v:fill type="solid"/>
            </v:shape>
            <v:shape style="position:absolute;left:5012;top:7904;width:54;height:54" coordorigin="5012,7904" coordsize="54,54" path="m5037,7904l5012,7957,5065,7957,5037,7904xe" filled="true" fillcolor="#ff0000" stroked="false">
              <v:path arrowok="t"/>
              <v:fill type="solid"/>
            </v:shape>
            <v:shape style="position:absolute;left:5030;top:7901;width:45;height:64" coordorigin="5030,7901" coordsize="45,64" path="m5070,7951l5065,7951,5065,7964,5071,7954,5070,7951xm5071,7954l5065,7964,5075,7961,5071,7954xm5041,7901l5030,7907,5061,7959,5065,7951,5070,7951,5041,7901xe" filled="true" fillcolor="#ff0000" stroked="false">
              <v:path arrowok="t"/>
              <v:fill type="solid"/>
            </v:shape>
            <v:shape style="position:absolute;left:5004;top:7951;width:62;height:13" coordorigin="5004,7951" coordsize="62,13" path="m5007,7954l5004,7961,5012,7964,5007,7954xm5007,7954l5012,7964,5065,7964,5065,7959,5018,7959,5007,7954xm5065,7951l5012,7951,5018,7959,5065,7959,5065,7951xe" filled="true" fillcolor="#ff0000" stroked="false">
              <v:path arrowok="t"/>
              <v:fill type="solid"/>
            </v:shape>
            <v:shape style="position:absolute;left:5007;top:7890;width:34;height:69" coordorigin="5007,7890" coordsize="34,69" path="m5037,7890l5030,7901,5007,7954,5018,7959,5041,7907,5030,7907,5041,7901,5037,7890xe" filled="true" fillcolor="#ff0000" stroked="false">
              <v:path arrowok="t"/>
              <v:fill type="solid"/>
            </v:shape>
            <v:shape style="position:absolute;left:4065;top:7097;width:55;height:54" coordorigin="4065,7097" coordsize="55,54" path="m4089,7097l4065,7151,4119,7151,4089,7097xe" filled="true" fillcolor="#ff0000" stroked="false">
              <v:path arrowok="t"/>
              <v:fill type="solid"/>
            </v:shape>
            <v:shape style="position:absolute;left:4085;top:7094;width:44;height:64" coordorigin="4085,7094" coordsize="44,64" path="m4123,7144l4119,7144,4119,7157,4125,7147,4123,7144xm4125,7147l4119,7157,4128,7154,4125,7147xm4095,7094l4085,7100,4114,7153,4119,7144,4123,7144,4095,7094xe" filled="true" fillcolor="#ff0000" stroked="false">
              <v:path arrowok="t"/>
              <v:fill type="solid"/>
            </v:shape>
            <v:shape style="position:absolute;left:4057;top:7144;width:62;height:13" coordorigin="4057,7144" coordsize="62,13" path="m4061,7147l4057,7154,4065,7157,4061,7147xm4061,7147l4065,7157,4119,7157,4119,7153,4071,7153,4061,7147xm4119,7144l4065,7144,4071,7153,4119,7153,4119,7144xe" filled="true" fillcolor="#ff0000" stroked="false">
              <v:path arrowok="t"/>
              <v:fill type="solid"/>
            </v:shape>
            <v:shape style="position:absolute;left:4061;top:7084;width:35;height:70" coordorigin="4061,7084" coordsize="35,70" path="m4089,7084l4085,7094,4061,7147,4071,7153,4095,7100,4085,7100,4095,7094,4089,7084xe" filled="true" fillcolor="#ff0000" stroked="false">
              <v:path arrowok="t"/>
              <v:fill type="solid"/>
            </v:shape>
            <v:line style="position:absolute" from="4051,6760" to="4132,6760" stroked="true" strokeweight=".624033pt" strokecolor="#0000ff"/>
            <v:line style="position:absolute" from="4051,7687" to="4132,7687" stroked="true" strokeweight=".691496pt" strokecolor="#0000ff"/>
            <v:line style="position:absolute" from="4092,6762" to="4092,7688" stroked="true" strokeweight=".632620pt" strokecolor="#0000ff"/>
            <v:shape style="position:absolute;left:3074;top:7238;width:52;height:52" coordorigin="3074,7238" coordsize="52,52" path="m3101,7238l3074,7265,3101,7290,3126,7265,3101,7238xe" filled="true" fillcolor="#00ff00" stroked="false">
              <v:path arrowok="t"/>
              <v:fill type="solid"/>
            </v:shape>
            <v:shape style="position:absolute;left:3070;top:7229;width:35;height:40" coordorigin="3070,7229" coordsize="35,40" path="m3101,7229l3096,7234,3070,7260,3078,7269,3104,7239,3096,7239,3104,7234,3101,7229xe" filled="true" fillcolor="#00ff00" stroked="false">
              <v:path arrowok="t"/>
              <v:fill type="solid"/>
            </v:shape>
            <v:shape style="position:absolute;left:3096;top:7234;width:40;height:35" coordorigin="3096,7234" coordsize="40,35" path="m3104,7234l3096,7239,3122,7269,3122,7260,3131,7260,3104,7234xm3131,7260l3122,7260,3131,7269,3131,7260xm3131,7260l3131,7269,3135,7265,3131,7260xe" filled="true" fillcolor="#00ff00" stroked="false">
              <v:path arrowok="t"/>
              <v:fill type="solid"/>
            </v:shape>
            <v:shape style="position:absolute;left:3096;top:7260;width:36;height:37" coordorigin="3096,7260" coordsize="36,37" path="m3122,7260l3096,7286,3104,7286,3096,7295,3101,7296,3104,7295,3131,7269,3122,7260xe" filled="true" fillcolor="#00ff00" stroked="false">
              <v:path arrowok="t"/>
              <v:fill type="solid"/>
            </v:shape>
            <v:shape style="position:absolute;left:3065;top:7260;width:40;height:36" coordorigin="3065,7260" coordsize="40,36" path="m3070,7260l3070,7269,3096,7295,3104,7286,3087,7269,3078,7269,3070,7260xm3070,7260l3065,7265,3070,7269,3070,7260xm3078,7260l3078,7269,3087,7269,3078,7260xe" filled="true" fillcolor="#00ff00" stroked="false">
              <v:path arrowok="t"/>
              <v:fill type="solid"/>
            </v:shape>
            <v:line style="position:absolute" from="3057,8235" to="3141,8235" stroked="true" strokeweight=".632466pt" strokecolor="#00ff00"/>
            <v:line style="position:absolute" from="3057,6316" to="3141,6316" stroked="true" strokeweight=".624033pt" strokecolor="#00ff00"/>
            <v:line style="position:absolute" from="3098,6314" to="3098,8231" stroked="true" strokeweight=".624185pt" strokecolor="#00ff00"/>
            <v:shape style="position:absolute;left:4063;top:7110;width:59;height:61" coordorigin="4063,7110" coordsize="59,61" path="m4115,7110l4063,7165,4068,7171,4122,7118,4119,7114,4115,7110xe" filled="true" fillcolor="#ff00ff" stroked="false">
              <v:path arrowok="t"/>
              <v:fill type="solid"/>
            </v:shape>
            <v:shape style="position:absolute;left:4063;top:7110;width:59;height:61" coordorigin="4063,7110" coordsize="59,61" path="m4068,7110l4065,7114,4063,7118,4115,7171,4122,7165,4068,7110xe" filled="true" fillcolor="#ff00ff" stroked="false">
              <v:path arrowok="t"/>
              <v:fill type="solid"/>
            </v:shape>
            <v:shape style="position:absolute;left:3070;top:7857;width:61;height:60" coordorigin="3070,7857" coordsize="61,60" path="m3122,7857l3070,7911,3078,7917,3131,7864,3126,7860,3122,7857xe" filled="true" fillcolor="#ff00ff" stroked="false">
              <v:path arrowok="t"/>
              <v:fill type="solid"/>
            </v:shape>
            <v:shape style="position:absolute;left:3070;top:7857;width:61;height:60" coordorigin="3070,7857" coordsize="61,60" path="m3078,7857l3074,7860,3070,7864,3122,7917,3131,7911,3078,7857xe" filled="true" fillcolor="#ff00ff" stroked="false">
              <v:path arrowok="t"/>
              <v:fill type="solid"/>
            </v:shape>
            <v:shape style="position:absolute;left:3074;top:6395;width:52;height:54" coordorigin="3074,6395" coordsize="52,54" path="m3098,6395l3074,6448,3126,6448,3098,6395xe" filled="true" fillcolor="#ff0000" stroked="false">
              <v:path arrowok="t"/>
              <v:fill type="solid"/>
            </v:shape>
            <v:shape style="position:absolute;left:3092;top:6391;width:45;height:64" coordorigin="3092,6391" coordsize="45,64" path="m3129,6442l3126,6442,3126,6454,3131,6444,3129,6442xm3131,6444l3126,6454,3136,6452,3131,6444xm3102,6391l3092,6398,3121,6449,3126,6442,3129,6442,3102,6391xe" filled="true" fillcolor="#ff0000" stroked="false">
              <v:path arrowok="t"/>
              <v:fill type="solid"/>
            </v:shape>
            <v:shape style="position:absolute;left:3064;top:6442;width:62;height:13" coordorigin="3064,6442" coordsize="62,13" path="m3068,6444l3064,6452,3074,6454,3068,6444xm3068,6444l3074,6454,3126,6454,3126,6449,3078,6449,3068,6444xm3126,6442l3074,6442,3078,6449,3126,6449,3126,6442xe" filled="true" fillcolor="#ff0000" stroked="false">
              <v:path arrowok="t"/>
              <v:fill type="solid"/>
            </v:shape>
            <v:shape style="position:absolute;left:3068;top:6381;width:35;height:69" coordorigin="3068,6381" coordsize="35,69" path="m3098,6381l3092,6391,3068,6444,3078,6449,3102,6398,3092,6398,3102,6391,3098,6381xe" filled="true" fillcolor="#ff0000" stroked="false">
              <v:path arrowok="t"/>
              <v:fill type="solid"/>
            </v:shape>
            <v:shape style="position:absolute;left:2092;top:5935;width:54;height:54" coordorigin="2092,5935" coordsize="54,54" path="m2117,5935l2092,5988,2145,5988,2117,5935xe" filled="true" fillcolor="#000000" stroked="false">
              <v:path arrowok="t"/>
              <v:fill type="solid"/>
            </v:shape>
            <v:shape style="position:absolute;left:2112;top:5933;width:44;height:61" coordorigin="2112,5933" coordsize="44,61" path="m2150,5982l2145,5982,2145,5993,2152,5986,2150,5982xm2152,5986l2145,5993,2155,5993,2152,5986xm2122,5933l2112,5938,2141,5992,2145,5982,2150,5982,2122,5933xe" filled="true" fillcolor="#000000" stroked="false">
              <v:path arrowok="t"/>
              <v:fill type="solid"/>
            </v:shape>
            <v:shape style="position:absolute;left:2084;top:5982;width:61;height:12" coordorigin="2084,5982" coordsize="61,12" path="m2088,5986l2084,5993,2092,5993,2088,5986xm2088,5986l2092,5993,2145,5993,2145,5992,2099,5992,2088,5986xm2145,5982l2092,5982,2099,5992,2145,5992,2145,5982xe" filled="true" fillcolor="#000000" stroked="false">
              <v:path arrowok="t"/>
              <v:fill type="solid"/>
            </v:shape>
            <v:shape style="position:absolute;left:2088;top:5923;width:35;height:70" coordorigin="2088,5923" coordsize="35,70" path="m2117,5923l2112,5933,2088,5986,2099,5992,2122,5938,2112,5938,2122,5933,2117,5923xe" filled="true" fillcolor="#000000" stroked="false">
              <v:path arrowok="t"/>
              <v:fill type="solid"/>
            </v:shape>
            <v:shape style="position:absolute;left:6000;top:4611;width:52;height:52" coordorigin="6000,4611" coordsize="52,52" path="m6021,4611l6000,4662,6052,4662,6021,4611xe" filled="true" fillcolor="#ff0000" stroked="false">
              <v:path arrowok="t"/>
              <v:fill type="solid"/>
            </v:shape>
            <v:shape style="position:absolute;left:6017;top:4608;width:45;height:61" coordorigin="6017,4608" coordsize="45,61" path="m6053,4656l6052,4656,6052,4669,6056,4661,6053,4656xm6056,4661l6052,4669,6062,4669,6056,4661xm6028,4608l6017,4612,6046,4665,6052,4656,6053,4656,6028,4608xe" filled="true" fillcolor="#ff0000" stroked="false">
              <v:path arrowok="t"/>
              <v:fill type="solid"/>
            </v:shape>
            <v:shape style="position:absolute;left:5989;top:4656;width:63;height:13" coordorigin="5989,4656" coordsize="63,13" path="m5993,4661l5989,4669,6000,4669,5993,4661xm5993,4661l6000,4669,6052,4669,6052,4665,6004,4665,5993,4661xm6052,4656l6000,4656,6004,4665,6052,4665,6052,4656xe" filled="true" fillcolor="#ff0000" stroked="false">
              <v:path arrowok="t"/>
              <v:fill type="solid"/>
            </v:shape>
            <v:shape style="position:absolute;left:5993;top:4598;width:35;height:67" coordorigin="5993,4598" coordsize="35,67" path="m6021,4598l6017,4608,5993,4661,6004,4665,6028,4612,6017,4612,6028,4608,6021,4598xe" filled="true" fillcolor="#ff0000" stroked="false">
              <v:path arrowok="t"/>
              <v:fill type="solid"/>
            </v:shape>
            <v:shape style="position:absolute;left:4997;top:4152;width:54;height:54" coordorigin="4997,4152" coordsize="54,54" path="m5022,4152l4997,4205,5050,4205,5022,4152xe" filled="true" fillcolor="#ff0000" stroked="false">
              <v:path arrowok="t"/>
              <v:fill type="solid"/>
            </v:shape>
            <v:shape style="position:absolute;left:5018;top:4149;width:43;height:61" coordorigin="5018,4149" coordsize="43,61" path="m5055,4199l5050,4199,5050,4210,5057,4203,5055,4199xm5057,4203l5050,4210,5061,4209,5057,4203xm5028,4149l5018,4155,5047,4206,5050,4199,5055,4199,5028,4149xe" filled="true" fillcolor="#ff0000" stroked="false">
              <v:path arrowok="t"/>
              <v:fill type="solid"/>
            </v:shape>
            <v:shape style="position:absolute;left:4990;top:4199;width:61;height:12" coordorigin="4990,4199" coordsize="61,12" path="m4994,4203l4990,4209,4997,4210,4994,4203xm4994,4203l4997,4210,5050,4210,5050,4206,5004,4206,4994,4203xm5050,4199l4997,4199,5004,4206,5050,4206,5050,4199xe" filled="true" fillcolor="#ff0000" stroked="false">
              <v:path arrowok="t"/>
              <v:fill type="solid"/>
            </v:shape>
            <v:shape style="position:absolute;left:4994;top:4140;width:35;height:67" coordorigin="4994,4140" coordsize="35,67" path="m5022,4140l5018,4149,4994,4203,5004,4206,5028,4155,5018,4155,5028,4149,5022,4140xe" filled="true" fillcolor="#ff0000" stroked="false">
              <v:path arrowok="t"/>
              <v:fill type="solid"/>
            </v:shape>
            <v:shape style="position:absolute;left:1703;top:953;width:13;height:3957" coordorigin="1703,953" coordsize="13,3957" path="m1703,4904l1703,4909,1709,4909,1703,4904xm1716,953l1703,953,1703,4904,1709,4909,1709,4898,1716,4898,1716,953xm1716,4898l1709,4898,1716,4904,1716,4898xe" filled="true" fillcolor="#000000" stroked="false">
              <v:path arrowok="t"/>
              <v:fill type="solid"/>
            </v:shape>
            <v:line style="position:absolute" from="1709,4904" to="6409,4904" stroked="true" strokeweight=".565003pt" strokecolor="#000000"/>
            <v:shape style="position:absolute;left:1707;top:5459;width:16;height:3964" coordorigin="1707,5459" coordsize="16,3964" path="m1707,9416l1707,9422,1716,9422,1707,9416xm1722,5459l1707,5459,1707,9416,1716,9422,1716,9410,1722,9410,1722,5459xm1722,9410l1716,9410,1722,9416,1722,9410xe" filled="true" fillcolor="#000000" stroked="false">
              <v:path arrowok="t"/>
              <v:fill type="solid"/>
            </v:shape>
            <v:shape style="position:absolute;left:1716;top:9410;width:4701;height:13" coordorigin="1716,9410" coordsize="4701,13" path="m6409,9410l1716,9410,1716,9422,6409,9422,6417,9416,6403,9416,6409,9410xm6417,9416l6409,9422,6417,9422,6417,9416xe" filled="true" fillcolor="#000000" stroked="false">
              <v:path arrowok="t"/>
              <v:fill type="solid"/>
            </v:shape>
            <v:line style="position:absolute" from="6410,5459" to="6410,9467" stroked="true" strokeweight=".691666pt" strokecolor="#000000"/>
          </v:group>
        </w:pict>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before="1"/>
        <w:rPr>
          <w:rFonts w:ascii="Times New Roman"/>
          <w:sz w:val="22"/>
        </w:rPr>
      </w:pPr>
    </w:p>
    <w:p>
      <w:pPr>
        <w:pStyle w:val="BodyText"/>
        <w:ind w:left="261"/>
        <w:rPr>
          <w:rFonts w:ascii="Times New Roman"/>
          <w:sz w:val="20"/>
        </w:rPr>
      </w:pPr>
      <w:r>
        <w:rPr>
          <w:rFonts w:ascii="Times New Roman"/>
          <w:sz w:val="20"/>
        </w:rPr>
        <w:drawing>
          <wp:inline distT="0" distB="0" distL="0" distR="0">
            <wp:extent cx="5370669" cy="7619238"/>
            <wp:effectExtent l="0" t="0" r="0" b="0"/>
            <wp:docPr id="79" name="image55.jpeg" descr=""/>
            <wp:cNvGraphicFramePr>
              <a:graphicFrameLocks noChangeAspect="1"/>
            </wp:cNvGraphicFramePr>
            <a:graphic>
              <a:graphicData uri="http://schemas.openxmlformats.org/drawingml/2006/picture">
                <pic:pic>
                  <pic:nvPicPr>
                    <pic:cNvPr id="80" name="image55.jpeg"/>
                    <pic:cNvPicPr/>
                  </pic:nvPicPr>
                  <pic:blipFill>
                    <a:blip r:embed="rId91" cstate="print"/>
                    <a:stretch>
                      <a:fillRect/>
                    </a:stretch>
                  </pic:blipFill>
                  <pic:spPr>
                    <a:xfrm>
                      <a:off x="0" y="0"/>
                      <a:ext cx="5370669" cy="76192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after="1"/>
        <w:rPr>
          <w:rFonts w:ascii="Times New Roman"/>
          <w:sz w:val="22"/>
        </w:rPr>
      </w:pPr>
    </w:p>
    <w:p>
      <w:pPr>
        <w:pStyle w:val="BodyText"/>
        <w:ind w:left="261"/>
        <w:rPr>
          <w:rFonts w:ascii="Times New Roman"/>
          <w:sz w:val="20"/>
        </w:rPr>
      </w:pPr>
      <w:r>
        <w:rPr>
          <w:rFonts w:ascii="Times New Roman"/>
          <w:sz w:val="20"/>
        </w:rPr>
        <w:drawing>
          <wp:inline distT="0" distB="0" distL="0" distR="0">
            <wp:extent cx="5376039" cy="7619238"/>
            <wp:effectExtent l="0" t="0" r="0" b="0"/>
            <wp:docPr id="81" name="image56.jpeg" descr=""/>
            <wp:cNvGraphicFramePr>
              <a:graphicFrameLocks noChangeAspect="1"/>
            </wp:cNvGraphicFramePr>
            <a:graphic>
              <a:graphicData uri="http://schemas.openxmlformats.org/drawingml/2006/picture">
                <pic:pic>
                  <pic:nvPicPr>
                    <pic:cNvPr id="82" name="image56.jpeg"/>
                    <pic:cNvPicPr/>
                  </pic:nvPicPr>
                  <pic:blipFill>
                    <a:blip r:embed="rId92" cstate="print"/>
                    <a:stretch>
                      <a:fillRect/>
                    </a:stretch>
                  </pic:blipFill>
                  <pic:spPr>
                    <a:xfrm>
                      <a:off x="0" y="0"/>
                      <a:ext cx="5376039" cy="76192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before="7"/>
        <w:rPr>
          <w:rFonts w:ascii="Times New Roman"/>
          <w:sz w:val="21"/>
        </w:rPr>
      </w:pPr>
    </w:p>
    <w:p>
      <w:pPr>
        <w:pStyle w:val="BodyText"/>
        <w:ind w:left="261"/>
        <w:rPr>
          <w:rFonts w:ascii="Times New Roman"/>
          <w:sz w:val="20"/>
        </w:rPr>
      </w:pPr>
      <w:r>
        <w:rPr>
          <w:rFonts w:ascii="Times New Roman"/>
          <w:sz w:val="20"/>
        </w:rPr>
        <w:drawing>
          <wp:inline distT="0" distB="0" distL="0" distR="0">
            <wp:extent cx="5365782" cy="7468361"/>
            <wp:effectExtent l="0" t="0" r="0" b="0"/>
            <wp:docPr id="83" name="image57.jpeg" descr=""/>
            <wp:cNvGraphicFramePr>
              <a:graphicFrameLocks noChangeAspect="1"/>
            </wp:cNvGraphicFramePr>
            <a:graphic>
              <a:graphicData uri="http://schemas.openxmlformats.org/drawingml/2006/picture">
                <pic:pic>
                  <pic:nvPicPr>
                    <pic:cNvPr id="84" name="image57.jpeg"/>
                    <pic:cNvPicPr/>
                  </pic:nvPicPr>
                  <pic:blipFill>
                    <a:blip r:embed="rId93" cstate="print"/>
                    <a:stretch>
                      <a:fillRect/>
                    </a:stretch>
                  </pic:blipFill>
                  <pic:spPr>
                    <a:xfrm>
                      <a:off x="0" y="0"/>
                      <a:ext cx="5365782" cy="746836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before="7"/>
        <w:rPr>
          <w:rFonts w:ascii="Times New Roman"/>
          <w:sz w:val="21"/>
        </w:rPr>
      </w:pPr>
    </w:p>
    <w:p>
      <w:pPr>
        <w:pStyle w:val="BodyText"/>
        <w:ind w:left="261"/>
        <w:rPr>
          <w:rFonts w:ascii="Times New Roman"/>
          <w:sz w:val="20"/>
        </w:rPr>
      </w:pPr>
      <w:r>
        <w:rPr>
          <w:rFonts w:ascii="Times New Roman"/>
          <w:sz w:val="20"/>
        </w:rPr>
        <w:drawing>
          <wp:inline distT="0" distB="0" distL="0" distR="0">
            <wp:extent cx="5366181" cy="7619238"/>
            <wp:effectExtent l="0" t="0" r="0" b="0"/>
            <wp:docPr id="85" name="image58.jpeg" descr=""/>
            <wp:cNvGraphicFramePr>
              <a:graphicFrameLocks noChangeAspect="1"/>
            </wp:cNvGraphicFramePr>
            <a:graphic>
              <a:graphicData uri="http://schemas.openxmlformats.org/drawingml/2006/picture">
                <pic:pic>
                  <pic:nvPicPr>
                    <pic:cNvPr id="86" name="image58.jpeg"/>
                    <pic:cNvPicPr/>
                  </pic:nvPicPr>
                  <pic:blipFill>
                    <a:blip r:embed="rId94" cstate="print"/>
                    <a:stretch>
                      <a:fillRect/>
                    </a:stretch>
                  </pic:blipFill>
                  <pic:spPr>
                    <a:xfrm>
                      <a:off x="0" y="0"/>
                      <a:ext cx="5366181" cy="76192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spacing w:after="1"/>
        <w:rPr>
          <w:rFonts w:ascii="Times New Roman"/>
          <w:sz w:val="22"/>
        </w:rPr>
      </w:pPr>
    </w:p>
    <w:p>
      <w:pPr>
        <w:pStyle w:val="BodyText"/>
        <w:ind w:left="261"/>
        <w:rPr>
          <w:rFonts w:ascii="Times New Roman"/>
          <w:sz w:val="20"/>
        </w:rPr>
      </w:pPr>
      <w:r>
        <w:rPr>
          <w:rFonts w:ascii="Times New Roman"/>
          <w:sz w:val="20"/>
        </w:rPr>
        <w:drawing>
          <wp:inline distT="0" distB="0" distL="0" distR="0">
            <wp:extent cx="5376709" cy="7468361"/>
            <wp:effectExtent l="0" t="0" r="0" b="0"/>
            <wp:docPr id="87" name="image59.jpeg" descr=""/>
            <wp:cNvGraphicFramePr>
              <a:graphicFrameLocks noChangeAspect="1"/>
            </wp:cNvGraphicFramePr>
            <a:graphic>
              <a:graphicData uri="http://schemas.openxmlformats.org/drawingml/2006/picture">
                <pic:pic>
                  <pic:nvPicPr>
                    <pic:cNvPr id="88" name="image59.jpeg"/>
                    <pic:cNvPicPr/>
                  </pic:nvPicPr>
                  <pic:blipFill>
                    <a:blip r:embed="rId95" cstate="print"/>
                    <a:stretch>
                      <a:fillRect/>
                    </a:stretch>
                  </pic:blipFill>
                  <pic:spPr>
                    <a:xfrm>
                      <a:off x="0" y="0"/>
                      <a:ext cx="5376709" cy="746836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64" w:top="1380" w:bottom="1380" w:left="1440" w:right="14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Heading2"/>
        <w:rPr>
          <w:i/>
        </w:rPr>
      </w:pPr>
      <w:bookmarkStart w:name="_TOC_250006" w:id="34"/>
      <w:bookmarkEnd w:id="34"/>
      <w:r>
        <w:rPr>
          <w:i/>
          <w:color w:val="1F487C"/>
        </w:rPr>
        <w:t>CAPÍTULO 2</w:t>
      </w:r>
    </w:p>
    <w:p>
      <w:pPr>
        <w:pStyle w:val="ListParagraph"/>
        <w:numPr>
          <w:ilvl w:val="0"/>
          <w:numId w:val="16"/>
        </w:numPr>
        <w:tabs>
          <w:tab w:pos="481" w:val="left" w:leader="none"/>
        </w:tabs>
        <w:spacing w:line="360" w:lineRule="auto" w:before="64" w:after="0"/>
        <w:ind w:left="1393" w:right="245" w:hanging="1134"/>
        <w:jc w:val="both"/>
        <w:rPr>
          <w:sz w:val="22"/>
        </w:rPr>
      </w:pPr>
      <w:r>
        <w:rPr>
          <w:sz w:val="22"/>
        </w:rPr>
        <w:t>Liu, Z.L. Tan, S.X. Tang, T. Ran, G. Buendía-Rodríguez, C.G. Peñuelas-Rivas, M. Rivas-Guevara. Ruminal in vitro Gas Production Kinetics Combined with Metabolizable Energy, and Fiber Digestibility to Evaluate the Nutritional Contribution of Different Fractions of Safflower Seed on Ovine System. </w:t>
      </w:r>
      <w:r>
        <w:rPr>
          <w:i/>
          <w:sz w:val="22"/>
        </w:rPr>
        <w:t>Journal of Applied Animal Research </w:t>
      </w:r>
      <w:r>
        <w:rPr>
          <w:sz w:val="22"/>
        </w:rPr>
        <w:t>(Submitted)</w:t>
      </w:r>
    </w:p>
    <w:p>
      <w:pPr>
        <w:pStyle w:val="BodyText"/>
        <w:spacing w:before="10"/>
        <w:rPr>
          <w:sz w:val="32"/>
        </w:rPr>
      </w:pPr>
    </w:p>
    <w:p>
      <w:pPr>
        <w:spacing w:before="0"/>
        <w:ind w:left="259" w:right="0" w:firstLine="0"/>
        <w:jc w:val="left"/>
        <w:rPr>
          <w:b/>
          <w:sz w:val="22"/>
        </w:rPr>
      </w:pPr>
      <w:r>
        <w:rPr>
          <w:b/>
          <w:sz w:val="22"/>
        </w:rPr>
        <w:t>Submitted letter:</w:t>
      </w:r>
    </w:p>
    <w:p>
      <w:pPr>
        <w:pStyle w:val="BodyText"/>
        <w:rPr>
          <w:b/>
          <w:sz w:val="22"/>
        </w:rPr>
      </w:pPr>
    </w:p>
    <w:p>
      <w:pPr>
        <w:pStyle w:val="BodyText"/>
        <w:spacing w:before="5"/>
        <w:rPr>
          <w:b/>
          <w:sz w:val="21"/>
        </w:rPr>
      </w:pPr>
    </w:p>
    <w:p>
      <w:pPr>
        <w:pStyle w:val="BodyText"/>
        <w:spacing w:before="1"/>
        <w:ind w:left="254"/>
        <w:rPr>
          <w:rFonts w:ascii="Times New Roman"/>
        </w:rPr>
      </w:pPr>
      <w:r>
        <w:rPr>
          <w:rFonts w:ascii="Times New Roman"/>
        </w:rPr>
        <w:t>11-May-2015</w:t>
      </w:r>
    </w:p>
    <w:p>
      <w:pPr>
        <w:pStyle w:val="BodyText"/>
        <w:spacing w:before="1"/>
        <w:rPr>
          <w:rFonts w:ascii="Times New Roman"/>
          <w:sz w:val="26"/>
        </w:rPr>
      </w:pPr>
    </w:p>
    <w:p>
      <w:pPr>
        <w:pStyle w:val="BodyText"/>
        <w:ind w:left="254"/>
        <w:rPr>
          <w:rFonts w:ascii="Times New Roman"/>
        </w:rPr>
      </w:pPr>
      <w:r>
        <w:rPr>
          <w:rFonts w:ascii="Times New Roman"/>
        </w:rPr>
        <w:t>Dear Mr LIU:</w:t>
      </w:r>
    </w:p>
    <w:p>
      <w:pPr>
        <w:pStyle w:val="BodyText"/>
        <w:spacing w:before="7"/>
        <w:rPr>
          <w:rFonts w:ascii="Times New Roman"/>
          <w:sz w:val="25"/>
        </w:rPr>
      </w:pPr>
    </w:p>
    <w:p>
      <w:pPr>
        <w:pStyle w:val="BodyText"/>
        <w:ind w:left="254"/>
        <w:rPr>
          <w:rFonts w:ascii="Times New Roman"/>
        </w:rPr>
      </w:pPr>
      <w:r>
        <w:rPr>
          <w:rFonts w:ascii="Times New Roman"/>
        </w:rPr>
        <w:t>Your manuscript entitled "Ruminal in vitro Gas Production Kinetics Combined with Metabolizable Energy, and Fiber Digestibility to Evaluate the Nutritional Contribution of Different Fractions of Safflower Seed on Ovine System" has been successfully submitted online and is presently being given full consideration for publication in Journal of Applied Animal Research.</w:t>
      </w:r>
    </w:p>
    <w:p>
      <w:pPr>
        <w:pStyle w:val="BodyText"/>
        <w:spacing w:before="1"/>
        <w:rPr>
          <w:rFonts w:ascii="Times New Roman"/>
          <w:sz w:val="26"/>
        </w:rPr>
      </w:pPr>
    </w:p>
    <w:p>
      <w:pPr>
        <w:pStyle w:val="BodyText"/>
        <w:ind w:left="254"/>
        <w:rPr>
          <w:rFonts w:ascii="Times New Roman"/>
        </w:rPr>
      </w:pPr>
      <w:r>
        <w:rPr>
          <w:rFonts w:ascii="Times New Roman"/>
        </w:rPr>
        <w:t>Your manuscript ID is JAAR-2015-0196.</w:t>
      </w:r>
    </w:p>
    <w:p>
      <w:pPr>
        <w:pStyle w:val="BodyText"/>
        <w:spacing w:before="8"/>
        <w:rPr>
          <w:rFonts w:ascii="Times New Roman"/>
          <w:sz w:val="25"/>
        </w:rPr>
      </w:pPr>
    </w:p>
    <w:p>
      <w:pPr>
        <w:pStyle w:val="BodyText"/>
        <w:ind w:left="254" w:right="288"/>
        <w:rPr>
          <w:rFonts w:ascii="Times New Roman"/>
        </w:rPr>
      </w:pPr>
      <w:r>
        <w:rPr>
          <w:rFonts w:ascii="Times New Roman"/>
        </w:rPr>
        <w:t>Please mention the above manuscript ID in all future correspondence or when calling the office for questions. If there are any changes in your street address or email address, please log in to Manuscript Central at </w:t>
      </w:r>
      <w:hyperlink r:id="rId96">
        <w:r>
          <w:rPr>
            <w:rFonts w:ascii="Times New Roman"/>
            <w:color w:val="0068CF"/>
            <w:u w:val="single" w:color="0068CF"/>
          </w:rPr>
          <w:t>https://mc.manuscriptcentral.com/aar </w:t>
        </w:r>
      </w:hyperlink>
      <w:r>
        <w:rPr>
          <w:rFonts w:ascii="Times New Roman"/>
        </w:rPr>
        <w:t>and edit your user information as appropriate.</w:t>
      </w:r>
    </w:p>
    <w:p>
      <w:pPr>
        <w:pStyle w:val="BodyText"/>
        <w:spacing w:before="8"/>
        <w:rPr>
          <w:rFonts w:ascii="Times New Roman"/>
          <w:sz w:val="25"/>
        </w:rPr>
      </w:pPr>
    </w:p>
    <w:p>
      <w:pPr>
        <w:pStyle w:val="BodyText"/>
        <w:spacing w:line="242" w:lineRule="auto"/>
        <w:ind w:left="254" w:right="288"/>
        <w:rPr>
          <w:rFonts w:ascii="Times New Roman"/>
        </w:rPr>
      </w:pPr>
      <w:r>
        <w:rPr>
          <w:rFonts w:ascii="Times New Roman"/>
        </w:rPr>
        <w:t>You can also view the status of your manuscript at any time by checking your Author Centre after logging in to </w:t>
      </w:r>
      <w:hyperlink r:id="rId96">
        <w:r>
          <w:rPr>
            <w:rFonts w:ascii="Times New Roman"/>
            <w:color w:val="0068CF"/>
            <w:u w:val="single" w:color="0068CF"/>
          </w:rPr>
          <w:t>https://mc.manuscriptcentral.com/aar</w:t>
        </w:r>
      </w:hyperlink>
      <w:hyperlink r:id="rId96">
        <w:r>
          <w:rPr>
            <w:rFonts w:ascii="Times New Roman"/>
          </w:rPr>
          <w:t>.</w:t>
        </w:r>
      </w:hyperlink>
    </w:p>
    <w:p>
      <w:pPr>
        <w:pStyle w:val="BodyText"/>
        <w:spacing w:before="5"/>
        <w:rPr>
          <w:rFonts w:ascii="Times New Roman"/>
          <w:sz w:val="19"/>
        </w:rPr>
      </w:pPr>
    </w:p>
    <w:p>
      <w:pPr>
        <w:pStyle w:val="BodyText"/>
        <w:spacing w:before="69"/>
        <w:ind w:left="254"/>
        <w:rPr>
          <w:rFonts w:ascii="Times New Roman"/>
        </w:rPr>
      </w:pPr>
      <w:r>
        <w:rPr>
          <w:rFonts w:ascii="Times New Roman"/>
        </w:rPr>
        <w:t>Thank you for submitting your manuscript to Journal of Applied Animal Research.</w:t>
      </w:r>
    </w:p>
    <w:p>
      <w:pPr>
        <w:pStyle w:val="BodyText"/>
        <w:spacing w:before="1"/>
        <w:rPr>
          <w:rFonts w:ascii="Times New Roman"/>
          <w:sz w:val="26"/>
        </w:rPr>
      </w:pPr>
    </w:p>
    <w:p>
      <w:pPr>
        <w:pStyle w:val="BodyText"/>
        <w:spacing w:line="275" w:lineRule="exact"/>
        <w:ind w:left="254"/>
        <w:rPr>
          <w:rFonts w:ascii="Times New Roman"/>
        </w:rPr>
      </w:pPr>
      <w:r>
        <w:rPr>
          <w:rFonts w:ascii="Times New Roman"/>
        </w:rPr>
        <w:t>Sincerely,</w:t>
      </w:r>
    </w:p>
    <w:p>
      <w:pPr>
        <w:pStyle w:val="BodyText"/>
        <w:spacing w:line="275" w:lineRule="exact"/>
        <w:ind w:left="254"/>
        <w:rPr>
          <w:rFonts w:ascii="Times New Roman"/>
        </w:rPr>
      </w:pPr>
      <w:r>
        <w:rPr>
          <w:rFonts w:ascii="Times New Roman"/>
        </w:rPr>
        <w:t>Journal of Applied Animal Research Editorial Office</w:t>
      </w:r>
    </w:p>
    <w:p>
      <w:pPr>
        <w:spacing w:after="0" w:line="275" w:lineRule="exact"/>
        <w:rPr>
          <w:rFonts w:ascii="Times New Roman"/>
        </w:rPr>
        <w:sectPr>
          <w:pgSz w:w="12240" w:h="15840"/>
          <w:pgMar w:header="684" w:footer="1164" w:top="1380" w:bottom="1380" w:left="1440" w:right="1460"/>
        </w:sectPr>
      </w:pPr>
    </w:p>
    <w:p>
      <w:pPr>
        <w:pStyle w:val="BodyText"/>
        <w:spacing w:before="7"/>
        <w:rPr>
          <w:rFonts w:ascii="Times New Roman"/>
          <w:sz w:val="15"/>
        </w:rPr>
      </w:pPr>
    </w:p>
    <w:p>
      <w:pPr>
        <w:spacing w:line="362" w:lineRule="auto" w:before="69"/>
        <w:ind w:left="108" w:right="92" w:firstLine="0"/>
        <w:jc w:val="center"/>
        <w:rPr>
          <w:rFonts w:ascii="Times New Roman"/>
          <w:b/>
          <w:sz w:val="24"/>
        </w:rPr>
      </w:pPr>
      <w:r>
        <w:rPr>
          <w:rFonts w:ascii="Times New Roman"/>
          <w:b/>
          <w:sz w:val="24"/>
        </w:rPr>
        <w:t>Ruminal </w:t>
      </w:r>
      <w:r>
        <w:rPr>
          <w:rFonts w:ascii="Times New Roman"/>
          <w:b/>
          <w:i/>
          <w:sz w:val="24"/>
        </w:rPr>
        <w:t>in vitro </w:t>
      </w:r>
      <w:r>
        <w:rPr>
          <w:rFonts w:ascii="Times New Roman"/>
          <w:b/>
          <w:sz w:val="24"/>
        </w:rPr>
        <w:t>Gas Production Kinetics Combined with Metabolizable Energy, and Fiber Digestibility to Evaluate the Nutritional Contribution of Different Fractions of Safflower Seed on Ovine System</w:t>
      </w:r>
    </w:p>
    <w:p>
      <w:pPr>
        <w:spacing w:line="264" w:lineRule="exact" w:before="0"/>
        <w:ind w:left="485" w:right="0" w:firstLine="0"/>
        <w:jc w:val="left"/>
        <w:rPr>
          <w:rFonts w:ascii="Times New Roman" w:hAnsi="Times New Roman"/>
          <w:sz w:val="20"/>
        </w:rPr>
      </w:pPr>
      <w:r>
        <w:rPr>
          <w:rFonts w:ascii="Times New Roman" w:hAnsi="Times New Roman"/>
          <w:sz w:val="20"/>
        </w:rPr>
        <w:t>Y. Liu </w:t>
      </w:r>
      <w:r>
        <w:rPr>
          <w:rFonts w:ascii="Times New Roman" w:hAnsi="Times New Roman"/>
          <w:position w:val="7"/>
          <w:sz w:val="13"/>
        </w:rPr>
        <w:t>a,b</w:t>
      </w:r>
      <w:r>
        <w:rPr>
          <w:rFonts w:ascii="Times New Roman" w:hAnsi="Times New Roman"/>
          <w:sz w:val="20"/>
        </w:rPr>
        <w:t>, Z.L. Tan </w:t>
      </w:r>
      <w:r>
        <w:rPr>
          <w:rFonts w:ascii="Times New Roman" w:hAnsi="Times New Roman"/>
          <w:position w:val="7"/>
          <w:sz w:val="13"/>
        </w:rPr>
        <w:t>b</w:t>
      </w:r>
      <w:r>
        <w:rPr>
          <w:rFonts w:ascii="Times New Roman" w:hAnsi="Times New Roman"/>
          <w:position w:val="9"/>
          <w:sz w:val="16"/>
        </w:rPr>
        <w:t>1</w:t>
      </w:r>
      <w:r>
        <w:rPr>
          <w:rFonts w:ascii="Times New Roman" w:hAnsi="Times New Roman"/>
          <w:sz w:val="20"/>
        </w:rPr>
        <w:t>, S.X. Tang </w:t>
      </w:r>
      <w:r>
        <w:rPr>
          <w:rFonts w:ascii="Times New Roman" w:hAnsi="Times New Roman"/>
          <w:position w:val="7"/>
          <w:sz w:val="13"/>
        </w:rPr>
        <w:t>b</w:t>
      </w:r>
      <w:r>
        <w:rPr>
          <w:rFonts w:ascii="Times New Roman" w:hAnsi="Times New Roman"/>
          <w:sz w:val="20"/>
        </w:rPr>
        <w:t>, T. Ran </w:t>
      </w:r>
      <w:r>
        <w:rPr>
          <w:rFonts w:ascii="Times New Roman" w:hAnsi="Times New Roman"/>
          <w:position w:val="7"/>
          <w:sz w:val="13"/>
        </w:rPr>
        <w:t>b</w:t>
      </w:r>
      <w:r>
        <w:rPr>
          <w:rFonts w:ascii="Times New Roman" w:hAnsi="Times New Roman"/>
          <w:sz w:val="20"/>
        </w:rPr>
        <w:t>, G. Buendía-Rodríguez </w:t>
      </w:r>
      <w:r>
        <w:rPr>
          <w:rFonts w:ascii="Times New Roman" w:hAnsi="Times New Roman"/>
          <w:position w:val="7"/>
          <w:sz w:val="13"/>
        </w:rPr>
        <w:t>c</w:t>
      </w:r>
      <w:r>
        <w:rPr>
          <w:rFonts w:ascii="Times New Roman" w:hAnsi="Times New Roman"/>
          <w:sz w:val="20"/>
        </w:rPr>
        <w:t>*, C.G. Peñuelas-Rivas </w:t>
      </w:r>
      <w:r>
        <w:rPr>
          <w:rFonts w:ascii="Times New Roman" w:hAnsi="Times New Roman"/>
          <w:position w:val="7"/>
          <w:sz w:val="13"/>
        </w:rPr>
        <w:t>a</w:t>
      </w:r>
      <w:r>
        <w:rPr>
          <w:rFonts w:ascii="Times New Roman" w:hAnsi="Times New Roman"/>
          <w:sz w:val="20"/>
        </w:rPr>
        <w:t>, M. Rivas-</w:t>
      </w:r>
    </w:p>
    <w:p>
      <w:pPr>
        <w:spacing w:before="115"/>
        <w:ind w:left="22" w:right="0" w:firstLine="0"/>
        <w:jc w:val="center"/>
        <w:rPr>
          <w:rFonts w:ascii="Times New Roman"/>
          <w:sz w:val="13"/>
        </w:rPr>
      </w:pPr>
      <w:r>
        <w:rPr>
          <w:rFonts w:ascii="Times New Roman"/>
          <w:sz w:val="20"/>
        </w:rPr>
        <w:t>Guevara </w:t>
      </w:r>
      <w:r>
        <w:rPr>
          <w:rFonts w:ascii="Times New Roman"/>
          <w:position w:val="7"/>
          <w:sz w:val="13"/>
        </w:rPr>
        <w:t>d</w:t>
      </w:r>
    </w:p>
    <w:p>
      <w:pPr>
        <w:spacing w:line="357" w:lineRule="auto" w:before="111"/>
        <w:ind w:left="288" w:right="261" w:hanging="22"/>
        <w:jc w:val="center"/>
        <w:rPr>
          <w:rFonts w:ascii="Times New Roman" w:hAnsi="Times New Roman"/>
          <w:i/>
          <w:sz w:val="20"/>
        </w:rPr>
      </w:pPr>
      <w:r>
        <w:rPr>
          <w:rFonts w:ascii="Times New Roman" w:hAnsi="Times New Roman"/>
          <w:i/>
          <w:position w:val="7"/>
          <w:sz w:val="13"/>
        </w:rPr>
        <w:t>a </w:t>
      </w:r>
      <w:r>
        <w:rPr>
          <w:rFonts w:ascii="Times New Roman" w:hAnsi="Times New Roman"/>
          <w:i/>
          <w:sz w:val="20"/>
        </w:rPr>
        <w:t>Faculty of Veterinary Medicine and Animal Science, Autonomous University of the State of Mexico, Toluca, </w:t>
      </w:r>
      <w:r>
        <w:rPr>
          <w:rFonts w:ascii="Times New Roman" w:hAnsi="Times New Roman"/>
          <w:i/>
          <w:sz w:val="20"/>
        </w:rPr>
        <w:t>50090, México; </w:t>
      </w:r>
      <w:r>
        <w:rPr>
          <w:rFonts w:ascii="Times New Roman" w:hAnsi="Times New Roman"/>
          <w:i/>
          <w:position w:val="7"/>
          <w:sz w:val="13"/>
        </w:rPr>
        <w:t>b </w:t>
      </w:r>
      <w:r>
        <w:rPr>
          <w:rFonts w:ascii="Times New Roman" w:hAnsi="Times New Roman"/>
          <w:i/>
          <w:sz w:val="20"/>
        </w:rPr>
        <w:t>Key Laboratory of Subtropical Agro-ecological Engineering, Institute of Subtropical Agriculture, the Chinese Academy of Sciences, Changsha, Hunan, 410125, P. R. China; </w:t>
      </w:r>
      <w:r>
        <w:rPr>
          <w:rFonts w:ascii="Times New Roman" w:hAnsi="Times New Roman"/>
          <w:i/>
          <w:position w:val="7"/>
          <w:sz w:val="13"/>
        </w:rPr>
        <w:t>c </w:t>
      </w:r>
      <w:r>
        <w:rPr>
          <w:rFonts w:ascii="Times New Roman" w:hAnsi="Times New Roman"/>
          <w:i/>
          <w:sz w:val="20"/>
        </w:rPr>
        <w:t>National Center for Disciplinary Research on Animal Physiology and Breeding, National Institute of Forestry, Agriculture and Livestock Research, Queretaro, 76280, Mexico; </w:t>
      </w:r>
      <w:r>
        <w:rPr>
          <w:rFonts w:ascii="Times New Roman" w:hAnsi="Times New Roman"/>
          <w:i/>
          <w:position w:val="7"/>
          <w:sz w:val="13"/>
        </w:rPr>
        <w:t>d </w:t>
      </w:r>
      <w:r>
        <w:rPr>
          <w:rFonts w:ascii="Times New Roman" w:hAnsi="Times New Roman"/>
          <w:i/>
          <w:sz w:val="20"/>
        </w:rPr>
        <w:t>Ethnobiology and Biodiversity research center, Chapingo Autonomous University, Texcoco, 56230, México.</w:t>
      </w:r>
    </w:p>
    <w:p>
      <w:pPr>
        <w:spacing w:before="3"/>
        <w:ind w:left="19" w:right="0" w:firstLine="0"/>
        <w:jc w:val="center"/>
        <w:rPr>
          <w:rFonts w:ascii="Times New Roman"/>
          <w:sz w:val="20"/>
        </w:rPr>
      </w:pPr>
      <w:r>
        <w:rPr>
          <w:rFonts w:ascii="Times New Roman"/>
          <w:sz w:val="20"/>
        </w:rPr>
        <w:t>(</w:t>
      </w:r>
      <w:r>
        <w:rPr>
          <w:rFonts w:ascii="Times New Roman"/>
          <w:i/>
          <w:sz w:val="20"/>
        </w:rPr>
        <w:t>Received 11 May 2015</w:t>
      </w:r>
      <w:r>
        <w:rPr>
          <w:rFonts w:ascii="Times New Roman"/>
          <w:sz w:val="20"/>
        </w:rPr>
        <w:t>)</w:t>
      </w:r>
    </w:p>
    <w:p>
      <w:pPr>
        <w:spacing w:line="360" w:lineRule="auto" w:before="115"/>
        <w:ind w:left="600" w:right="573" w:firstLine="0"/>
        <w:jc w:val="both"/>
        <w:rPr>
          <w:rFonts w:ascii="Times New Roman"/>
          <w:sz w:val="20"/>
        </w:rPr>
      </w:pPr>
      <w:r>
        <w:rPr>
          <w:rFonts w:ascii="Times New Roman"/>
          <w:sz w:val="20"/>
        </w:rPr>
        <w:t>Safflower seeds are widely utilized </w:t>
      </w:r>
      <w:r>
        <w:rPr>
          <w:rFonts w:ascii="Times New Roman"/>
          <w:spacing w:val="-4"/>
          <w:sz w:val="20"/>
        </w:rPr>
        <w:t>for </w:t>
      </w:r>
      <w:r>
        <w:rPr>
          <w:rFonts w:ascii="Times New Roman"/>
          <w:sz w:val="20"/>
        </w:rPr>
        <w:t>extracting editable oil, its by-products are </w:t>
      </w:r>
      <w:r>
        <w:rPr>
          <w:rFonts w:ascii="Times New Roman"/>
          <w:spacing w:val="-3"/>
          <w:sz w:val="20"/>
        </w:rPr>
        <w:t>always </w:t>
      </w:r>
      <w:r>
        <w:rPr>
          <w:rFonts w:ascii="Times New Roman"/>
          <w:sz w:val="20"/>
        </w:rPr>
        <w:t>using as a fodder. This study was conducted to evaluate the nutritional contribution </w:t>
      </w:r>
      <w:r>
        <w:rPr>
          <w:rFonts w:ascii="Times New Roman"/>
          <w:spacing w:val="-3"/>
          <w:sz w:val="20"/>
        </w:rPr>
        <w:t>of </w:t>
      </w:r>
      <w:r>
        <w:rPr>
          <w:rFonts w:ascii="Times New Roman"/>
          <w:sz w:val="20"/>
        </w:rPr>
        <w:t>different safflower seed fractions </w:t>
      </w:r>
      <w:r>
        <w:rPr>
          <w:rFonts w:ascii="Times New Roman"/>
          <w:spacing w:val="-4"/>
          <w:sz w:val="20"/>
        </w:rPr>
        <w:t>for </w:t>
      </w:r>
      <w:r>
        <w:rPr>
          <w:rFonts w:ascii="Times New Roman"/>
          <w:sz w:val="20"/>
        </w:rPr>
        <w:t>ovine production by </w:t>
      </w:r>
      <w:r>
        <w:rPr>
          <w:rFonts w:ascii="Times New Roman"/>
          <w:i/>
          <w:sz w:val="20"/>
        </w:rPr>
        <w:t>in vitro </w:t>
      </w:r>
      <w:r>
        <w:rPr>
          <w:rFonts w:ascii="Times New Roman"/>
          <w:sz w:val="20"/>
        </w:rPr>
        <w:t>fermentation. First, safflower seeds were artificially separated into kernel and hull, meanwhile, two different extracting solvents (hexane and petroleum ether) were used to extract safflower whole seed </w:t>
      </w:r>
      <w:r>
        <w:rPr>
          <w:rFonts w:ascii="Times New Roman"/>
          <w:spacing w:val="3"/>
          <w:sz w:val="20"/>
        </w:rPr>
        <w:t>to </w:t>
      </w:r>
      <w:r>
        <w:rPr>
          <w:rFonts w:ascii="Times New Roman"/>
          <w:sz w:val="20"/>
        </w:rPr>
        <w:t>prepare safflower meal. Then the nutritional compositions </w:t>
      </w:r>
      <w:r>
        <w:rPr>
          <w:rFonts w:ascii="Times New Roman"/>
          <w:spacing w:val="-3"/>
          <w:sz w:val="20"/>
        </w:rPr>
        <w:t>of </w:t>
      </w:r>
      <w:r>
        <w:rPr>
          <w:rFonts w:ascii="Times New Roman"/>
          <w:sz w:val="20"/>
        </w:rPr>
        <w:t>safflower seed fractions (safflower whole seed, hull, kernel, and two types of safflower meal, extracted with hexane/ petroleum ether, SMH and SMP) were determined. After that, we conducted to evaluate these safflower seed fractions </w:t>
      </w:r>
      <w:r>
        <w:rPr>
          <w:rFonts w:ascii="Times New Roman"/>
          <w:spacing w:val="-3"/>
          <w:sz w:val="20"/>
        </w:rPr>
        <w:t>on </w:t>
      </w:r>
      <w:r>
        <w:rPr>
          <w:rFonts w:ascii="Times New Roman"/>
          <w:i/>
          <w:sz w:val="20"/>
        </w:rPr>
        <w:t>in vitro </w:t>
      </w:r>
      <w:r>
        <w:rPr>
          <w:rFonts w:ascii="Times New Roman"/>
          <w:sz w:val="20"/>
        </w:rPr>
        <w:t>fermentation characteristics, including gas production kinetics, </w:t>
      </w:r>
      <w:r>
        <w:rPr>
          <w:rFonts w:ascii="Times New Roman"/>
          <w:spacing w:val="-3"/>
          <w:sz w:val="20"/>
        </w:rPr>
        <w:t>pH, </w:t>
      </w:r>
      <w:r>
        <w:rPr>
          <w:rFonts w:ascii="Times New Roman"/>
          <w:sz w:val="20"/>
        </w:rPr>
        <w:t>and </w:t>
      </w:r>
      <w:r>
        <w:rPr>
          <w:rFonts w:ascii="Times New Roman"/>
          <w:i/>
          <w:sz w:val="20"/>
        </w:rPr>
        <w:t>in vitro </w:t>
      </w:r>
      <w:r>
        <w:rPr>
          <w:rFonts w:ascii="Times New Roman"/>
          <w:sz w:val="20"/>
        </w:rPr>
        <w:t>dry matter disappearance (</w:t>
      </w:r>
      <w:r>
        <w:rPr>
          <w:rFonts w:ascii="Times New Roman"/>
          <w:i/>
          <w:sz w:val="20"/>
        </w:rPr>
        <w:t>IVDMD</w:t>
      </w:r>
      <w:r>
        <w:rPr>
          <w:rFonts w:ascii="Times New Roman"/>
          <w:sz w:val="20"/>
        </w:rPr>
        <w:t>), NDF/ ADF digestibility, metabolizable energy (ME) and organic matter digestibility (OMD). The results </w:t>
      </w:r>
      <w:r>
        <w:rPr>
          <w:rFonts w:ascii="Times New Roman"/>
          <w:spacing w:val="-3"/>
          <w:sz w:val="20"/>
        </w:rPr>
        <w:t>showed </w:t>
      </w:r>
      <w:r>
        <w:rPr>
          <w:rFonts w:ascii="Times New Roman"/>
          <w:position w:val="2"/>
          <w:sz w:val="20"/>
        </w:rPr>
        <w:t>that safflower meal (V</w:t>
      </w:r>
      <w:r>
        <w:rPr>
          <w:rFonts w:ascii="Times New Roman"/>
          <w:sz w:val="13"/>
        </w:rPr>
        <w:t>F</w:t>
      </w:r>
      <w:r>
        <w:rPr>
          <w:rFonts w:ascii="Times New Roman"/>
          <w:position w:val="2"/>
          <w:sz w:val="20"/>
        </w:rPr>
        <w:t>, 70 ml/g) had high gas production performance compared </w:t>
      </w:r>
      <w:r>
        <w:rPr>
          <w:rFonts w:ascii="Times New Roman"/>
          <w:spacing w:val="-3"/>
          <w:position w:val="2"/>
          <w:sz w:val="20"/>
        </w:rPr>
        <w:t>with </w:t>
      </w:r>
      <w:r>
        <w:rPr>
          <w:rFonts w:ascii="Times New Roman"/>
          <w:position w:val="2"/>
          <w:sz w:val="20"/>
        </w:rPr>
        <w:t>48 ml/g in </w:t>
      </w:r>
      <w:r>
        <w:rPr>
          <w:rFonts w:ascii="Times New Roman"/>
          <w:sz w:val="20"/>
        </w:rPr>
        <w:t>kernel, 46 ml/g in </w:t>
      </w:r>
      <w:r>
        <w:rPr>
          <w:rFonts w:ascii="Times New Roman"/>
          <w:spacing w:val="-3"/>
          <w:sz w:val="20"/>
        </w:rPr>
        <w:t>safflower </w:t>
      </w:r>
      <w:r>
        <w:rPr>
          <w:rFonts w:ascii="Times New Roman"/>
          <w:sz w:val="20"/>
        </w:rPr>
        <w:t>whole seed, and </w:t>
      </w:r>
      <w:r>
        <w:rPr>
          <w:rFonts w:ascii="Times New Roman"/>
          <w:spacing w:val="-3"/>
          <w:sz w:val="20"/>
        </w:rPr>
        <w:t>36 </w:t>
      </w:r>
      <w:r>
        <w:rPr>
          <w:rFonts w:ascii="Times New Roman"/>
          <w:sz w:val="20"/>
        </w:rPr>
        <w:t>ml/g in hull part, respectively. Safflower meal also had high OMD (around 347 g/kg in two types of safflower meals), in comparison </w:t>
      </w:r>
      <w:r>
        <w:rPr>
          <w:rFonts w:ascii="Times New Roman"/>
          <w:spacing w:val="-3"/>
          <w:sz w:val="20"/>
        </w:rPr>
        <w:t>with </w:t>
      </w:r>
      <w:r>
        <w:rPr>
          <w:rFonts w:ascii="Times New Roman"/>
          <w:sz w:val="20"/>
        </w:rPr>
        <w:t>332 g/kg in kernel, 291 g/kg in whole seed and 218 g/kg in hull parts. However, </w:t>
      </w:r>
      <w:r>
        <w:rPr>
          <w:rFonts w:ascii="Times New Roman"/>
          <w:spacing w:val="-3"/>
          <w:sz w:val="20"/>
        </w:rPr>
        <w:t>safflower </w:t>
      </w:r>
      <w:r>
        <w:rPr>
          <w:rFonts w:ascii="Times New Roman"/>
          <w:sz w:val="20"/>
        </w:rPr>
        <w:t>kernel had higher </w:t>
      </w:r>
      <w:r>
        <w:rPr>
          <w:rFonts w:ascii="Times New Roman"/>
          <w:spacing w:val="-4"/>
          <w:sz w:val="20"/>
        </w:rPr>
        <w:t>ME </w:t>
      </w:r>
      <w:r>
        <w:rPr>
          <w:rFonts w:ascii="Times New Roman"/>
          <w:sz w:val="20"/>
        </w:rPr>
        <w:t>(14.5 MJ/kg) than any other parts of safflower seed </w:t>
      </w:r>
      <w:r>
        <w:rPr>
          <w:rFonts w:ascii="Times New Roman"/>
          <w:i/>
          <w:sz w:val="20"/>
        </w:rPr>
        <w:t>in vitro </w:t>
      </w:r>
      <w:r>
        <w:rPr>
          <w:rFonts w:ascii="Times New Roman"/>
          <w:sz w:val="20"/>
        </w:rPr>
        <w:t>fermentation, </w:t>
      </w:r>
      <w:r>
        <w:rPr>
          <w:rFonts w:ascii="Times New Roman"/>
          <w:i/>
          <w:sz w:val="20"/>
        </w:rPr>
        <w:t>e.g.</w:t>
      </w:r>
      <w:r>
        <w:rPr>
          <w:rFonts w:ascii="Times New Roman"/>
          <w:sz w:val="20"/>
        </w:rPr>
        <w:t>, 7.8 MJ/kg in whole seed, 5.0 MJ/kg in </w:t>
      </w:r>
      <w:r>
        <w:rPr>
          <w:rFonts w:ascii="Times New Roman"/>
          <w:spacing w:val="-3"/>
          <w:sz w:val="20"/>
        </w:rPr>
        <w:t>safflower </w:t>
      </w:r>
      <w:r>
        <w:rPr>
          <w:rFonts w:ascii="Times New Roman"/>
          <w:sz w:val="20"/>
        </w:rPr>
        <w:t>meal, and 3.2 MJ/kg in hull parts. </w:t>
      </w:r>
      <w:r>
        <w:rPr>
          <w:rFonts w:ascii="Times New Roman"/>
          <w:spacing w:val="-3"/>
          <w:sz w:val="20"/>
        </w:rPr>
        <w:t>In </w:t>
      </w:r>
      <w:r>
        <w:rPr>
          <w:rFonts w:ascii="Times New Roman"/>
          <w:sz w:val="20"/>
        </w:rPr>
        <w:t>conclusion, this work have proved that safflower meal has higher utilization efficiency than </w:t>
      </w:r>
      <w:r>
        <w:rPr>
          <w:rFonts w:ascii="Times New Roman"/>
          <w:spacing w:val="-3"/>
          <w:sz w:val="20"/>
        </w:rPr>
        <w:t>other </w:t>
      </w:r>
      <w:r>
        <w:rPr>
          <w:rFonts w:ascii="Times New Roman"/>
          <w:sz w:val="20"/>
        </w:rPr>
        <w:t>fractions </w:t>
      </w:r>
      <w:r>
        <w:rPr>
          <w:rFonts w:ascii="Times New Roman"/>
          <w:spacing w:val="-3"/>
          <w:sz w:val="20"/>
        </w:rPr>
        <w:t>of </w:t>
      </w:r>
      <w:r>
        <w:rPr>
          <w:rFonts w:ascii="Times New Roman"/>
          <w:sz w:val="20"/>
        </w:rPr>
        <w:t>safflower seed, and there  is no difference in nutritional values </w:t>
      </w:r>
      <w:r>
        <w:rPr>
          <w:rFonts w:ascii="Times New Roman"/>
          <w:spacing w:val="-3"/>
          <w:sz w:val="20"/>
        </w:rPr>
        <w:t>between </w:t>
      </w:r>
      <w:r>
        <w:rPr>
          <w:rFonts w:ascii="Times New Roman"/>
          <w:sz w:val="20"/>
        </w:rPr>
        <w:t>two extracting methods based </w:t>
      </w:r>
      <w:r>
        <w:rPr>
          <w:rFonts w:ascii="Times New Roman"/>
          <w:spacing w:val="-3"/>
          <w:sz w:val="20"/>
        </w:rPr>
        <w:t>on </w:t>
      </w:r>
      <w:r>
        <w:rPr>
          <w:rFonts w:ascii="Times New Roman"/>
          <w:sz w:val="20"/>
        </w:rPr>
        <w:t>extracting solvents </w:t>
      </w:r>
      <w:r>
        <w:rPr>
          <w:rFonts w:ascii="Times New Roman"/>
          <w:spacing w:val="-3"/>
          <w:sz w:val="20"/>
        </w:rPr>
        <w:t>of </w:t>
      </w:r>
      <w:r>
        <w:rPr>
          <w:rFonts w:ascii="Times New Roman"/>
          <w:sz w:val="20"/>
        </w:rPr>
        <w:t>hexane and petroleum</w:t>
      </w:r>
      <w:r>
        <w:rPr>
          <w:rFonts w:ascii="Times New Roman"/>
          <w:spacing w:val="-7"/>
          <w:sz w:val="20"/>
        </w:rPr>
        <w:t> </w:t>
      </w:r>
      <w:r>
        <w:rPr>
          <w:rFonts w:ascii="Times New Roman"/>
          <w:sz w:val="20"/>
        </w:rPr>
        <w:t>ether.</w:t>
      </w:r>
    </w:p>
    <w:p>
      <w:pPr>
        <w:spacing w:line="360" w:lineRule="auto" w:before="5"/>
        <w:ind w:left="600" w:right="580" w:firstLine="0"/>
        <w:jc w:val="both"/>
        <w:rPr>
          <w:rFonts w:ascii="Times New Roman"/>
          <w:sz w:val="20"/>
        </w:rPr>
      </w:pPr>
      <w:r>
        <w:rPr>
          <w:rFonts w:ascii="Times New Roman"/>
          <w:b/>
          <w:sz w:val="20"/>
        </w:rPr>
        <w:t>Keywords</w:t>
      </w:r>
      <w:r>
        <w:rPr>
          <w:rFonts w:ascii="Times New Roman"/>
          <w:sz w:val="20"/>
        </w:rPr>
        <w:t>: safflower seed fraction, </w:t>
      </w:r>
      <w:r>
        <w:rPr>
          <w:rFonts w:ascii="Times New Roman"/>
          <w:i/>
          <w:sz w:val="20"/>
        </w:rPr>
        <w:t>in vitro</w:t>
      </w:r>
      <w:r>
        <w:rPr>
          <w:rFonts w:ascii="Times New Roman"/>
          <w:sz w:val="20"/>
        </w:rPr>
        <w:t>, metabolizable Energy, NDF, ADF, </w:t>
      </w:r>
      <w:r>
        <w:rPr>
          <w:rFonts w:ascii="Times New Roman"/>
          <w:i/>
          <w:sz w:val="20"/>
        </w:rPr>
        <w:t>in vitro </w:t>
      </w:r>
      <w:r>
        <w:rPr>
          <w:rFonts w:ascii="Times New Roman"/>
          <w:sz w:val="20"/>
        </w:rPr>
        <w:t>dry matter disappearance</w:t>
      </w:r>
    </w:p>
    <w:p>
      <w:pPr>
        <w:pStyle w:val="BodyText"/>
        <w:spacing w:before="4"/>
        <w:rPr>
          <w:rFonts w:ascii="Times New Roman"/>
          <w:sz w:val="25"/>
        </w:rPr>
      </w:pPr>
      <w:r>
        <w:rPr/>
        <w:pict>
          <v:line style="position:absolute;mso-position-horizontal-relative:page;mso-position-vertical-relative:paragraph;z-index:3352;mso-wrap-distance-left:0;mso-wrap-distance-right:0" from="84.984001pt,16.779816pt" to="229.054001pt,16.779816pt" stroked="true" strokeweight=".47998pt" strokecolor="#000000">
            <w10:wrap type="topAndBottom"/>
          </v:line>
        </w:pict>
      </w:r>
    </w:p>
    <w:p>
      <w:pPr>
        <w:spacing w:line="261" w:lineRule="auto" w:before="58"/>
        <w:ind w:left="259" w:right="235" w:firstLine="0"/>
        <w:jc w:val="left"/>
        <w:rPr>
          <w:rFonts w:ascii="Times New Roman" w:hAnsi="Times New Roman"/>
          <w:i/>
          <w:sz w:val="18"/>
        </w:rPr>
      </w:pPr>
      <w:r>
        <w:rPr>
          <w:rFonts w:ascii="Times New Roman" w:hAnsi="Times New Roman"/>
          <w:position w:val="9"/>
          <w:sz w:val="16"/>
        </w:rPr>
        <w:t>1 </w:t>
      </w:r>
      <w:r>
        <w:rPr>
          <w:rFonts w:ascii="Times New Roman" w:hAnsi="Times New Roman"/>
          <w:b/>
          <w:sz w:val="18"/>
        </w:rPr>
        <w:t>Corresponding Author</w:t>
      </w:r>
      <w:r>
        <w:rPr>
          <w:rFonts w:ascii="Times New Roman" w:hAnsi="Times New Roman"/>
          <w:sz w:val="18"/>
        </w:rPr>
        <w:t>: Z.L. Tan, Tel: (86)-731-84619702, Fax: (86)-731-84612685, E-mail: </w:t>
      </w:r>
      <w:hyperlink r:id="rId97">
        <w:r>
          <w:rPr>
            <w:rFonts w:ascii="Times New Roman" w:hAnsi="Times New Roman"/>
            <w:i/>
            <w:color w:val="0000FF"/>
            <w:sz w:val="18"/>
            <w:u w:val="single" w:color="0000FF"/>
          </w:rPr>
          <w:t>zltan@isa.ac.cn</w:t>
        </w:r>
        <w:r>
          <w:rPr>
            <w:rFonts w:ascii="Times New Roman" w:hAnsi="Times New Roman"/>
            <w:sz w:val="18"/>
          </w:rPr>
          <w:t>;</w:t>
        </w:r>
      </w:hyperlink>
      <w:r>
        <w:rPr>
          <w:rFonts w:ascii="Times New Roman" w:hAnsi="Times New Roman"/>
          <w:sz w:val="18"/>
        </w:rPr>
        <w:t> G. Buendía-Rodríguez; Tel: +52 419 292 0036; Fax: +52 419 292 0033. </w:t>
      </w:r>
      <w:r>
        <w:rPr>
          <w:rFonts w:ascii="Times New Roman" w:hAnsi="Times New Roman"/>
          <w:i/>
          <w:sz w:val="18"/>
        </w:rPr>
        <w:t>E-mail: </w:t>
      </w:r>
      <w:hyperlink r:id="rId98">
        <w:r>
          <w:rPr>
            <w:rFonts w:ascii="Times New Roman" w:hAnsi="Times New Roman"/>
            <w:i/>
            <w:color w:val="0000FF"/>
            <w:sz w:val="18"/>
            <w:u w:val="single" w:color="0000FF"/>
          </w:rPr>
          <w:t>gerarticulos@hotmail.com</w:t>
        </w:r>
      </w:hyperlink>
    </w:p>
    <w:p>
      <w:pPr>
        <w:spacing w:after="0" w:line="261" w:lineRule="auto"/>
        <w:jc w:val="left"/>
        <w:rPr>
          <w:rFonts w:ascii="Times New Roman" w:hAnsi="Times New Roman"/>
          <w:sz w:val="18"/>
        </w:rPr>
        <w:sectPr>
          <w:pgSz w:w="12240" w:h="15840"/>
          <w:pgMar w:header="684" w:footer="1164" w:top="1380" w:bottom="1380" w:left="1440" w:right="1460"/>
        </w:sectPr>
      </w:pPr>
    </w:p>
    <w:p>
      <w:pPr>
        <w:pStyle w:val="BodyText"/>
        <w:spacing w:before="7"/>
        <w:rPr>
          <w:rFonts w:ascii="Times New Roman"/>
          <w:i/>
          <w:sz w:val="15"/>
        </w:rPr>
      </w:pPr>
    </w:p>
    <w:p>
      <w:pPr>
        <w:pStyle w:val="ListParagraph"/>
        <w:numPr>
          <w:ilvl w:val="1"/>
          <w:numId w:val="16"/>
        </w:numPr>
        <w:tabs>
          <w:tab w:pos="504" w:val="left" w:leader="none"/>
        </w:tabs>
        <w:spacing w:line="240" w:lineRule="auto" w:before="69" w:after="0"/>
        <w:ind w:left="504" w:right="0" w:hanging="245"/>
        <w:jc w:val="both"/>
        <w:rPr>
          <w:rFonts w:ascii="Times New Roman"/>
          <w:b/>
          <w:sz w:val="24"/>
        </w:rPr>
      </w:pPr>
      <w:r>
        <w:rPr>
          <w:rFonts w:ascii="Times New Roman"/>
          <w:b/>
          <w:sz w:val="24"/>
        </w:rPr>
        <w:t>Introduction</w:t>
      </w:r>
    </w:p>
    <w:p>
      <w:pPr>
        <w:pStyle w:val="BodyText"/>
        <w:spacing w:line="360" w:lineRule="auto" w:before="132"/>
        <w:ind w:left="259" w:right="234"/>
        <w:jc w:val="both"/>
        <w:rPr>
          <w:rFonts w:ascii="Times New Roman" w:hAnsi="Times New Roman"/>
        </w:rPr>
      </w:pPr>
      <w:r>
        <w:rPr>
          <w:rFonts w:ascii="Times New Roman" w:hAnsi="Times New Roman"/>
        </w:rPr>
        <w:t>Safflower (</w:t>
      </w:r>
      <w:r>
        <w:rPr>
          <w:rFonts w:ascii="Times New Roman" w:hAnsi="Times New Roman"/>
          <w:i/>
        </w:rPr>
        <w:t>Carthamus tinctorius L.</w:t>
      </w:r>
      <w:r>
        <w:rPr>
          <w:rFonts w:ascii="Times New Roman" w:hAnsi="Times New Roman"/>
        </w:rPr>
        <w:t>), an annual herb of Compositae, </w:t>
      </w:r>
      <w:r>
        <w:rPr>
          <w:rFonts w:ascii="Times New Roman" w:hAnsi="Times New Roman"/>
          <w:spacing w:val="-3"/>
        </w:rPr>
        <w:t>is </w:t>
      </w:r>
      <w:r>
        <w:rPr>
          <w:rFonts w:ascii="Times New Roman" w:hAnsi="Times New Roman"/>
        </w:rPr>
        <w:t>usually utilized </w:t>
      </w:r>
      <w:r>
        <w:rPr>
          <w:rFonts w:ascii="Times New Roman" w:hAnsi="Times New Roman"/>
          <w:spacing w:val="2"/>
        </w:rPr>
        <w:t>to </w:t>
      </w:r>
      <w:r>
        <w:rPr>
          <w:rFonts w:ascii="Times New Roman" w:hAnsi="Times New Roman"/>
        </w:rPr>
        <w:t>provide editable oil because of high oil contents </w:t>
      </w:r>
      <w:r>
        <w:rPr>
          <w:rFonts w:ascii="Times New Roman" w:hAnsi="Times New Roman"/>
          <w:spacing w:val="-3"/>
        </w:rPr>
        <w:t>in </w:t>
      </w:r>
      <w:r>
        <w:rPr>
          <w:rFonts w:ascii="Times New Roman" w:hAnsi="Times New Roman"/>
        </w:rPr>
        <w:t>its seed, and also </w:t>
      </w:r>
      <w:r>
        <w:rPr>
          <w:rFonts w:ascii="Times New Roman" w:hAnsi="Times New Roman"/>
          <w:spacing w:val="-3"/>
        </w:rPr>
        <w:t>is </w:t>
      </w:r>
      <w:r>
        <w:rPr>
          <w:rFonts w:ascii="Times New Roman" w:hAnsi="Times New Roman"/>
        </w:rPr>
        <w:t>an important medicine resource for curing rheumatism, emergency analgesic, and anti-inflammatory bleeding because </w:t>
      </w:r>
      <w:r>
        <w:rPr>
          <w:rFonts w:ascii="Times New Roman" w:hAnsi="Times New Roman"/>
          <w:spacing w:val="4"/>
        </w:rPr>
        <w:t>of </w:t>
      </w:r>
      <w:r>
        <w:rPr>
          <w:rFonts w:ascii="Times New Roman" w:hAnsi="Times New Roman"/>
        </w:rPr>
        <w:t>essential oils from its flower. Safflower seed are mainly produced in USA, Mexico and India (FAO 2011), while Japan, Canada and even Mexico are the largest market requirements for safflower oil, and this tendency </w:t>
      </w:r>
      <w:r>
        <w:rPr>
          <w:rFonts w:ascii="Times New Roman" w:hAnsi="Times New Roman"/>
          <w:spacing w:val="-3"/>
        </w:rPr>
        <w:t>is </w:t>
      </w:r>
      <w:r>
        <w:rPr>
          <w:rFonts w:ascii="Times New Roman" w:hAnsi="Times New Roman"/>
        </w:rPr>
        <w:t>growing year by year, according to the reports of National Agriculture Statistical Service (NASS, 2012). Safflower seeds contain around 33-60% hull and 40-67% kernel with undesirable palatability (Baümler et  </w:t>
      </w:r>
      <w:r>
        <w:rPr>
          <w:rFonts w:ascii="Times New Roman" w:hAnsi="Times New Roman"/>
          <w:spacing w:val="-3"/>
        </w:rPr>
        <w:t>al. </w:t>
      </w:r>
      <w:r>
        <w:rPr>
          <w:rFonts w:ascii="Times New Roman" w:hAnsi="Times New Roman"/>
        </w:rPr>
        <w:t>2006), and are widely employed </w:t>
      </w:r>
      <w:r>
        <w:rPr>
          <w:rFonts w:ascii="Times New Roman" w:hAnsi="Times New Roman"/>
          <w:spacing w:val="2"/>
        </w:rPr>
        <w:t>to </w:t>
      </w:r>
      <w:r>
        <w:rPr>
          <w:rFonts w:ascii="Times New Roman" w:hAnsi="Times New Roman"/>
        </w:rPr>
        <w:t>diets of pet bird, dairy cows and </w:t>
      </w:r>
      <w:r>
        <w:rPr>
          <w:rFonts w:ascii="Times New Roman" w:hAnsi="Times New Roman"/>
          <w:spacing w:val="2"/>
        </w:rPr>
        <w:t>rams </w:t>
      </w:r>
      <w:r>
        <w:rPr>
          <w:rFonts w:ascii="Times New Roman" w:hAnsi="Times New Roman"/>
        </w:rPr>
        <w:t>(Smith 1996, Sudhamayee et </w:t>
      </w:r>
      <w:r>
        <w:rPr>
          <w:rFonts w:ascii="Times New Roman" w:hAnsi="Times New Roman"/>
          <w:spacing w:val="-3"/>
        </w:rPr>
        <w:t>al. </w:t>
      </w:r>
      <w:r>
        <w:rPr>
          <w:rFonts w:ascii="Times New Roman" w:hAnsi="Times New Roman"/>
        </w:rPr>
        <w:t>2004). However, for </w:t>
      </w:r>
      <w:r>
        <w:rPr>
          <w:rFonts w:ascii="Times New Roman" w:hAnsi="Times New Roman"/>
          <w:spacing w:val="-3"/>
        </w:rPr>
        <w:t>some </w:t>
      </w:r>
      <w:r>
        <w:rPr>
          <w:rFonts w:ascii="Times New Roman" w:hAnsi="Times New Roman"/>
        </w:rPr>
        <w:t>unknown factors, high level supplementation of safflower seeds </w:t>
      </w:r>
      <w:r>
        <w:rPr>
          <w:rFonts w:ascii="Times New Roman" w:hAnsi="Times New Roman"/>
          <w:spacing w:val="-3"/>
        </w:rPr>
        <w:t>may </w:t>
      </w:r>
      <w:r>
        <w:rPr>
          <w:rFonts w:ascii="Times New Roman" w:hAnsi="Times New Roman"/>
        </w:rPr>
        <w:t>decrease animal performance. Its protein degradability with highly degradable protein (Walli 2005) varies between 60% (Chandrasekharaiah et </w:t>
      </w:r>
      <w:r>
        <w:rPr>
          <w:rFonts w:ascii="Times New Roman" w:hAnsi="Times New Roman"/>
          <w:spacing w:val="-3"/>
        </w:rPr>
        <w:t>al. </w:t>
      </w:r>
      <w:r>
        <w:rPr>
          <w:rFonts w:ascii="Times New Roman" w:hAnsi="Times New Roman"/>
        </w:rPr>
        <w:t>2001), and 70% (Dixon et </w:t>
      </w:r>
      <w:r>
        <w:rPr>
          <w:rFonts w:ascii="Times New Roman" w:hAnsi="Times New Roman"/>
          <w:spacing w:val="-3"/>
        </w:rPr>
        <w:t>al. </w:t>
      </w:r>
      <w:r>
        <w:rPr>
          <w:rFonts w:ascii="Times New Roman" w:hAnsi="Times New Roman"/>
        </w:rPr>
        <w:t>2003) when they are mixed with rapeseed, soybean or linseed meal according </w:t>
      </w:r>
      <w:r>
        <w:rPr>
          <w:rFonts w:ascii="Times New Roman" w:hAnsi="Times New Roman"/>
          <w:spacing w:val="2"/>
        </w:rPr>
        <w:t>to </w:t>
      </w:r>
      <w:r>
        <w:rPr>
          <w:rFonts w:ascii="Times New Roman" w:hAnsi="Times New Roman"/>
        </w:rPr>
        <w:t>different ratios. Other researches have reported that high hull content hampers the utilization efficiency </w:t>
      </w:r>
      <w:r>
        <w:rPr>
          <w:rFonts w:ascii="Times New Roman" w:hAnsi="Times New Roman"/>
          <w:spacing w:val="4"/>
        </w:rPr>
        <w:t>of </w:t>
      </w:r>
      <w:r>
        <w:rPr>
          <w:rFonts w:ascii="Times New Roman" w:hAnsi="Times New Roman"/>
        </w:rPr>
        <w:t>safflower meal or whole seed </w:t>
      </w:r>
      <w:r>
        <w:rPr>
          <w:rFonts w:ascii="Times New Roman" w:hAnsi="Times New Roman"/>
          <w:spacing w:val="-3"/>
        </w:rPr>
        <w:t>in </w:t>
      </w:r>
      <w:r>
        <w:rPr>
          <w:rFonts w:ascii="Times New Roman" w:hAnsi="Times New Roman"/>
        </w:rPr>
        <w:t>ruminants (Chandrasekharaiah et </w:t>
      </w:r>
      <w:r>
        <w:rPr>
          <w:rFonts w:ascii="Times New Roman" w:hAnsi="Times New Roman"/>
          <w:spacing w:val="-4"/>
        </w:rPr>
        <w:t>al.</w:t>
      </w:r>
      <w:r>
        <w:rPr>
          <w:rFonts w:ascii="Times New Roman" w:hAnsi="Times New Roman"/>
          <w:spacing w:val="13"/>
        </w:rPr>
        <w:t> </w:t>
      </w:r>
      <w:r>
        <w:rPr>
          <w:rFonts w:ascii="Times New Roman" w:hAnsi="Times New Roman"/>
        </w:rPr>
        <w:t>2002).</w:t>
      </w:r>
    </w:p>
    <w:p>
      <w:pPr>
        <w:pStyle w:val="BodyText"/>
        <w:spacing w:line="360" w:lineRule="auto" w:before="4"/>
        <w:ind w:left="259" w:right="238" w:firstLine="341"/>
        <w:jc w:val="both"/>
        <w:rPr>
          <w:rFonts w:ascii="Times New Roman"/>
        </w:rPr>
      </w:pPr>
      <w:r>
        <w:rPr>
          <w:rFonts w:ascii="Times New Roman"/>
        </w:rPr>
        <w:t>Whole safflower seed can </w:t>
      </w:r>
      <w:r>
        <w:rPr>
          <w:rFonts w:ascii="Times New Roman"/>
          <w:spacing w:val="-3"/>
        </w:rPr>
        <w:t>be </w:t>
      </w:r>
      <w:r>
        <w:rPr>
          <w:rFonts w:ascii="Times New Roman"/>
        </w:rPr>
        <w:t>fed </w:t>
      </w:r>
      <w:r>
        <w:rPr>
          <w:rFonts w:ascii="Times New Roman"/>
          <w:spacing w:val="2"/>
        </w:rPr>
        <w:t>to </w:t>
      </w:r>
      <w:r>
        <w:rPr>
          <w:rFonts w:ascii="Times New Roman"/>
        </w:rPr>
        <w:t>beef cattle without processing, however, high level of safflower seeds </w:t>
      </w:r>
      <w:r>
        <w:rPr>
          <w:rFonts w:ascii="Times New Roman"/>
          <w:spacing w:val="-3"/>
        </w:rPr>
        <w:t>in </w:t>
      </w:r>
      <w:r>
        <w:rPr>
          <w:rFonts w:ascii="Times New Roman"/>
        </w:rPr>
        <w:t>the diet could result </w:t>
      </w:r>
      <w:r>
        <w:rPr>
          <w:rFonts w:ascii="Times New Roman"/>
          <w:spacing w:val="-3"/>
        </w:rPr>
        <w:t>in </w:t>
      </w:r>
      <w:r>
        <w:rPr>
          <w:rFonts w:ascii="Times New Roman"/>
        </w:rPr>
        <w:t>low animal performance due </w:t>
      </w:r>
      <w:r>
        <w:rPr>
          <w:rFonts w:ascii="Times New Roman"/>
          <w:spacing w:val="2"/>
        </w:rPr>
        <w:t>to </w:t>
      </w:r>
      <w:r>
        <w:rPr>
          <w:rFonts w:ascii="Times New Roman"/>
        </w:rPr>
        <w:t>lignification of fiber and high level lipid content. In another way, safflower kernel cannot </w:t>
      </w:r>
      <w:r>
        <w:rPr>
          <w:rFonts w:ascii="Times New Roman"/>
          <w:spacing w:val="-3"/>
        </w:rPr>
        <w:t>be </w:t>
      </w:r>
      <w:r>
        <w:rPr>
          <w:rFonts w:ascii="Times New Roman"/>
        </w:rPr>
        <w:t>fed </w:t>
      </w:r>
      <w:r>
        <w:rPr>
          <w:rFonts w:ascii="Times New Roman"/>
          <w:spacing w:val="2"/>
        </w:rPr>
        <w:t>to </w:t>
      </w:r>
      <w:r>
        <w:rPr>
          <w:rFonts w:ascii="Times New Roman"/>
        </w:rPr>
        <w:t>animals as a protein or high energy fodder as </w:t>
      </w:r>
      <w:r>
        <w:rPr>
          <w:rFonts w:ascii="Times New Roman"/>
          <w:spacing w:val="2"/>
        </w:rPr>
        <w:t>to </w:t>
      </w:r>
      <w:r>
        <w:rPr>
          <w:rFonts w:ascii="Times New Roman"/>
        </w:rPr>
        <w:t>the high cost for separating small kernel from hard hull. The incorporation of safflower hulls </w:t>
      </w:r>
      <w:r>
        <w:rPr>
          <w:rFonts w:ascii="Times New Roman"/>
          <w:spacing w:val="-3"/>
        </w:rPr>
        <w:t>in </w:t>
      </w:r>
      <w:r>
        <w:rPr>
          <w:rFonts w:ascii="Times New Roman"/>
        </w:rPr>
        <w:t>cattle rations lead to a reduction of feed efficiency because </w:t>
      </w:r>
      <w:r>
        <w:rPr>
          <w:rFonts w:ascii="Times New Roman"/>
          <w:spacing w:val="4"/>
        </w:rPr>
        <w:t>of </w:t>
      </w:r>
      <w:r>
        <w:rPr>
          <w:rFonts w:ascii="Times New Roman"/>
        </w:rPr>
        <w:t>their low digestibility, but growth performance </w:t>
      </w:r>
      <w:r>
        <w:rPr>
          <w:rFonts w:ascii="Times New Roman"/>
          <w:spacing w:val="-3"/>
        </w:rPr>
        <w:t>is </w:t>
      </w:r>
      <w:r>
        <w:rPr>
          <w:rFonts w:ascii="Times New Roman"/>
        </w:rPr>
        <w:t>not impaired when adequate energy and protein are supplied by other sources. Safflower hulls are used to provide bulk </w:t>
      </w:r>
      <w:r>
        <w:rPr>
          <w:rFonts w:ascii="Times New Roman"/>
          <w:spacing w:val="-3"/>
        </w:rPr>
        <w:t>in </w:t>
      </w:r>
      <w:r>
        <w:rPr>
          <w:rFonts w:ascii="Times New Roman"/>
        </w:rPr>
        <w:t>high grain rations for beef cattle (Kohler et </w:t>
      </w:r>
      <w:r>
        <w:rPr>
          <w:rFonts w:ascii="Times New Roman"/>
          <w:spacing w:val="-3"/>
        </w:rPr>
        <w:t>al. </w:t>
      </w:r>
      <w:r>
        <w:rPr>
          <w:rFonts w:ascii="Times New Roman"/>
        </w:rPr>
        <w:t>1966). Hulls contain about  60 % crude fiber and 21 % </w:t>
      </w:r>
      <w:r>
        <w:rPr>
          <w:rFonts w:ascii="Times New Roman"/>
          <w:spacing w:val="-3"/>
        </w:rPr>
        <w:t>lignin, </w:t>
      </w:r>
      <w:r>
        <w:rPr>
          <w:rFonts w:ascii="Times New Roman"/>
        </w:rPr>
        <w:t>and about 15% of the non-fiber, non-ash, non-protein  part of the defatted safflower kernel </w:t>
      </w:r>
      <w:r>
        <w:rPr>
          <w:rFonts w:ascii="Times New Roman"/>
          <w:spacing w:val="-3"/>
        </w:rPr>
        <w:t>is </w:t>
      </w:r>
      <w:r>
        <w:rPr>
          <w:rFonts w:ascii="Times New Roman"/>
          <w:spacing w:val="4"/>
        </w:rPr>
        <w:t>of </w:t>
      </w:r>
      <w:r>
        <w:rPr>
          <w:rFonts w:ascii="Times New Roman"/>
        </w:rPr>
        <w:t>unknown composition (Guggolz et </w:t>
      </w:r>
      <w:r>
        <w:rPr>
          <w:rFonts w:ascii="Times New Roman"/>
          <w:spacing w:val="-4"/>
        </w:rPr>
        <w:t>al.</w:t>
      </w:r>
      <w:r>
        <w:rPr>
          <w:rFonts w:ascii="Times New Roman"/>
          <w:spacing w:val="-14"/>
        </w:rPr>
        <w:t> </w:t>
      </w:r>
      <w:r>
        <w:rPr>
          <w:rFonts w:ascii="Times New Roman"/>
        </w:rPr>
        <w:t>1968).</w:t>
      </w:r>
    </w:p>
    <w:p>
      <w:pPr>
        <w:pStyle w:val="BodyText"/>
        <w:spacing w:line="360" w:lineRule="auto" w:before="4"/>
        <w:ind w:left="259" w:right="236" w:firstLine="341"/>
        <w:jc w:val="both"/>
        <w:rPr>
          <w:rFonts w:ascii="Times New Roman"/>
        </w:rPr>
      </w:pPr>
      <w:r>
        <w:rPr>
          <w:rFonts w:ascii="Times New Roman"/>
        </w:rPr>
        <w:t>Safflower meal is a little bitter and less palatable being relative to other common protein supplementary for beef cattle but no impact on dairy cows and rams (Smith 1996, Sudhamayee et al. 2004). Live weight and wool growth performance were increased by supplementation of safflower meal to ram rations based on low quality grass hay or   cereal</w:t>
      </w:r>
    </w:p>
    <w:p>
      <w:pPr>
        <w:spacing w:after="0" w:line="360" w:lineRule="auto"/>
        <w:jc w:val="both"/>
        <w:rPr>
          <w:rFonts w:ascii="Times New Roman"/>
        </w:rPr>
        <w:sectPr>
          <w:pgSz w:w="12240" w:h="15840"/>
          <w:pgMar w:header="684" w:footer="1164" w:top="1380" w:bottom="1380" w:left="1440" w:right="1460"/>
        </w:sectPr>
      </w:pPr>
    </w:p>
    <w:p>
      <w:pPr>
        <w:pStyle w:val="BodyText"/>
        <w:spacing w:before="2"/>
        <w:rPr>
          <w:rFonts w:ascii="Times New Roman"/>
          <w:sz w:val="15"/>
        </w:rPr>
      </w:pPr>
    </w:p>
    <w:p>
      <w:pPr>
        <w:pStyle w:val="BodyText"/>
        <w:spacing w:line="360" w:lineRule="auto" w:before="69"/>
        <w:ind w:left="259" w:right="238"/>
        <w:jc w:val="both"/>
        <w:rPr>
          <w:rFonts w:ascii="Times New Roman"/>
        </w:rPr>
      </w:pPr>
      <w:r>
        <w:rPr>
          <w:rFonts w:ascii="Times New Roman"/>
        </w:rPr>
        <w:t>straw compared with barley/urea supplements (Dixon et al. 2003). Intake, digestibility, feed efficiency and body gain performances were improved by adding 350 g/day of concentrate mix with 25% safflower meal to the lambs (18 kg body weight) diet based on hay-fed (Dessie et al. 2010). Other reports shown that safflower meal has a low organic matter digestibility (OMD) in ruminants by </w:t>
      </w:r>
      <w:r>
        <w:rPr>
          <w:rFonts w:ascii="Times New Roman"/>
          <w:i/>
        </w:rPr>
        <w:t>in vivo </w:t>
      </w:r>
      <w:r>
        <w:rPr>
          <w:rFonts w:ascii="Times New Roman"/>
        </w:rPr>
        <w:t>(around 45%) in a ratio of 0.60 or 0.70 with barley or linseed meal, respectively (Dixon et al. 2003), compared with 68% OMD of decorticated safflower meal (Goss &amp; Otagaki 1954).</w:t>
      </w:r>
    </w:p>
    <w:p>
      <w:pPr>
        <w:pStyle w:val="BodyText"/>
        <w:spacing w:line="360" w:lineRule="auto" w:before="4"/>
        <w:ind w:left="259" w:right="233" w:firstLine="341"/>
        <w:jc w:val="both"/>
        <w:rPr>
          <w:rFonts w:ascii="Times New Roman" w:hAnsi="Times New Roman"/>
        </w:rPr>
      </w:pPr>
      <w:r>
        <w:rPr>
          <w:rFonts w:ascii="Times New Roman" w:hAnsi="Times New Roman"/>
          <w:i/>
        </w:rPr>
        <w:t>In vitro </w:t>
      </w:r>
      <w:r>
        <w:rPr>
          <w:rFonts w:ascii="Times New Roman" w:hAnsi="Times New Roman"/>
        </w:rPr>
        <w:t>fermentation technique has widely been considered to be suitable for mimicking rumen microbial fermentation by reducing experimental costs and improving experimental efficiency (Getachew et al. 2005). Gas production at early stage is mainly caused by fermentation of water-soluble components in fodders, such as soluble carbohydrates, pectin and protein components (Cone et al. 1997). Among, the fractional rate of degradation (FRD), defined as the rate of degradation, divided by the weight of degradable substrate, and changed with the alteration of hydration of particle, microbial attachment and numbers (France et al. 1993, France et al. 2000). A higher FRD may indicate faster </w:t>
      </w:r>
      <w:r>
        <w:rPr>
          <w:rFonts w:ascii="Times New Roman" w:hAnsi="Times New Roman"/>
          <w:i/>
        </w:rPr>
        <w:t>in vitro </w:t>
      </w:r>
      <w:r>
        <w:rPr>
          <w:rFonts w:ascii="Times New Roman" w:hAnsi="Times New Roman"/>
        </w:rPr>
        <w:t>fermentation, which means a greater gas production in a certain fermentation time (Wang et al. 2013). On the other hand, the dynamic kinetics of gas production, as well as different types of fiber digestibility (Menke &amp; Steingass 1988) have been successfully applied to animal digestion research to assess the nutritional values of fodder underneath corresponding rumen microbial fermentation conditions, providing additional virtual information over </w:t>
      </w:r>
      <w:r>
        <w:rPr>
          <w:rFonts w:ascii="Times New Roman" w:hAnsi="Times New Roman"/>
          <w:i/>
        </w:rPr>
        <w:t>in vivo </w:t>
      </w:r>
      <w:r>
        <w:rPr>
          <w:rFonts w:ascii="Times New Roman" w:hAnsi="Times New Roman"/>
        </w:rPr>
        <w:t>or </w:t>
      </w:r>
      <w:r>
        <w:rPr>
          <w:rFonts w:ascii="Times New Roman" w:hAnsi="Times New Roman"/>
          <w:i/>
        </w:rPr>
        <w:t>in situ </w:t>
      </w:r>
      <w:r>
        <w:rPr>
          <w:rFonts w:ascii="Times New Roman" w:hAnsi="Times New Roman"/>
        </w:rPr>
        <w:t>methods (Gosselink et al. 2004, Wulf &amp; Südekum 2005). The variance of </w:t>
      </w:r>
      <w:r>
        <w:rPr>
          <w:rFonts w:ascii="Times New Roman" w:hAnsi="Times New Roman"/>
          <w:i/>
        </w:rPr>
        <w:t>in vitro </w:t>
      </w:r>
      <w:r>
        <w:rPr>
          <w:rFonts w:ascii="Times New Roman" w:hAnsi="Times New Roman"/>
        </w:rPr>
        <w:t>gas production kinetics, or fiber digestibility are related to the nature or processing of oleaginous seed (extruded, pressed meal or whole unprocessed), and complicated interaction with ingredients of the basal diet (Lerch et al. 2012).</w:t>
      </w:r>
    </w:p>
    <w:p>
      <w:pPr>
        <w:pStyle w:val="BodyText"/>
        <w:spacing w:line="360" w:lineRule="auto" w:before="4"/>
        <w:ind w:left="259" w:right="242" w:firstLine="341"/>
        <w:jc w:val="both"/>
        <w:rPr>
          <w:rFonts w:ascii="Times New Roman" w:hAnsi="Times New Roman"/>
        </w:rPr>
      </w:pPr>
      <w:r>
        <w:rPr>
          <w:rFonts w:ascii="Times New Roman" w:hAnsi="Times New Roman"/>
        </w:rPr>
        <w:t>In a word, it’s a pity there is not yet a systematic work to study safflower seeds as a potential supplements for ovine rations combined with </w:t>
      </w:r>
      <w:r>
        <w:rPr>
          <w:rFonts w:ascii="Times New Roman" w:hAnsi="Times New Roman"/>
          <w:i/>
        </w:rPr>
        <w:t>in vitro </w:t>
      </w:r>
      <w:r>
        <w:rPr>
          <w:rFonts w:ascii="Times New Roman" w:hAnsi="Times New Roman"/>
        </w:rPr>
        <w:t>fermentation technique. To make full use of safflower seeds, and to discover nutritional potential as ruminants’ feedstuffs, this work was thereby to be conducted to evaluate the characteristics of </w:t>
      </w:r>
      <w:r>
        <w:rPr>
          <w:rFonts w:ascii="Times New Roman" w:hAnsi="Times New Roman"/>
          <w:i/>
        </w:rPr>
        <w:t>in vitro </w:t>
      </w:r>
      <w:r>
        <w:rPr>
          <w:rFonts w:ascii="Times New Roman" w:hAnsi="Times New Roman"/>
        </w:rPr>
        <w:t>ruminal fermentation of different parts of safflower seeds.</w:t>
      </w:r>
    </w:p>
    <w:p>
      <w:pPr>
        <w:pStyle w:val="BodyText"/>
        <w:spacing w:before="11"/>
        <w:rPr>
          <w:rFonts w:ascii="Times New Roman"/>
        </w:rPr>
      </w:pPr>
    </w:p>
    <w:p>
      <w:pPr>
        <w:pStyle w:val="ListParagraph"/>
        <w:numPr>
          <w:ilvl w:val="1"/>
          <w:numId w:val="16"/>
        </w:numPr>
        <w:tabs>
          <w:tab w:pos="500" w:val="left" w:leader="none"/>
        </w:tabs>
        <w:spacing w:line="240" w:lineRule="auto" w:before="0" w:after="0"/>
        <w:ind w:left="499" w:right="0" w:hanging="240"/>
        <w:jc w:val="both"/>
        <w:rPr>
          <w:rFonts w:ascii="Times New Roman"/>
          <w:b/>
          <w:sz w:val="24"/>
        </w:rPr>
      </w:pPr>
      <w:r>
        <w:rPr>
          <w:rFonts w:ascii="Times New Roman"/>
          <w:b/>
          <w:sz w:val="24"/>
        </w:rPr>
        <w:t>Materials and</w:t>
      </w:r>
      <w:r>
        <w:rPr>
          <w:rFonts w:ascii="Times New Roman"/>
          <w:b/>
          <w:spacing w:val="-10"/>
          <w:sz w:val="24"/>
        </w:rPr>
        <w:t> </w:t>
      </w:r>
      <w:r>
        <w:rPr>
          <w:rFonts w:ascii="Times New Roman"/>
          <w:b/>
          <w:sz w:val="24"/>
        </w:rPr>
        <w:t>methods</w:t>
      </w:r>
    </w:p>
    <w:p>
      <w:pPr>
        <w:spacing w:after="0" w:line="240" w:lineRule="auto"/>
        <w:jc w:val="both"/>
        <w:rPr>
          <w:rFonts w:ascii="Times New Roman"/>
          <w:sz w:val="24"/>
        </w:rPr>
        <w:sectPr>
          <w:pgSz w:w="12240" w:h="15840"/>
          <w:pgMar w:header="684" w:footer="1164" w:top="1380" w:bottom="1380" w:left="1440" w:right="1460"/>
        </w:sectPr>
      </w:pPr>
    </w:p>
    <w:p>
      <w:pPr>
        <w:pStyle w:val="BodyText"/>
        <w:spacing w:before="7"/>
        <w:rPr>
          <w:rFonts w:ascii="Times New Roman"/>
          <w:b/>
          <w:sz w:val="15"/>
        </w:rPr>
      </w:pPr>
    </w:p>
    <w:p>
      <w:pPr>
        <w:pStyle w:val="Heading4"/>
        <w:numPr>
          <w:ilvl w:val="2"/>
          <w:numId w:val="16"/>
        </w:numPr>
        <w:tabs>
          <w:tab w:pos="682" w:val="left" w:leader="none"/>
        </w:tabs>
        <w:spacing w:line="240" w:lineRule="auto" w:before="69" w:after="0"/>
        <w:ind w:left="681" w:right="0" w:hanging="422"/>
        <w:jc w:val="both"/>
        <w:rPr>
          <w:rFonts w:ascii="Times New Roman"/>
          <w:i/>
        </w:rPr>
      </w:pPr>
      <w:r>
        <w:rPr>
          <w:rFonts w:ascii="Times New Roman"/>
          <w:i/>
        </w:rPr>
        <w:t>Experimental</w:t>
      </w:r>
      <w:r>
        <w:rPr>
          <w:rFonts w:ascii="Times New Roman"/>
          <w:i/>
          <w:spacing w:val="-5"/>
        </w:rPr>
        <w:t> </w:t>
      </w:r>
      <w:r>
        <w:rPr>
          <w:rFonts w:ascii="Times New Roman"/>
          <w:i/>
        </w:rPr>
        <w:t>design</w:t>
      </w:r>
    </w:p>
    <w:p>
      <w:pPr>
        <w:pStyle w:val="BodyText"/>
        <w:spacing w:line="360" w:lineRule="auto" w:before="132"/>
        <w:ind w:left="259" w:right="238"/>
        <w:jc w:val="both"/>
        <w:rPr>
          <w:rFonts w:ascii="Times New Roman"/>
        </w:rPr>
      </w:pPr>
      <w:r>
        <w:rPr>
          <w:rFonts w:ascii="Times New Roman"/>
        </w:rPr>
        <w:t>This experiment was conducted in two parts: First, to separate whole seed into hull and kernel parts, and prepare safflower meal (extracted with hexane, SMH; extracted with petroleum ether, SMP), after that to determine the nutritional composition of each part of safflower seed obtained. Second, to do </w:t>
      </w:r>
      <w:r>
        <w:rPr>
          <w:rFonts w:ascii="Times New Roman"/>
          <w:i/>
        </w:rPr>
        <w:t>in vitro </w:t>
      </w:r>
      <w:r>
        <w:rPr>
          <w:rFonts w:ascii="Times New Roman"/>
        </w:rPr>
        <w:t>fermentation experiment, each part of safflower seed was individually fermented to obtain the data of gas production, apparent neutral/ acid detergent fiber (NDF/ ADF) digestibility and dry matter digestibility in triplicate each, after that using equation to calculate metabolizable energy (ME), and organic matter digestibility (OMD).</w:t>
      </w:r>
    </w:p>
    <w:p>
      <w:pPr>
        <w:pStyle w:val="Heading4"/>
        <w:numPr>
          <w:ilvl w:val="2"/>
          <w:numId w:val="16"/>
        </w:numPr>
        <w:tabs>
          <w:tab w:pos="682" w:val="left" w:leader="none"/>
        </w:tabs>
        <w:spacing w:line="240" w:lineRule="auto" w:before="8" w:after="0"/>
        <w:ind w:left="681" w:right="0" w:hanging="422"/>
        <w:jc w:val="both"/>
        <w:rPr>
          <w:rFonts w:ascii="Times New Roman"/>
          <w:i/>
        </w:rPr>
      </w:pPr>
      <w:r>
        <w:rPr>
          <w:rFonts w:ascii="Times New Roman"/>
          <w:i/>
        </w:rPr>
        <w:t>Animal donors and substrate sample</w:t>
      </w:r>
      <w:r>
        <w:rPr>
          <w:rFonts w:ascii="Times New Roman"/>
          <w:i/>
          <w:spacing w:val="-18"/>
        </w:rPr>
        <w:t> </w:t>
      </w:r>
      <w:r>
        <w:rPr>
          <w:rFonts w:ascii="Times New Roman"/>
          <w:i/>
        </w:rPr>
        <w:t>preparation</w:t>
      </w:r>
    </w:p>
    <w:p>
      <w:pPr>
        <w:pStyle w:val="BodyText"/>
        <w:spacing w:line="360" w:lineRule="auto" w:before="137"/>
        <w:ind w:left="259" w:right="239"/>
        <w:jc w:val="both"/>
        <w:rPr>
          <w:rFonts w:ascii="Times New Roman" w:hAnsi="Times New Roman"/>
        </w:rPr>
      </w:pPr>
      <w:r>
        <w:rPr>
          <w:rFonts w:ascii="Times New Roman" w:hAnsi="Times New Roman"/>
        </w:rPr>
        <w:t>Four adult male Pelibuey sheep (45 ± 5.0 kg/ each) with permanent rumen-fistula, housed individually and free access to the clean water, were used as inoculum donor according to Mexican Official Standard (NOM-220-SSA1-2002). Each sheep was daily provided 1.0 kg fodder, which composited with 64.2% sorghum, 19.3% alfalfa hay, 4.6% canola meal, 2.9% canola oil, 5.0% maize stover, 2.0% molasses, 1.0% purified tallow, and 1.0% urea, with a declared composition of 87% dry matter, 13.9% crude protein, 12.1 MJ/kg total energy, 5.3% crude fat, 0.54% calcium, 9.5% acid detergent fiber, and 21.4% neutral detergent fiber.</w:t>
      </w:r>
    </w:p>
    <w:p>
      <w:pPr>
        <w:pStyle w:val="BodyText"/>
        <w:spacing w:line="360" w:lineRule="auto" w:before="9"/>
        <w:ind w:left="259" w:right="246" w:firstLine="341"/>
        <w:jc w:val="both"/>
        <w:rPr>
          <w:rFonts w:ascii="Times New Roman"/>
        </w:rPr>
      </w:pPr>
      <w:r>
        <w:rPr>
          <w:rFonts w:ascii="Times New Roman"/>
        </w:rPr>
        <w:t>Safflower seed (0.5 kg) were bought from Queretaro in Mexico, artificially separated into hull and kernel, and then ground those samples into small particles for settling as safflower hull, kernel and whole seed partitions. Other 0.5 kg safflower seed were ground and extracted with hexane and petroleum ether for preparing two types of extracted safflower meal (SMH and SMP).</w:t>
      </w:r>
    </w:p>
    <w:p>
      <w:pPr>
        <w:pStyle w:val="Heading4"/>
        <w:numPr>
          <w:ilvl w:val="2"/>
          <w:numId w:val="16"/>
        </w:numPr>
        <w:tabs>
          <w:tab w:pos="682" w:val="left" w:leader="none"/>
        </w:tabs>
        <w:spacing w:line="240" w:lineRule="auto" w:before="8" w:after="0"/>
        <w:ind w:left="681" w:right="0" w:hanging="422"/>
        <w:jc w:val="both"/>
        <w:rPr>
          <w:rFonts w:ascii="Times New Roman"/>
          <w:i/>
        </w:rPr>
      </w:pPr>
      <w:r>
        <w:rPr>
          <w:rFonts w:ascii="Times New Roman"/>
          <w:i/>
        </w:rPr>
        <w:t>In vitro</w:t>
      </w:r>
      <w:r>
        <w:rPr>
          <w:rFonts w:ascii="Times New Roman"/>
          <w:i/>
          <w:spacing w:val="-7"/>
        </w:rPr>
        <w:t> </w:t>
      </w:r>
      <w:r>
        <w:rPr>
          <w:rFonts w:ascii="Times New Roman"/>
          <w:i/>
        </w:rPr>
        <w:t>fermentation</w:t>
      </w:r>
    </w:p>
    <w:p>
      <w:pPr>
        <w:pStyle w:val="BodyText"/>
        <w:spacing w:line="360" w:lineRule="auto" w:before="132"/>
        <w:ind w:left="259" w:right="240"/>
        <w:jc w:val="both"/>
        <w:rPr>
          <w:rFonts w:ascii="Times New Roman" w:hAnsi="Times New Roman"/>
        </w:rPr>
      </w:pPr>
      <w:r>
        <w:rPr>
          <w:rFonts w:ascii="Times New Roman" w:hAnsi="Times New Roman"/>
        </w:rPr>
        <w:t>The rumen liquid obtained, was mixed and strained through four layers of cheese-cloth into </w:t>
      </w:r>
      <w:r>
        <w:rPr>
          <w:rFonts w:ascii="Times New Roman" w:hAnsi="Times New Roman"/>
          <w:position w:val="2"/>
        </w:rPr>
        <w:t>an Erlenmeyer flask with an O</w:t>
      </w:r>
      <w:r>
        <w:rPr>
          <w:rFonts w:ascii="Times New Roman" w:hAnsi="Times New Roman"/>
          <w:sz w:val="16"/>
        </w:rPr>
        <w:t>2</w:t>
      </w:r>
      <w:r>
        <w:rPr>
          <w:rFonts w:ascii="Times New Roman" w:hAnsi="Times New Roman"/>
          <w:position w:val="2"/>
        </w:rPr>
        <w:t>-free headspace, from donor animals at 07:00 am before </w:t>
      </w:r>
      <w:r>
        <w:rPr>
          <w:rFonts w:ascii="Times New Roman" w:hAnsi="Times New Roman"/>
        </w:rPr>
        <w:t>feeding. Particle-free rumen fluid was mixed with the artificial saliva buffer solution (Menke &amp; Steingass 1988) </w:t>
      </w:r>
      <w:r>
        <w:rPr>
          <w:rFonts w:ascii="Times New Roman" w:hAnsi="Times New Roman"/>
          <w:spacing w:val="-3"/>
        </w:rPr>
        <w:t>in </w:t>
      </w:r>
      <w:r>
        <w:rPr>
          <w:rFonts w:ascii="Times New Roman" w:hAnsi="Times New Roman"/>
        </w:rPr>
        <w:t>a proportion </w:t>
      </w:r>
      <w:r>
        <w:rPr>
          <w:rFonts w:ascii="Times New Roman" w:hAnsi="Times New Roman"/>
          <w:spacing w:val="4"/>
        </w:rPr>
        <w:t>of </w:t>
      </w:r>
      <w:r>
        <w:rPr>
          <w:rFonts w:ascii="Times New Roman" w:hAnsi="Times New Roman"/>
        </w:rPr>
        <w:t>1:4 (</w:t>
      </w:r>
      <w:r>
        <w:rPr>
          <w:rFonts w:ascii="Times New Roman" w:hAnsi="Times New Roman"/>
          <w:i/>
        </w:rPr>
        <w:t>v/v</w:t>
      </w:r>
      <w:r>
        <w:rPr>
          <w:rFonts w:ascii="Times New Roman" w:hAnsi="Times New Roman"/>
        </w:rPr>
        <w:t>) at 39 ºC under continuous flushing </w:t>
      </w:r>
      <w:r>
        <w:rPr>
          <w:rFonts w:ascii="Times New Roman" w:hAnsi="Times New Roman"/>
          <w:position w:val="2"/>
        </w:rPr>
        <w:t>with CO</w:t>
      </w:r>
      <w:r>
        <w:rPr>
          <w:rFonts w:ascii="Times New Roman" w:hAnsi="Times New Roman"/>
          <w:sz w:val="16"/>
        </w:rPr>
        <w:t>2 </w:t>
      </w:r>
      <w:r>
        <w:rPr>
          <w:rFonts w:ascii="Times New Roman" w:hAnsi="Times New Roman"/>
          <w:position w:val="2"/>
        </w:rPr>
        <w:t>(Mauricio et </w:t>
      </w:r>
      <w:r>
        <w:rPr>
          <w:rFonts w:ascii="Times New Roman" w:hAnsi="Times New Roman"/>
          <w:spacing w:val="-3"/>
          <w:position w:val="2"/>
        </w:rPr>
        <w:t>al. </w:t>
      </w:r>
      <w:r>
        <w:rPr>
          <w:rFonts w:ascii="Times New Roman" w:hAnsi="Times New Roman"/>
          <w:position w:val="2"/>
        </w:rPr>
        <w:t>1999, Tang et </w:t>
      </w:r>
      <w:r>
        <w:rPr>
          <w:rFonts w:ascii="Times New Roman" w:hAnsi="Times New Roman"/>
          <w:spacing w:val="-3"/>
          <w:position w:val="2"/>
        </w:rPr>
        <w:t>al. </w:t>
      </w:r>
      <w:r>
        <w:rPr>
          <w:rFonts w:ascii="Times New Roman" w:hAnsi="Times New Roman"/>
          <w:spacing w:val="2"/>
          <w:position w:val="2"/>
        </w:rPr>
        <w:t>2008). </w:t>
      </w:r>
      <w:r>
        <w:rPr>
          <w:rFonts w:ascii="Times New Roman" w:hAnsi="Times New Roman"/>
          <w:b/>
          <w:position w:val="2"/>
        </w:rPr>
        <w:t>Experiment 1</w:t>
      </w:r>
      <w:r>
        <w:rPr>
          <w:rFonts w:ascii="Times New Roman" w:hAnsi="Times New Roman"/>
          <w:position w:val="2"/>
        </w:rPr>
        <w:t>: Gas production. Each </w:t>
      </w:r>
      <w:r>
        <w:rPr>
          <w:rFonts w:ascii="Times New Roman" w:hAnsi="Times New Roman"/>
        </w:rPr>
        <w:t>part of safflower seed (hull, kernel, safflower </w:t>
      </w:r>
      <w:r>
        <w:rPr>
          <w:rFonts w:ascii="Times New Roman" w:hAnsi="Times New Roman"/>
          <w:spacing w:val="-3"/>
        </w:rPr>
        <w:t>meal, </w:t>
      </w:r>
      <w:r>
        <w:rPr>
          <w:rFonts w:ascii="Times New Roman" w:hAnsi="Times New Roman"/>
        </w:rPr>
        <w:t>ground safflower, 1.0 g respectively as fermentation substrate, respectively) was  incubated with 100 ml rumen buffer   </w:t>
      </w:r>
      <w:r>
        <w:rPr>
          <w:rFonts w:ascii="Times New Roman" w:hAnsi="Times New Roman"/>
          <w:spacing w:val="30"/>
        </w:rPr>
        <w:t> </w:t>
      </w:r>
      <w:r>
        <w:rPr>
          <w:rFonts w:ascii="Times New Roman" w:hAnsi="Times New Roman"/>
        </w:rPr>
        <w:t>solution at</w:t>
      </w:r>
    </w:p>
    <w:p>
      <w:pPr>
        <w:spacing w:after="0" w:line="360" w:lineRule="auto"/>
        <w:jc w:val="both"/>
        <w:rPr>
          <w:rFonts w:ascii="Times New Roman" w:hAnsi="Times New Roman"/>
        </w:rPr>
        <w:sectPr>
          <w:pgSz w:w="12240" w:h="15840"/>
          <w:pgMar w:header="684" w:footer="1164" w:top="1380" w:bottom="1380" w:left="1440" w:right="1460"/>
        </w:sectPr>
      </w:pPr>
    </w:p>
    <w:p>
      <w:pPr>
        <w:pStyle w:val="BodyText"/>
        <w:spacing w:before="2"/>
        <w:rPr>
          <w:rFonts w:ascii="Times New Roman"/>
          <w:sz w:val="15"/>
        </w:rPr>
      </w:pPr>
    </w:p>
    <w:p>
      <w:pPr>
        <w:pStyle w:val="BodyText"/>
        <w:spacing w:line="360" w:lineRule="auto" w:before="69"/>
        <w:ind w:left="259" w:right="241"/>
        <w:jc w:val="both"/>
        <w:rPr>
          <w:rFonts w:ascii="Times New Roman" w:hAnsi="Times New Roman"/>
        </w:rPr>
      </w:pPr>
      <w:r>
        <w:rPr>
          <w:rFonts w:ascii="Times New Roman" w:hAnsi="Times New Roman"/>
        </w:rPr>
        <w:t>39ºC </w:t>
      </w:r>
      <w:r>
        <w:rPr>
          <w:rFonts w:ascii="Times New Roman" w:hAnsi="Times New Roman"/>
          <w:spacing w:val="-3"/>
        </w:rPr>
        <w:t>in </w:t>
      </w:r>
      <w:r>
        <w:rPr>
          <w:rFonts w:ascii="Times New Roman" w:hAnsi="Times New Roman"/>
        </w:rPr>
        <w:t>quadruple of each, to determine kinetics of gas production with ANKOM gas determination equipment (ANKOM Technology Corp., Fairport, NY, USA) for 48 h described by Cone et </w:t>
      </w:r>
      <w:r>
        <w:rPr>
          <w:rFonts w:ascii="Times New Roman" w:hAnsi="Times New Roman"/>
          <w:spacing w:val="-3"/>
        </w:rPr>
        <w:t>al. </w:t>
      </w:r>
      <w:r>
        <w:rPr>
          <w:rFonts w:ascii="Times New Roman" w:hAnsi="Times New Roman"/>
        </w:rPr>
        <w:t>(1996). </w:t>
      </w:r>
      <w:r>
        <w:rPr>
          <w:rFonts w:ascii="Times New Roman" w:hAnsi="Times New Roman"/>
          <w:b/>
        </w:rPr>
        <w:t>Experiment 2</w:t>
      </w:r>
      <w:r>
        <w:rPr>
          <w:rFonts w:ascii="Times New Roman" w:hAnsi="Times New Roman"/>
        </w:rPr>
        <w:t>: Bottles were pre-warmed (39ºC) prior to add 50 </w:t>
      </w:r>
      <w:r>
        <w:rPr>
          <w:rFonts w:ascii="Times New Roman" w:hAnsi="Times New Roman"/>
          <w:spacing w:val="-3"/>
        </w:rPr>
        <w:t>ml </w:t>
      </w:r>
      <w:r>
        <w:rPr>
          <w:rFonts w:ascii="Times New Roman" w:hAnsi="Times New Roman"/>
          <w:spacing w:val="4"/>
        </w:rPr>
        <w:t>of </w:t>
      </w:r>
      <w:r>
        <w:rPr>
          <w:rFonts w:ascii="Times New Roman" w:hAnsi="Times New Roman"/>
        </w:rPr>
        <w:t>buffered ruminal fluid (hull, kernel, safflower </w:t>
      </w:r>
      <w:r>
        <w:rPr>
          <w:rFonts w:ascii="Times New Roman" w:hAnsi="Times New Roman"/>
          <w:spacing w:val="-3"/>
        </w:rPr>
        <w:t>meal, </w:t>
      </w:r>
      <w:r>
        <w:rPr>
          <w:rFonts w:ascii="Times New Roman" w:hAnsi="Times New Roman"/>
        </w:rPr>
        <w:t>ground safflower, 0.5 g as </w:t>
      </w:r>
      <w:r>
        <w:rPr>
          <w:rFonts w:ascii="Times New Roman" w:hAnsi="Times New Roman"/>
          <w:position w:val="2"/>
        </w:rPr>
        <w:t>fermentation substrate, respectively) under CO</w:t>
      </w:r>
      <w:r>
        <w:rPr>
          <w:rFonts w:ascii="Times New Roman" w:hAnsi="Times New Roman"/>
          <w:sz w:val="16"/>
        </w:rPr>
        <w:t>2 </w:t>
      </w:r>
      <w:r>
        <w:rPr>
          <w:rFonts w:ascii="Times New Roman" w:hAnsi="Times New Roman"/>
          <w:position w:val="2"/>
        </w:rPr>
        <w:t>flushing, sealed with rubber stoppers and </w:t>
      </w:r>
      <w:r>
        <w:rPr>
          <w:rFonts w:ascii="Times New Roman" w:hAnsi="Times New Roman"/>
        </w:rPr>
        <w:t>screw-on caps and incubated at 39ºC </w:t>
      </w:r>
      <w:r>
        <w:rPr>
          <w:rFonts w:ascii="Times New Roman" w:hAnsi="Times New Roman"/>
          <w:spacing w:val="-3"/>
        </w:rPr>
        <w:t>in </w:t>
      </w:r>
      <w:r>
        <w:rPr>
          <w:rFonts w:ascii="Times New Roman" w:hAnsi="Times New Roman"/>
        </w:rPr>
        <w:t>constant temperature water bath oscillator for 48 </w:t>
      </w:r>
      <w:r>
        <w:rPr>
          <w:rFonts w:ascii="Times New Roman" w:hAnsi="Times New Roman"/>
          <w:spacing w:val="-3"/>
        </w:rPr>
        <w:t>h. </w:t>
      </w:r>
      <w:r>
        <w:rPr>
          <w:rFonts w:ascii="Times New Roman" w:hAnsi="Times New Roman"/>
        </w:rPr>
        <w:t>Each was conducted </w:t>
      </w:r>
      <w:r>
        <w:rPr>
          <w:rFonts w:ascii="Times New Roman" w:hAnsi="Times New Roman"/>
          <w:spacing w:val="-3"/>
        </w:rPr>
        <w:t>in </w:t>
      </w:r>
      <w:r>
        <w:rPr>
          <w:rFonts w:ascii="Times New Roman" w:hAnsi="Times New Roman"/>
        </w:rPr>
        <w:t>3 replicates within 3 blanks (no substrate) for correction. Bottles were withdrawn from the water bath oscillator after 48 h incubation, to filter the substrate  of each, dried </w:t>
      </w:r>
      <w:r>
        <w:rPr>
          <w:rFonts w:ascii="Times New Roman" w:hAnsi="Times New Roman"/>
          <w:spacing w:val="-3"/>
        </w:rPr>
        <w:t>in </w:t>
      </w:r>
      <w:r>
        <w:rPr>
          <w:rFonts w:ascii="Times New Roman" w:hAnsi="Times New Roman"/>
        </w:rPr>
        <w:t>105ºC overnight and weighed the residue of each substrate, and then to calculate ADF/ NDF digestibility and </w:t>
      </w:r>
      <w:r>
        <w:rPr>
          <w:rFonts w:ascii="Times New Roman" w:hAnsi="Times New Roman"/>
          <w:i/>
        </w:rPr>
        <w:t>in vitro </w:t>
      </w:r>
      <w:r>
        <w:rPr>
          <w:rFonts w:ascii="Times New Roman" w:hAnsi="Times New Roman"/>
        </w:rPr>
        <w:t>dry matter disappearance</w:t>
      </w:r>
      <w:r>
        <w:rPr>
          <w:rFonts w:ascii="Times New Roman" w:hAnsi="Times New Roman"/>
          <w:spacing w:val="-27"/>
        </w:rPr>
        <w:t> </w:t>
      </w:r>
      <w:r>
        <w:rPr>
          <w:rFonts w:ascii="Times New Roman" w:hAnsi="Times New Roman"/>
        </w:rPr>
        <w:t>(</w:t>
      </w:r>
      <w:r>
        <w:rPr>
          <w:rFonts w:ascii="Times New Roman" w:hAnsi="Times New Roman"/>
          <w:i/>
        </w:rPr>
        <w:t>IVDMD</w:t>
      </w:r>
      <w:r>
        <w:rPr>
          <w:rFonts w:ascii="Times New Roman" w:hAnsi="Times New Roman"/>
        </w:rPr>
        <w:t>).</w:t>
      </w:r>
    </w:p>
    <w:p>
      <w:pPr>
        <w:pStyle w:val="Heading4"/>
        <w:numPr>
          <w:ilvl w:val="2"/>
          <w:numId w:val="16"/>
        </w:numPr>
        <w:tabs>
          <w:tab w:pos="682" w:val="left" w:leader="none"/>
        </w:tabs>
        <w:spacing w:line="240" w:lineRule="auto" w:before="14" w:after="0"/>
        <w:ind w:left="681" w:right="0" w:hanging="422"/>
        <w:jc w:val="both"/>
        <w:rPr>
          <w:rFonts w:ascii="Times New Roman"/>
          <w:i/>
        </w:rPr>
      </w:pPr>
      <w:r>
        <w:rPr>
          <w:rFonts w:ascii="Times New Roman"/>
          <w:i/>
        </w:rPr>
        <w:t>Chemical composition</w:t>
      </w:r>
      <w:r>
        <w:rPr>
          <w:rFonts w:ascii="Times New Roman"/>
          <w:i/>
          <w:spacing w:val="-11"/>
        </w:rPr>
        <w:t> </w:t>
      </w:r>
      <w:r>
        <w:rPr>
          <w:rFonts w:ascii="Times New Roman"/>
          <w:i/>
        </w:rPr>
        <w:t>analysis</w:t>
      </w:r>
    </w:p>
    <w:p>
      <w:pPr>
        <w:pStyle w:val="BodyText"/>
        <w:spacing w:line="360" w:lineRule="auto" w:before="132"/>
        <w:ind w:left="259" w:right="234"/>
        <w:jc w:val="both"/>
        <w:rPr>
          <w:rFonts w:ascii="Times New Roman"/>
        </w:rPr>
      </w:pPr>
      <w:r>
        <w:rPr>
          <w:rFonts w:ascii="Times New Roman"/>
        </w:rPr>
        <w:t>Diet and samples (substrates) were measured by the standard methods of AOAC (Cunniff 1995) for dry matter (No. 967.03), crude protein (No. 984.13) and ether extract (No. 954.02), ash content (No. 942.05), total energy, and were expressed as the inclusive of residual ash.</w:t>
      </w:r>
    </w:p>
    <w:p>
      <w:pPr>
        <w:pStyle w:val="Heading4"/>
        <w:numPr>
          <w:ilvl w:val="2"/>
          <w:numId w:val="16"/>
        </w:numPr>
        <w:tabs>
          <w:tab w:pos="682" w:val="left" w:leader="none"/>
        </w:tabs>
        <w:spacing w:line="240" w:lineRule="auto" w:before="8" w:after="0"/>
        <w:ind w:left="681" w:right="0" w:hanging="422"/>
        <w:jc w:val="both"/>
        <w:rPr>
          <w:rFonts w:ascii="Times New Roman"/>
          <w:i/>
        </w:rPr>
      </w:pPr>
      <w:r>
        <w:rPr>
          <w:rFonts w:ascii="Times New Roman"/>
          <w:i/>
        </w:rPr>
        <w:t>Calculations and data</w:t>
      </w:r>
      <w:r>
        <w:rPr>
          <w:rFonts w:ascii="Times New Roman"/>
          <w:i/>
          <w:spacing w:val="-12"/>
        </w:rPr>
        <w:t> </w:t>
      </w:r>
      <w:r>
        <w:rPr>
          <w:rFonts w:ascii="Times New Roman"/>
          <w:i/>
        </w:rPr>
        <w:t>analysis</w:t>
      </w:r>
    </w:p>
    <w:p>
      <w:pPr>
        <w:pStyle w:val="BodyText"/>
        <w:spacing w:line="360" w:lineRule="auto" w:before="132"/>
        <w:ind w:left="259" w:right="235"/>
        <w:jc w:val="both"/>
        <w:rPr>
          <w:rFonts w:ascii="Times New Roman"/>
        </w:rPr>
      </w:pPr>
      <w:r>
        <w:rPr>
          <w:rFonts w:ascii="Times New Roman"/>
          <w:i/>
        </w:rPr>
        <w:t>In vitro </w:t>
      </w:r>
      <w:r>
        <w:rPr>
          <w:rFonts w:ascii="Times New Roman"/>
        </w:rPr>
        <w:t>gas production curves were fitted with NLREG Version 5.0 (Sherrod 1995), using the combination of the Gauss-Newton and Levenberg-Marquardt Methods (John et </w:t>
      </w:r>
      <w:r>
        <w:rPr>
          <w:rFonts w:ascii="Times New Roman"/>
          <w:spacing w:val="-4"/>
        </w:rPr>
        <w:t>al. </w:t>
      </w:r>
      <w:r>
        <w:rPr>
          <w:rFonts w:ascii="Times New Roman"/>
        </w:rPr>
        <w:t>1981). To calculate the parameters of gas production kinetics, the Logistic-Exponential </w:t>
      </w:r>
      <w:r>
        <w:rPr>
          <w:rFonts w:ascii="Times New Roman"/>
          <w:position w:val="2"/>
        </w:rPr>
        <w:t>(LE</w:t>
      </w:r>
      <w:r>
        <w:rPr>
          <w:rFonts w:ascii="Times New Roman"/>
          <w:sz w:val="16"/>
        </w:rPr>
        <w:t>0</w:t>
      </w:r>
      <w:r>
        <w:rPr>
          <w:rFonts w:ascii="Times New Roman"/>
          <w:position w:val="2"/>
        </w:rPr>
        <w:t>) model was used as described by Wang </w:t>
      </w:r>
      <w:r>
        <w:rPr>
          <w:rFonts w:ascii="Times New Roman"/>
          <w:i/>
          <w:position w:val="2"/>
        </w:rPr>
        <w:t>et al. </w:t>
      </w:r>
      <w:r>
        <w:rPr>
          <w:rFonts w:ascii="Times New Roman"/>
          <w:position w:val="2"/>
        </w:rPr>
        <w:t>(2013), and the parameters were </w:t>
      </w:r>
      <w:r>
        <w:rPr>
          <w:rFonts w:ascii="Times New Roman"/>
        </w:rPr>
        <w:t>obtained based on visual inspection of the plots </w:t>
      </w:r>
      <w:r>
        <w:rPr>
          <w:rFonts w:ascii="Times New Roman"/>
          <w:spacing w:val="-3"/>
        </w:rPr>
        <w:t>in </w:t>
      </w:r>
      <w:r>
        <w:rPr>
          <w:rFonts w:ascii="Times New Roman"/>
        </w:rPr>
        <w:t>order to reach</w:t>
      </w:r>
      <w:r>
        <w:rPr>
          <w:rFonts w:ascii="Times New Roman"/>
          <w:spacing w:val="-27"/>
        </w:rPr>
        <w:t> </w:t>
      </w:r>
      <w:r>
        <w:rPr>
          <w:rFonts w:ascii="Times New Roman"/>
        </w:rPr>
        <w:t>convergence.</w:t>
      </w:r>
    </w:p>
    <w:p>
      <w:pPr>
        <w:spacing w:after="0" w:line="360" w:lineRule="auto"/>
        <w:jc w:val="both"/>
        <w:rPr>
          <w:rFonts w:ascii="Times New Roman"/>
        </w:rPr>
        <w:sectPr>
          <w:pgSz w:w="12240" w:h="15840"/>
          <w:pgMar w:header="684" w:footer="1164" w:top="1380" w:bottom="1380" w:left="1440" w:right="1460"/>
        </w:sectPr>
      </w:pPr>
    </w:p>
    <w:p>
      <w:pPr>
        <w:spacing w:before="127"/>
        <w:ind w:left="0" w:right="0" w:firstLine="0"/>
        <w:jc w:val="right"/>
        <w:rPr>
          <w:rFonts w:ascii="Symbol" w:hAnsi="Symbol"/>
          <w:sz w:val="21"/>
        </w:rPr>
      </w:pPr>
      <w:r>
        <w:rPr/>
        <w:pict>
          <v:line style="position:absolute;mso-position-horizontal-relative:page;mso-position-vertical-relative:paragraph;z-index:-328888" from="207.619202pt,14.605841pt" to="263.641271pt,14.605852pt" stroked="true" strokeweight=".121586pt" strokecolor="#000000">
            <w10:wrap type="none"/>
          </v:line>
        </w:pict>
      </w:r>
      <w:r>
        <w:rPr>
          <w:rFonts w:ascii="Times New Roman" w:hAnsi="Times New Roman"/>
          <w:sz w:val="21"/>
        </w:rPr>
        <w:t>V = V</w:t>
      </w:r>
      <w:r>
        <w:rPr>
          <w:rFonts w:ascii="Times New Roman" w:hAnsi="Times New Roman"/>
          <w:position w:val="-4"/>
          <w:sz w:val="12"/>
        </w:rPr>
        <w:t>F  </w:t>
      </w:r>
      <w:r>
        <w:rPr>
          <w:rFonts w:ascii="Symbol" w:hAnsi="Symbol"/>
          <w:sz w:val="21"/>
        </w:rPr>
        <w:t></w:t>
      </w:r>
    </w:p>
    <w:p>
      <w:pPr>
        <w:spacing w:line="259" w:lineRule="auto" w:before="0"/>
        <w:ind w:left="-15" w:right="0" w:firstLine="116"/>
        <w:jc w:val="left"/>
        <w:rPr>
          <w:rFonts w:ascii="Times New Roman" w:hAnsi="Times New Roman"/>
          <w:sz w:val="21"/>
        </w:rPr>
      </w:pPr>
      <w:r>
        <w:rPr/>
        <w:br w:type="column"/>
      </w:r>
      <w:r>
        <w:rPr>
          <w:rFonts w:ascii="Times New Roman" w:hAnsi="Times New Roman"/>
          <w:spacing w:val="8"/>
          <w:sz w:val="21"/>
        </w:rPr>
        <w:t>1- </w:t>
      </w:r>
      <w:r>
        <w:rPr>
          <w:rFonts w:ascii="Times New Roman" w:hAnsi="Times New Roman"/>
          <w:spacing w:val="-7"/>
          <w:sz w:val="21"/>
        </w:rPr>
        <w:t>exp(-</w:t>
      </w:r>
      <w:r>
        <w:rPr>
          <w:rFonts w:ascii="Symbol" w:hAnsi="Symbol"/>
          <w:i/>
          <w:spacing w:val="-7"/>
          <w:sz w:val="22"/>
        </w:rPr>
        <w:t></w:t>
      </w:r>
      <w:r>
        <w:rPr>
          <w:rFonts w:ascii="Times New Roman" w:hAnsi="Times New Roman"/>
          <w:spacing w:val="-7"/>
          <w:sz w:val="21"/>
        </w:rPr>
        <w:t>t) </w:t>
      </w:r>
      <w:r>
        <w:rPr>
          <w:rFonts w:ascii="Times New Roman" w:hAnsi="Times New Roman"/>
          <w:sz w:val="21"/>
        </w:rPr>
        <w:t>1</w:t>
      </w:r>
      <w:r>
        <w:rPr>
          <w:rFonts w:ascii="Times New Roman" w:hAnsi="Times New Roman"/>
          <w:spacing w:val="-31"/>
          <w:sz w:val="21"/>
        </w:rPr>
        <w:t> </w:t>
      </w:r>
      <w:r>
        <w:rPr>
          <w:rFonts w:ascii="Times New Roman" w:hAnsi="Times New Roman"/>
          <w:sz w:val="21"/>
        </w:rPr>
        <w:t>+</w:t>
      </w:r>
      <w:r>
        <w:rPr>
          <w:rFonts w:ascii="Times New Roman" w:hAnsi="Times New Roman"/>
          <w:spacing w:val="-15"/>
          <w:sz w:val="21"/>
        </w:rPr>
        <w:t> </w:t>
      </w:r>
      <w:r>
        <w:rPr>
          <w:rFonts w:ascii="Times New Roman" w:hAnsi="Times New Roman"/>
          <w:spacing w:val="-5"/>
          <w:sz w:val="21"/>
        </w:rPr>
        <w:t>exp(b</w:t>
      </w:r>
      <w:r>
        <w:rPr>
          <w:rFonts w:ascii="Times New Roman" w:hAnsi="Times New Roman"/>
          <w:spacing w:val="-2"/>
          <w:sz w:val="21"/>
        </w:rPr>
        <w:t> </w:t>
      </w:r>
      <w:r>
        <w:rPr>
          <w:rFonts w:ascii="Times New Roman" w:hAnsi="Times New Roman"/>
          <w:sz w:val="21"/>
        </w:rPr>
        <w:t>-</w:t>
      </w:r>
      <w:r>
        <w:rPr>
          <w:rFonts w:ascii="Times New Roman" w:hAnsi="Times New Roman"/>
          <w:spacing w:val="-28"/>
          <w:sz w:val="21"/>
        </w:rPr>
        <w:t> </w:t>
      </w:r>
      <w:r>
        <w:rPr>
          <w:rFonts w:ascii="Symbol" w:hAnsi="Symbol"/>
          <w:i/>
          <w:spacing w:val="-9"/>
          <w:sz w:val="22"/>
        </w:rPr>
        <w:t></w:t>
      </w:r>
      <w:r>
        <w:rPr>
          <w:rFonts w:ascii="Times New Roman" w:hAnsi="Times New Roman"/>
          <w:spacing w:val="-9"/>
          <w:sz w:val="21"/>
        </w:rPr>
        <w:t>t)</w:t>
      </w:r>
    </w:p>
    <w:p>
      <w:pPr>
        <w:spacing w:before="57"/>
        <w:ind w:left="491" w:right="0" w:firstLine="0"/>
        <w:jc w:val="left"/>
        <w:rPr>
          <w:rFonts w:ascii="Symbol" w:hAnsi="Symbol"/>
          <w:sz w:val="28"/>
        </w:rPr>
      </w:pPr>
      <w:r>
        <w:rPr/>
        <w:br w:type="column"/>
      </w:r>
      <w:r>
        <w:rPr>
          <w:rFonts w:ascii="Symbol" w:hAnsi="Symbol"/>
          <w:w w:val="95"/>
          <w:sz w:val="28"/>
        </w:rPr>
        <w:t></w:t>
      </w:r>
      <w:r>
        <w:rPr>
          <w:rFonts w:ascii="Times New Roman" w:hAnsi="Times New Roman"/>
          <w:w w:val="95"/>
          <w:sz w:val="21"/>
        </w:rPr>
        <w:t>1</w:t>
      </w:r>
      <w:r>
        <w:rPr>
          <w:rFonts w:ascii="Symbol" w:hAnsi="Symbol"/>
          <w:w w:val="95"/>
          <w:sz w:val="28"/>
        </w:rPr>
        <w:t></w:t>
      </w:r>
    </w:p>
    <w:p>
      <w:pPr>
        <w:spacing w:after="0"/>
        <w:jc w:val="left"/>
        <w:rPr>
          <w:rFonts w:ascii="Symbol" w:hAnsi="Symbol"/>
          <w:sz w:val="28"/>
        </w:rPr>
        <w:sectPr>
          <w:type w:val="continuous"/>
          <w:pgSz w:w="12240" w:h="15840"/>
          <w:pgMar w:top="3080" w:bottom="2780" w:left="1440" w:right="1460"/>
          <w:cols w:num="3" w:equalWidth="0">
            <w:col w:w="2672" w:space="40"/>
            <w:col w:w="1096" w:space="40"/>
            <w:col w:w="5492"/>
          </w:cols>
        </w:sectPr>
      </w:pPr>
    </w:p>
    <w:p>
      <w:pPr>
        <w:spacing w:line="357" w:lineRule="auto" w:before="154"/>
        <w:ind w:left="259" w:right="236" w:firstLine="341"/>
        <w:jc w:val="both"/>
        <w:rPr>
          <w:rFonts w:ascii="Times New Roman" w:hAnsi="Times New Roman"/>
          <w:sz w:val="24"/>
        </w:rPr>
      </w:pPr>
      <w:r>
        <w:rPr>
          <w:rFonts w:ascii="Times New Roman" w:hAnsi="Times New Roman"/>
          <w:position w:val="2"/>
          <w:sz w:val="24"/>
        </w:rPr>
        <w:t>where, </w:t>
      </w:r>
      <w:r>
        <w:rPr>
          <w:rFonts w:ascii="Times New Roman" w:hAnsi="Times New Roman"/>
          <w:i/>
          <w:position w:val="2"/>
          <w:sz w:val="24"/>
        </w:rPr>
        <w:t>V </w:t>
      </w:r>
      <w:r>
        <w:rPr>
          <w:rFonts w:ascii="Times New Roman" w:hAnsi="Times New Roman"/>
          <w:spacing w:val="-3"/>
          <w:position w:val="2"/>
          <w:sz w:val="24"/>
        </w:rPr>
        <w:t>is </w:t>
      </w:r>
      <w:r>
        <w:rPr>
          <w:rFonts w:ascii="Times New Roman" w:hAnsi="Times New Roman"/>
          <w:position w:val="2"/>
          <w:sz w:val="24"/>
        </w:rPr>
        <w:t>the cumulative gas production (ml) at </w:t>
      </w:r>
      <w:r>
        <w:rPr>
          <w:rFonts w:ascii="Times New Roman" w:hAnsi="Times New Roman"/>
          <w:i/>
          <w:position w:val="2"/>
          <w:sz w:val="24"/>
        </w:rPr>
        <w:t>t</w:t>
      </w:r>
      <w:r>
        <w:rPr>
          <w:rFonts w:ascii="Times New Roman" w:hAnsi="Times New Roman"/>
          <w:position w:val="2"/>
          <w:sz w:val="24"/>
        </w:rPr>
        <w:t>, </w:t>
      </w:r>
      <w:r>
        <w:rPr>
          <w:rFonts w:ascii="Times New Roman" w:hAnsi="Times New Roman"/>
          <w:i/>
          <w:position w:val="2"/>
          <w:sz w:val="24"/>
        </w:rPr>
        <w:t>V</w:t>
      </w:r>
      <w:r>
        <w:rPr>
          <w:rFonts w:ascii="Times New Roman" w:hAnsi="Times New Roman"/>
          <w:i/>
          <w:sz w:val="16"/>
        </w:rPr>
        <w:t>F </w:t>
      </w:r>
      <w:r>
        <w:rPr>
          <w:rFonts w:ascii="Times New Roman" w:hAnsi="Times New Roman"/>
          <w:spacing w:val="-3"/>
          <w:position w:val="2"/>
          <w:sz w:val="24"/>
        </w:rPr>
        <w:t>is </w:t>
      </w:r>
      <w:r>
        <w:rPr>
          <w:rFonts w:ascii="Times New Roman" w:hAnsi="Times New Roman"/>
          <w:position w:val="2"/>
          <w:sz w:val="24"/>
        </w:rPr>
        <w:t>the final asymptotic gas  </w:t>
      </w:r>
      <w:r>
        <w:rPr>
          <w:rFonts w:ascii="Times New Roman" w:hAnsi="Times New Roman"/>
          <w:sz w:val="24"/>
        </w:rPr>
        <w:t>volume with dimension of ‘ml’, </w:t>
      </w:r>
      <w:r>
        <w:rPr>
          <w:rFonts w:ascii="Times New Roman" w:hAnsi="Times New Roman"/>
          <w:i/>
          <w:sz w:val="24"/>
        </w:rPr>
        <w:t>k </w:t>
      </w:r>
      <w:r>
        <w:rPr>
          <w:rFonts w:ascii="Times New Roman" w:hAnsi="Times New Roman"/>
          <w:spacing w:val="-3"/>
          <w:sz w:val="24"/>
        </w:rPr>
        <w:t>is </w:t>
      </w:r>
      <w:r>
        <w:rPr>
          <w:rFonts w:ascii="Times New Roman" w:hAnsi="Times New Roman"/>
          <w:sz w:val="24"/>
        </w:rPr>
        <w:t>the fractional rate of gas production with dimension of ‘/h’; and </w:t>
      </w:r>
      <w:r>
        <w:rPr>
          <w:rFonts w:ascii="Times New Roman" w:hAnsi="Times New Roman"/>
          <w:i/>
          <w:sz w:val="24"/>
        </w:rPr>
        <w:t>b </w:t>
      </w:r>
      <w:r>
        <w:rPr>
          <w:rFonts w:ascii="Times New Roman" w:hAnsi="Times New Roman"/>
          <w:spacing w:val="-3"/>
          <w:sz w:val="24"/>
        </w:rPr>
        <w:t>is </w:t>
      </w:r>
      <w:r>
        <w:rPr>
          <w:rFonts w:ascii="Times New Roman" w:hAnsi="Times New Roman"/>
          <w:sz w:val="24"/>
        </w:rPr>
        <w:t>shape parameter without dimension. Initial fractional rate of degradation, </w:t>
      </w:r>
      <w:r>
        <w:rPr>
          <w:rFonts w:ascii="Times New Roman" w:hAnsi="Times New Roman"/>
          <w:i/>
          <w:position w:val="2"/>
          <w:sz w:val="24"/>
        </w:rPr>
        <w:t>FRD</w:t>
      </w:r>
      <w:r>
        <w:rPr>
          <w:rFonts w:ascii="Times New Roman" w:hAnsi="Times New Roman"/>
          <w:i/>
          <w:sz w:val="16"/>
        </w:rPr>
        <w:t>0 </w:t>
      </w:r>
      <w:r>
        <w:rPr>
          <w:rFonts w:ascii="Times New Roman" w:hAnsi="Times New Roman"/>
          <w:position w:val="2"/>
          <w:sz w:val="24"/>
        </w:rPr>
        <w:t>= </w:t>
      </w:r>
      <w:r>
        <w:rPr>
          <w:rFonts w:ascii="Times New Roman" w:hAnsi="Times New Roman"/>
          <w:i/>
          <w:position w:val="2"/>
          <w:sz w:val="24"/>
        </w:rPr>
        <w:t>k/(1+exp(b)) </w:t>
      </w:r>
      <w:r>
        <w:rPr>
          <w:rFonts w:ascii="Times New Roman" w:hAnsi="Times New Roman"/>
          <w:position w:val="2"/>
          <w:sz w:val="24"/>
        </w:rPr>
        <w:t>(Wang et </w:t>
      </w:r>
      <w:r>
        <w:rPr>
          <w:rFonts w:ascii="Times New Roman" w:hAnsi="Times New Roman"/>
          <w:spacing w:val="-4"/>
          <w:position w:val="2"/>
          <w:sz w:val="24"/>
        </w:rPr>
        <w:t>al.</w:t>
      </w:r>
      <w:r>
        <w:rPr>
          <w:rFonts w:ascii="Times New Roman" w:hAnsi="Times New Roman"/>
          <w:spacing w:val="52"/>
          <w:position w:val="2"/>
          <w:sz w:val="24"/>
        </w:rPr>
        <w:t> </w:t>
      </w:r>
      <w:r>
        <w:rPr>
          <w:rFonts w:ascii="Times New Roman" w:hAnsi="Times New Roman"/>
          <w:position w:val="2"/>
          <w:sz w:val="24"/>
        </w:rPr>
        <w:t>2013)</w:t>
      </w:r>
      <w:r>
        <w:rPr>
          <w:rFonts w:ascii="Times New Roman" w:hAnsi="Times New Roman"/>
          <w:i/>
          <w:position w:val="2"/>
          <w:sz w:val="24"/>
        </w:rPr>
        <w:t>; </w:t>
      </w:r>
      <w:r>
        <w:rPr>
          <w:rFonts w:ascii="Times New Roman" w:hAnsi="Times New Roman"/>
          <w:position w:val="2"/>
          <w:sz w:val="24"/>
        </w:rPr>
        <w:t>the rate of gas production, </w:t>
      </w:r>
      <w:r>
        <w:rPr>
          <w:rFonts w:ascii="Times New Roman" w:hAnsi="Times New Roman"/>
          <w:i/>
          <w:position w:val="2"/>
          <w:sz w:val="24"/>
        </w:rPr>
        <w:t>RG </w:t>
      </w:r>
      <w:r>
        <w:rPr>
          <w:rFonts w:ascii="Times New Roman" w:hAnsi="Times New Roman"/>
          <w:position w:val="2"/>
          <w:sz w:val="24"/>
        </w:rPr>
        <w:t>= </w:t>
      </w:r>
      <w:r>
        <w:rPr>
          <w:rFonts w:ascii="Times New Roman" w:hAnsi="Times New Roman"/>
          <w:i/>
          <w:position w:val="2"/>
          <w:sz w:val="24"/>
        </w:rPr>
        <w:t>V</w:t>
      </w:r>
      <w:r>
        <w:rPr>
          <w:rFonts w:ascii="Times New Roman" w:hAnsi="Times New Roman"/>
          <w:i/>
          <w:sz w:val="16"/>
        </w:rPr>
        <w:t>F </w:t>
      </w:r>
      <w:r>
        <w:rPr>
          <w:rFonts w:ascii="Times New Roman" w:hAnsi="Times New Roman"/>
          <w:i/>
          <w:sz w:val="24"/>
        </w:rPr>
        <w:t>k(1+exp(b))exp(-kt)/(1+exp(b-kt)</w:t>
      </w:r>
      <w:r>
        <w:rPr>
          <w:rFonts w:ascii="Times New Roman" w:hAnsi="Times New Roman"/>
          <w:i/>
          <w:position w:val="9"/>
          <w:sz w:val="16"/>
        </w:rPr>
        <w:t>2 </w:t>
      </w:r>
      <w:r>
        <w:rPr>
          <w:rFonts w:ascii="Times New Roman" w:hAnsi="Times New Roman"/>
          <w:i/>
          <w:sz w:val="24"/>
        </w:rPr>
        <w:t>(Jiao et al. 2013)</w:t>
      </w:r>
      <w:r>
        <w:rPr>
          <w:rFonts w:ascii="Times New Roman" w:hAnsi="Times New Roman"/>
          <w:sz w:val="24"/>
        </w:rPr>
        <w:t>; the half time at which half of the final </w:t>
      </w:r>
      <w:r>
        <w:rPr>
          <w:rFonts w:ascii="Times New Roman" w:hAnsi="Times New Roman"/>
          <w:position w:val="2"/>
          <w:sz w:val="24"/>
        </w:rPr>
        <w:t>gas production, </w:t>
      </w:r>
      <w:r>
        <w:rPr>
          <w:rFonts w:ascii="Times New Roman" w:hAnsi="Times New Roman"/>
          <w:i/>
          <w:position w:val="2"/>
          <w:sz w:val="24"/>
        </w:rPr>
        <w:t>t</w:t>
      </w:r>
      <w:r>
        <w:rPr>
          <w:rFonts w:ascii="Times New Roman" w:hAnsi="Times New Roman"/>
          <w:i/>
          <w:sz w:val="16"/>
        </w:rPr>
        <w:t>0.5 </w:t>
      </w:r>
      <w:r>
        <w:rPr>
          <w:rFonts w:ascii="Times New Roman" w:hAnsi="Times New Roman"/>
          <w:i/>
          <w:position w:val="2"/>
          <w:sz w:val="24"/>
        </w:rPr>
        <w:t>= ln(2+exp(b))/k</w:t>
      </w:r>
      <w:r>
        <w:rPr>
          <w:rFonts w:ascii="Times New Roman" w:hAnsi="Times New Roman"/>
          <w:position w:val="2"/>
          <w:sz w:val="24"/>
        </w:rPr>
        <w:t>; fractional </w:t>
      </w:r>
      <w:r>
        <w:rPr>
          <w:rFonts w:ascii="Times New Roman" w:hAnsi="Times New Roman"/>
          <w:spacing w:val="2"/>
          <w:position w:val="2"/>
          <w:sz w:val="24"/>
        </w:rPr>
        <w:t>rate </w:t>
      </w:r>
      <w:r>
        <w:rPr>
          <w:rFonts w:ascii="Times New Roman" w:hAnsi="Times New Roman"/>
          <w:position w:val="2"/>
          <w:sz w:val="24"/>
        </w:rPr>
        <w:t>of gas production at half-life, </w:t>
      </w:r>
      <w:r>
        <w:rPr>
          <w:rFonts w:ascii="Times New Roman" w:hAnsi="Times New Roman"/>
          <w:i/>
          <w:position w:val="2"/>
          <w:sz w:val="24"/>
        </w:rPr>
        <w:t>µ</w:t>
      </w:r>
      <w:r>
        <w:rPr>
          <w:rFonts w:ascii="Times New Roman" w:hAnsi="Times New Roman"/>
          <w:i/>
          <w:sz w:val="16"/>
        </w:rPr>
        <w:t>0.5 </w:t>
      </w:r>
      <w:r>
        <w:rPr>
          <w:rFonts w:ascii="Times New Roman" w:hAnsi="Times New Roman"/>
          <w:position w:val="2"/>
          <w:sz w:val="24"/>
        </w:rPr>
        <w:t>= </w:t>
      </w:r>
      <w:r>
        <w:rPr>
          <w:rFonts w:ascii="Times New Roman" w:hAnsi="Times New Roman"/>
          <w:i/>
          <w:sz w:val="24"/>
        </w:rPr>
        <w:t>k(d+0.5)/(1+d) </w:t>
      </w:r>
      <w:r>
        <w:rPr>
          <w:rFonts w:ascii="Times New Roman" w:hAnsi="Times New Roman"/>
          <w:spacing w:val="-3"/>
          <w:sz w:val="24"/>
        </w:rPr>
        <w:t>(Wang </w:t>
      </w:r>
      <w:r>
        <w:rPr>
          <w:rFonts w:ascii="Times New Roman" w:hAnsi="Times New Roman"/>
          <w:sz w:val="24"/>
        </w:rPr>
        <w:t>et </w:t>
      </w:r>
      <w:r>
        <w:rPr>
          <w:rFonts w:ascii="Times New Roman" w:hAnsi="Times New Roman"/>
          <w:spacing w:val="-4"/>
          <w:sz w:val="24"/>
        </w:rPr>
        <w:t>al.</w:t>
      </w:r>
      <w:r>
        <w:rPr>
          <w:rFonts w:ascii="Times New Roman" w:hAnsi="Times New Roman"/>
          <w:spacing w:val="25"/>
          <w:sz w:val="24"/>
        </w:rPr>
        <w:t> </w:t>
      </w:r>
      <w:r>
        <w:rPr>
          <w:rFonts w:ascii="Times New Roman" w:hAnsi="Times New Roman"/>
          <w:sz w:val="24"/>
        </w:rPr>
        <w:t>2013).</w:t>
      </w:r>
    </w:p>
    <w:p>
      <w:pPr>
        <w:spacing w:after="0" w:line="357" w:lineRule="auto"/>
        <w:jc w:val="both"/>
        <w:rPr>
          <w:rFonts w:ascii="Times New Roman" w:hAnsi="Times New Roman"/>
          <w:sz w:val="24"/>
        </w:rPr>
        <w:sectPr>
          <w:type w:val="continuous"/>
          <w:pgSz w:w="12240" w:h="15840"/>
          <w:pgMar w:top="3080" w:bottom="2780" w:left="1440" w:right="1460"/>
        </w:sectPr>
      </w:pPr>
    </w:p>
    <w:p>
      <w:pPr>
        <w:pStyle w:val="BodyText"/>
        <w:spacing w:before="2"/>
        <w:rPr>
          <w:rFonts w:ascii="Times New Roman"/>
          <w:sz w:val="15"/>
        </w:rPr>
      </w:pPr>
    </w:p>
    <w:p>
      <w:pPr>
        <w:pStyle w:val="BodyText"/>
        <w:spacing w:line="362" w:lineRule="auto" w:before="69"/>
        <w:ind w:left="259" w:right="234" w:firstLine="341"/>
        <w:jc w:val="both"/>
        <w:rPr>
          <w:rFonts w:ascii="Times New Roman"/>
        </w:rPr>
      </w:pPr>
      <w:r>
        <w:rPr>
          <w:rFonts w:ascii="Times New Roman"/>
        </w:rPr>
        <w:t>Metabolizable energy (ME, MJ/kg DM) and organic matter digestibility (OMD, %) of different parts of safflower seeds were calculated using model of Menke et al. (1979) as follows:</w:t>
      </w:r>
    </w:p>
    <w:p>
      <w:pPr>
        <w:spacing w:after="0" w:line="362" w:lineRule="auto"/>
        <w:jc w:val="both"/>
        <w:rPr>
          <w:rFonts w:ascii="Times New Roman"/>
        </w:rPr>
        <w:sectPr>
          <w:pgSz w:w="12240" w:h="15840"/>
          <w:pgMar w:header="684" w:footer="1164" w:top="1380" w:bottom="1380" w:left="1440" w:right="1460"/>
        </w:sectPr>
      </w:pPr>
    </w:p>
    <w:p>
      <w:pPr>
        <w:spacing w:before="24"/>
        <w:ind w:left="1992" w:right="0" w:firstLine="0"/>
        <w:jc w:val="left"/>
        <w:rPr>
          <w:rFonts w:ascii="Times New Roman" w:hAnsi="Times New Roman"/>
          <w:sz w:val="11"/>
        </w:rPr>
      </w:pPr>
      <w:r>
        <w:rPr>
          <w:rFonts w:ascii="Times New Roman" w:hAnsi="Times New Roman"/>
          <w:spacing w:val="-5"/>
          <w:w w:val="120"/>
          <w:sz w:val="19"/>
        </w:rPr>
        <w:t>ME</w:t>
      </w:r>
      <w:r>
        <w:rPr>
          <w:rFonts w:ascii="Times New Roman" w:hAnsi="Times New Roman"/>
          <w:spacing w:val="-31"/>
          <w:w w:val="120"/>
          <w:sz w:val="19"/>
        </w:rPr>
        <w:t> </w:t>
      </w:r>
      <w:r>
        <w:rPr>
          <w:rFonts w:ascii="Times New Roman" w:hAnsi="Times New Roman"/>
          <w:spacing w:val="-6"/>
          <w:w w:val="120"/>
          <w:sz w:val="19"/>
        </w:rPr>
        <w:t>(MJ/kg</w:t>
      </w:r>
      <w:r>
        <w:rPr>
          <w:rFonts w:ascii="Times New Roman" w:hAnsi="Times New Roman"/>
          <w:spacing w:val="-22"/>
          <w:w w:val="120"/>
          <w:sz w:val="19"/>
        </w:rPr>
        <w:t> </w:t>
      </w:r>
      <w:r>
        <w:rPr>
          <w:rFonts w:ascii="Times New Roman" w:hAnsi="Times New Roman"/>
          <w:spacing w:val="-8"/>
          <w:w w:val="120"/>
          <w:sz w:val="19"/>
        </w:rPr>
        <w:t>DM)</w:t>
      </w:r>
      <w:r>
        <w:rPr>
          <w:rFonts w:ascii="Times New Roman" w:hAnsi="Times New Roman"/>
          <w:spacing w:val="-27"/>
          <w:w w:val="120"/>
          <w:sz w:val="19"/>
        </w:rPr>
        <w:t> </w:t>
      </w:r>
      <w:r>
        <w:rPr>
          <w:rFonts w:ascii="Times New Roman" w:hAnsi="Times New Roman"/>
          <w:w w:val="120"/>
          <w:sz w:val="19"/>
        </w:rPr>
        <w:t>=</w:t>
      </w:r>
      <w:r>
        <w:rPr>
          <w:rFonts w:ascii="Times New Roman" w:hAnsi="Times New Roman"/>
          <w:spacing w:val="-27"/>
          <w:w w:val="120"/>
          <w:sz w:val="19"/>
        </w:rPr>
        <w:t> </w:t>
      </w:r>
      <w:r>
        <w:rPr>
          <w:rFonts w:ascii="Times New Roman" w:hAnsi="Times New Roman"/>
          <w:spacing w:val="-3"/>
          <w:w w:val="120"/>
          <w:sz w:val="19"/>
        </w:rPr>
        <w:t>2.20</w:t>
      </w:r>
      <w:r>
        <w:rPr>
          <w:rFonts w:ascii="Times New Roman" w:hAnsi="Times New Roman"/>
          <w:spacing w:val="-37"/>
          <w:w w:val="120"/>
          <w:sz w:val="19"/>
        </w:rPr>
        <w:t> </w:t>
      </w:r>
      <w:r>
        <w:rPr>
          <w:rFonts w:ascii="Times New Roman" w:hAnsi="Times New Roman"/>
          <w:w w:val="120"/>
          <w:sz w:val="19"/>
        </w:rPr>
        <w:t>+</w:t>
      </w:r>
      <w:r>
        <w:rPr>
          <w:rFonts w:ascii="Times New Roman" w:hAnsi="Times New Roman"/>
          <w:spacing w:val="-33"/>
          <w:w w:val="120"/>
          <w:sz w:val="19"/>
        </w:rPr>
        <w:t> </w:t>
      </w:r>
      <w:r>
        <w:rPr>
          <w:rFonts w:ascii="Times New Roman" w:hAnsi="Times New Roman"/>
          <w:w w:val="120"/>
          <w:sz w:val="19"/>
        </w:rPr>
        <w:t>0.136</w:t>
      </w:r>
      <w:r>
        <w:rPr>
          <w:rFonts w:ascii="Symbol" w:hAnsi="Symbol"/>
          <w:w w:val="120"/>
          <w:sz w:val="19"/>
        </w:rPr>
        <w:t></w:t>
      </w:r>
      <w:r>
        <w:rPr>
          <w:rFonts w:ascii="Times New Roman" w:hAnsi="Times New Roman"/>
          <w:spacing w:val="-37"/>
          <w:w w:val="120"/>
          <w:sz w:val="19"/>
        </w:rPr>
        <w:t> </w:t>
      </w:r>
      <w:r>
        <w:rPr>
          <w:rFonts w:ascii="Times New Roman" w:hAnsi="Times New Roman"/>
          <w:spacing w:val="-7"/>
          <w:w w:val="120"/>
          <w:sz w:val="19"/>
        </w:rPr>
        <w:t>GP</w:t>
      </w:r>
      <w:r>
        <w:rPr>
          <w:rFonts w:ascii="Times New Roman" w:hAnsi="Times New Roman"/>
          <w:spacing w:val="-26"/>
          <w:w w:val="120"/>
          <w:sz w:val="19"/>
        </w:rPr>
        <w:t> </w:t>
      </w:r>
      <w:r>
        <w:rPr>
          <w:rFonts w:ascii="Times New Roman" w:hAnsi="Times New Roman"/>
          <w:w w:val="120"/>
          <w:sz w:val="19"/>
        </w:rPr>
        <w:t>+</w:t>
      </w:r>
      <w:r>
        <w:rPr>
          <w:rFonts w:ascii="Times New Roman" w:hAnsi="Times New Roman"/>
          <w:spacing w:val="-32"/>
          <w:w w:val="120"/>
          <w:sz w:val="19"/>
        </w:rPr>
        <w:t> </w:t>
      </w:r>
      <w:r>
        <w:rPr>
          <w:rFonts w:ascii="Times New Roman" w:hAnsi="Times New Roman"/>
          <w:w w:val="120"/>
          <w:sz w:val="19"/>
        </w:rPr>
        <w:t>0.057</w:t>
      </w:r>
      <w:r>
        <w:rPr>
          <w:rFonts w:ascii="Symbol" w:hAnsi="Symbol"/>
          <w:w w:val="120"/>
          <w:sz w:val="19"/>
        </w:rPr>
        <w:t></w:t>
      </w:r>
      <w:r>
        <w:rPr>
          <w:rFonts w:ascii="Times New Roman" w:hAnsi="Times New Roman"/>
          <w:spacing w:val="-37"/>
          <w:w w:val="120"/>
          <w:sz w:val="19"/>
        </w:rPr>
        <w:t> </w:t>
      </w:r>
      <w:r>
        <w:rPr>
          <w:rFonts w:ascii="Times New Roman" w:hAnsi="Times New Roman"/>
          <w:w w:val="120"/>
          <w:sz w:val="19"/>
        </w:rPr>
        <w:t>CP</w:t>
      </w:r>
      <w:r>
        <w:rPr>
          <w:rFonts w:ascii="Times New Roman" w:hAnsi="Times New Roman"/>
          <w:spacing w:val="-34"/>
          <w:w w:val="120"/>
          <w:sz w:val="19"/>
        </w:rPr>
        <w:t> </w:t>
      </w:r>
      <w:r>
        <w:rPr>
          <w:rFonts w:ascii="Times New Roman" w:hAnsi="Times New Roman"/>
          <w:w w:val="120"/>
          <w:sz w:val="19"/>
        </w:rPr>
        <w:t>+</w:t>
      </w:r>
      <w:r>
        <w:rPr>
          <w:rFonts w:ascii="Times New Roman" w:hAnsi="Times New Roman"/>
          <w:spacing w:val="-33"/>
          <w:w w:val="120"/>
          <w:sz w:val="19"/>
        </w:rPr>
        <w:t> </w:t>
      </w:r>
      <w:r>
        <w:rPr>
          <w:rFonts w:ascii="Times New Roman" w:hAnsi="Times New Roman"/>
          <w:w w:val="120"/>
          <w:sz w:val="19"/>
        </w:rPr>
        <w:t>0.0029</w:t>
      </w:r>
      <w:r>
        <w:rPr>
          <w:rFonts w:ascii="Symbol" w:hAnsi="Symbol"/>
          <w:w w:val="120"/>
          <w:sz w:val="19"/>
        </w:rPr>
        <w:t></w:t>
      </w:r>
      <w:r>
        <w:rPr>
          <w:rFonts w:ascii="Times New Roman" w:hAnsi="Times New Roman"/>
          <w:spacing w:val="-37"/>
          <w:w w:val="120"/>
          <w:sz w:val="19"/>
        </w:rPr>
        <w:t> </w:t>
      </w:r>
      <w:r>
        <w:rPr>
          <w:rFonts w:ascii="Times New Roman" w:hAnsi="Times New Roman"/>
          <w:spacing w:val="-4"/>
          <w:w w:val="120"/>
          <w:sz w:val="19"/>
        </w:rPr>
        <w:t>CF</w:t>
      </w:r>
      <w:r>
        <w:rPr>
          <w:rFonts w:ascii="Times New Roman" w:hAnsi="Times New Roman"/>
          <w:spacing w:val="-4"/>
          <w:w w:val="120"/>
          <w:position w:val="9"/>
          <w:sz w:val="11"/>
        </w:rPr>
        <w:t>2</w:t>
      </w:r>
    </w:p>
    <w:p>
      <w:pPr>
        <w:spacing w:line="274" w:lineRule="exact" w:before="0"/>
        <w:ind w:left="491" w:right="0" w:firstLine="0"/>
        <w:jc w:val="left"/>
        <w:rPr>
          <w:rFonts w:ascii="Symbol" w:hAnsi="Symbol"/>
          <w:sz w:val="26"/>
        </w:rPr>
      </w:pPr>
      <w:r>
        <w:rPr/>
        <w:br w:type="column"/>
      </w:r>
      <w:r>
        <w:rPr>
          <w:rFonts w:ascii="Symbol" w:hAnsi="Symbol"/>
          <w:sz w:val="26"/>
        </w:rPr>
        <w:t></w:t>
      </w:r>
      <w:r>
        <w:rPr>
          <w:rFonts w:ascii="Times New Roman" w:hAnsi="Times New Roman"/>
          <w:sz w:val="19"/>
        </w:rPr>
        <w:t>2</w:t>
      </w:r>
      <w:r>
        <w:rPr>
          <w:rFonts w:ascii="Symbol" w:hAnsi="Symbol"/>
          <w:sz w:val="26"/>
        </w:rPr>
        <w:t></w:t>
      </w:r>
    </w:p>
    <w:p>
      <w:pPr>
        <w:spacing w:after="0" w:line="274" w:lineRule="exact"/>
        <w:jc w:val="left"/>
        <w:rPr>
          <w:rFonts w:ascii="Symbol" w:hAnsi="Symbol"/>
          <w:sz w:val="26"/>
        </w:rPr>
        <w:sectPr>
          <w:type w:val="continuous"/>
          <w:pgSz w:w="12240" w:h="15840"/>
          <w:pgMar w:top="3080" w:bottom="2780" w:left="1440" w:right="1460"/>
          <w:cols w:num="2" w:equalWidth="0">
            <w:col w:w="7341" w:space="40"/>
            <w:col w:w="1959"/>
          </w:cols>
        </w:sectPr>
      </w:pPr>
    </w:p>
    <w:p>
      <w:pPr>
        <w:spacing w:before="114"/>
        <w:ind w:left="1989" w:right="0" w:firstLine="0"/>
        <w:jc w:val="left"/>
        <w:rPr>
          <w:rFonts w:ascii="Times New Roman" w:hAnsi="Times New Roman"/>
          <w:sz w:val="21"/>
        </w:rPr>
      </w:pPr>
      <w:r>
        <w:rPr>
          <w:rFonts w:ascii="Times New Roman" w:hAnsi="Times New Roman"/>
          <w:spacing w:val="-6"/>
          <w:w w:val="110"/>
          <w:sz w:val="21"/>
        </w:rPr>
        <w:t>OMD(%)</w:t>
      </w:r>
      <w:r>
        <w:rPr>
          <w:rFonts w:ascii="Times New Roman" w:hAnsi="Times New Roman"/>
          <w:spacing w:val="-13"/>
          <w:w w:val="110"/>
          <w:sz w:val="21"/>
        </w:rPr>
        <w:t> </w:t>
      </w:r>
      <w:r>
        <w:rPr>
          <w:rFonts w:ascii="Times New Roman" w:hAnsi="Times New Roman"/>
          <w:w w:val="110"/>
          <w:sz w:val="21"/>
        </w:rPr>
        <w:t>=14.88+</w:t>
      </w:r>
      <w:r>
        <w:rPr>
          <w:rFonts w:ascii="Times New Roman" w:hAnsi="Times New Roman"/>
          <w:spacing w:val="-23"/>
          <w:w w:val="110"/>
          <w:sz w:val="21"/>
        </w:rPr>
        <w:t> </w:t>
      </w:r>
      <w:r>
        <w:rPr>
          <w:rFonts w:ascii="Times New Roman" w:hAnsi="Times New Roman"/>
          <w:spacing w:val="-3"/>
          <w:w w:val="110"/>
          <w:sz w:val="21"/>
        </w:rPr>
        <w:t>0.889</w:t>
      </w:r>
      <w:r>
        <w:rPr>
          <w:rFonts w:ascii="Symbol" w:hAnsi="Symbol"/>
          <w:spacing w:val="-3"/>
          <w:w w:val="110"/>
          <w:sz w:val="21"/>
        </w:rPr>
        <w:t></w:t>
      </w:r>
      <w:r>
        <w:rPr>
          <w:rFonts w:ascii="Times New Roman" w:hAnsi="Times New Roman"/>
          <w:spacing w:val="-28"/>
          <w:w w:val="110"/>
          <w:sz w:val="21"/>
        </w:rPr>
        <w:t> </w:t>
      </w:r>
      <w:r>
        <w:rPr>
          <w:rFonts w:ascii="Times New Roman" w:hAnsi="Times New Roman"/>
          <w:spacing w:val="-9"/>
          <w:w w:val="110"/>
          <w:sz w:val="21"/>
        </w:rPr>
        <w:t>GP</w:t>
      </w:r>
      <w:r>
        <w:rPr>
          <w:rFonts w:ascii="Times New Roman" w:hAnsi="Times New Roman"/>
          <w:spacing w:val="-12"/>
          <w:w w:val="110"/>
          <w:sz w:val="21"/>
        </w:rPr>
        <w:t> </w:t>
      </w:r>
      <w:r>
        <w:rPr>
          <w:rFonts w:ascii="Times New Roman" w:hAnsi="Times New Roman"/>
          <w:w w:val="110"/>
          <w:sz w:val="21"/>
        </w:rPr>
        <w:t>+</w:t>
      </w:r>
      <w:r>
        <w:rPr>
          <w:rFonts w:ascii="Times New Roman" w:hAnsi="Times New Roman"/>
          <w:spacing w:val="-23"/>
          <w:w w:val="110"/>
          <w:sz w:val="21"/>
        </w:rPr>
        <w:t> </w:t>
      </w:r>
      <w:r>
        <w:rPr>
          <w:rFonts w:ascii="Times New Roman" w:hAnsi="Times New Roman"/>
          <w:w w:val="110"/>
          <w:sz w:val="21"/>
        </w:rPr>
        <w:t>0.45</w:t>
      </w:r>
      <w:r>
        <w:rPr>
          <w:rFonts w:ascii="Symbol" w:hAnsi="Symbol"/>
          <w:w w:val="110"/>
          <w:sz w:val="21"/>
        </w:rPr>
        <w:t></w:t>
      </w:r>
      <w:r>
        <w:rPr>
          <w:rFonts w:ascii="Times New Roman" w:hAnsi="Times New Roman"/>
          <w:spacing w:val="-28"/>
          <w:w w:val="110"/>
          <w:sz w:val="21"/>
        </w:rPr>
        <w:t> </w:t>
      </w:r>
      <w:r>
        <w:rPr>
          <w:rFonts w:ascii="Times New Roman" w:hAnsi="Times New Roman"/>
          <w:spacing w:val="-3"/>
          <w:w w:val="110"/>
          <w:sz w:val="21"/>
        </w:rPr>
        <w:t>CP</w:t>
      </w:r>
      <w:r>
        <w:rPr>
          <w:rFonts w:ascii="Times New Roman" w:hAnsi="Times New Roman"/>
          <w:spacing w:val="-24"/>
          <w:w w:val="110"/>
          <w:sz w:val="21"/>
        </w:rPr>
        <w:t> </w:t>
      </w:r>
      <w:r>
        <w:rPr>
          <w:rFonts w:ascii="Times New Roman" w:hAnsi="Times New Roman"/>
          <w:w w:val="110"/>
          <w:sz w:val="21"/>
        </w:rPr>
        <w:t>+</w:t>
      </w:r>
      <w:r>
        <w:rPr>
          <w:rFonts w:ascii="Times New Roman" w:hAnsi="Times New Roman"/>
          <w:spacing w:val="-23"/>
          <w:w w:val="110"/>
          <w:sz w:val="21"/>
        </w:rPr>
        <w:t> </w:t>
      </w:r>
      <w:r>
        <w:rPr>
          <w:rFonts w:ascii="Times New Roman" w:hAnsi="Times New Roman"/>
          <w:spacing w:val="-5"/>
          <w:w w:val="110"/>
          <w:sz w:val="21"/>
        </w:rPr>
        <w:t>0.0651</w:t>
      </w:r>
      <w:r>
        <w:rPr>
          <w:rFonts w:ascii="Symbol" w:hAnsi="Symbol"/>
          <w:spacing w:val="-5"/>
          <w:w w:val="110"/>
          <w:sz w:val="21"/>
        </w:rPr>
        <w:t></w:t>
      </w:r>
      <w:r>
        <w:rPr>
          <w:rFonts w:ascii="Times New Roman" w:hAnsi="Times New Roman"/>
          <w:spacing w:val="-5"/>
          <w:w w:val="110"/>
          <w:sz w:val="21"/>
        </w:rPr>
        <w:t>Ash</w:t>
      </w:r>
    </w:p>
    <w:p>
      <w:pPr>
        <w:spacing w:before="44"/>
        <w:ind w:left="480" w:right="0" w:firstLine="0"/>
        <w:jc w:val="left"/>
        <w:rPr>
          <w:rFonts w:ascii="Symbol" w:hAnsi="Symbol"/>
          <w:sz w:val="28"/>
        </w:rPr>
      </w:pPr>
      <w:r>
        <w:rPr/>
        <w:br w:type="column"/>
      </w:r>
      <w:r>
        <w:rPr>
          <w:rFonts w:ascii="Symbol" w:hAnsi="Symbol"/>
          <w:sz w:val="28"/>
        </w:rPr>
        <w:t></w:t>
      </w:r>
      <w:r>
        <w:rPr>
          <w:rFonts w:ascii="Times New Roman" w:hAnsi="Times New Roman"/>
          <w:sz w:val="21"/>
        </w:rPr>
        <w:t>3</w:t>
      </w:r>
      <w:r>
        <w:rPr>
          <w:rFonts w:ascii="Symbol" w:hAnsi="Symbol"/>
          <w:sz w:val="28"/>
        </w:rPr>
        <w:t></w:t>
      </w:r>
    </w:p>
    <w:p>
      <w:pPr>
        <w:spacing w:after="0"/>
        <w:jc w:val="left"/>
        <w:rPr>
          <w:rFonts w:ascii="Symbol" w:hAnsi="Symbol"/>
          <w:sz w:val="28"/>
        </w:rPr>
        <w:sectPr>
          <w:type w:val="continuous"/>
          <w:pgSz w:w="12240" w:h="15840"/>
          <w:pgMar w:top="3080" w:bottom="2780" w:left="1440" w:right="1460"/>
          <w:cols w:num="2" w:equalWidth="0">
            <w:col w:w="6779" w:space="40"/>
            <w:col w:w="2521"/>
          </w:cols>
        </w:sectPr>
      </w:pPr>
    </w:p>
    <w:p>
      <w:pPr>
        <w:pStyle w:val="BodyText"/>
        <w:spacing w:line="360" w:lineRule="auto" w:before="151"/>
        <w:ind w:left="259" w:right="288" w:firstLine="341"/>
        <w:rPr>
          <w:rFonts w:ascii="Times New Roman"/>
        </w:rPr>
      </w:pPr>
      <w:r>
        <w:rPr>
          <w:rFonts w:ascii="Times New Roman"/>
        </w:rPr>
        <w:t>where GP is 24 h net gas production (ml/200 mg); CP is crude protein (%); CF is crude fat (%).</w:t>
      </w:r>
    </w:p>
    <w:p>
      <w:pPr>
        <w:pStyle w:val="BodyText"/>
        <w:spacing w:before="4"/>
        <w:ind w:left="600"/>
        <w:rPr>
          <w:rFonts w:ascii="Times New Roman"/>
        </w:rPr>
      </w:pPr>
      <w:r>
        <w:rPr>
          <w:rFonts w:ascii="Times New Roman"/>
        </w:rPr>
        <w:t>NDF/ ADF, fiber and Non-fiber disappearance were calculated with formula as follows:</w:t>
      </w:r>
    </w:p>
    <w:p>
      <w:pPr>
        <w:tabs>
          <w:tab w:pos="5461" w:val="left" w:leader="none"/>
        </w:tabs>
        <w:spacing w:line="329" w:lineRule="exact" w:before="153"/>
        <w:ind w:left="1979" w:right="0" w:firstLine="0"/>
        <w:jc w:val="left"/>
        <w:rPr>
          <w:rFonts w:ascii="Symbol" w:hAnsi="Symbol"/>
          <w:sz w:val="25"/>
        </w:rPr>
      </w:pPr>
      <w:r>
        <w:rPr/>
        <w:pict>
          <v:line style="position:absolute;mso-position-horizontal-relative:page;mso-position-vertical-relative:paragraph;z-index:-328864" from="246.211975pt,21.545675pt" to="323.284933pt,21.545675pt" stroked="true" strokeweight=".107283pt" strokecolor="#000000">
            <w10:wrap type="none"/>
          </v:line>
        </w:pict>
      </w:r>
      <w:r>
        <w:rPr>
          <w:rFonts w:ascii="Symbol" w:hAnsi="Symbol"/>
          <w:spacing w:val="-11"/>
          <w:w w:val="105"/>
          <w:position w:val="-8"/>
          <w:sz w:val="25"/>
        </w:rPr>
        <w:t></w:t>
      </w:r>
      <w:r>
        <w:rPr>
          <w:rFonts w:ascii="Times New Roman" w:hAnsi="Times New Roman"/>
          <w:spacing w:val="-11"/>
          <w:w w:val="105"/>
          <w:position w:val="-8"/>
          <w:sz w:val="19"/>
        </w:rPr>
        <w:t>IVDMD</w:t>
      </w:r>
      <w:r>
        <w:rPr>
          <w:rFonts w:ascii="Symbol" w:hAnsi="Symbol"/>
          <w:spacing w:val="-11"/>
          <w:w w:val="105"/>
          <w:position w:val="-8"/>
          <w:sz w:val="25"/>
        </w:rPr>
        <w:t></w:t>
      </w:r>
      <w:r>
        <w:rPr>
          <w:rFonts w:ascii="Times New Roman" w:hAnsi="Times New Roman"/>
          <w:spacing w:val="-11"/>
          <w:w w:val="105"/>
          <w:position w:val="-8"/>
          <w:sz w:val="19"/>
        </w:rPr>
        <w:t>(g/kg)  </w:t>
      </w:r>
      <w:r>
        <w:rPr>
          <w:rFonts w:ascii="Times New Roman" w:hAnsi="Times New Roman"/>
          <w:w w:val="105"/>
          <w:position w:val="-8"/>
          <w:sz w:val="19"/>
        </w:rPr>
        <w:t>= </w:t>
      </w:r>
      <w:r>
        <w:rPr>
          <w:rFonts w:ascii="Times New Roman" w:hAnsi="Times New Roman"/>
          <w:spacing w:val="-4"/>
          <w:w w:val="105"/>
          <w:position w:val="5"/>
          <w:sz w:val="19"/>
        </w:rPr>
        <w:t>W.</w:t>
      </w:r>
      <w:r>
        <w:rPr>
          <w:rFonts w:ascii="Symbol" w:hAnsi="Symbol"/>
          <w:spacing w:val="-4"/>
          <w:w w:val="105"/>
          <w:sz w:val="15"/>
        </w:rPr>
        <w:t></w:t>
      </w:r>
      <w:r>
        <w:rPr>
          <w:rFonts w:ascii="Times New Roman" w:hAnsi="Times New Roman"/>
          <w:spacing w:val="-4"/>
          <w:w w:val="105"/>
          <w:sz w:val="11"/>
        </w:rPr>
        <w:t>original</w:t>
      </w:r>
      <w:r>
        <w:rPr>
          <w:rFonts w:ascii="Symbol" w:hAnsi="Symbol"/>
          <w:spacing w:val="-4"/>
          <w:w w:val="105"/>
          <w:sz w:val="15"/>
        </w:rPr>
        <w:t></w:t>
      </w:r>
      <w:r>
        <w:rPr>
          <w:rFonts w:ascii="Times New Roman" w:hAnsi="Times New Roman"/>
          <w:spacing w:val="-4"/>
          <w:w w:val="105"/>
          <w:sz w:val="15"/>
        </w:rPr>
        <w:t> </w:t>
      </w:r>
      <w:r>
        <w:rPr>
          <w:rFonts w:ascii="Times New Roman" w:hAnsi="Times New Roman"/>
          <w:w w:val="105"/>
          <w:position w:val="5"/>
          <w:sz w:val="19"/>
        </w:rPr>
        <w:t>-</w:t>
      </w:r>
      <w:r>
        <w:rPr>
          <w:rFonts w:ascii="Times New Roman" w:hAnsi="Times New Roman"/>
          <w:spacing w:val="-26"/>
          <w:w w:val="105"/>
          <w:position w:val="5"/>
          <w:sz w:val="19"/>
        </w:rPr>
        <w:t> </w:t>
      </w:r>
      <w:r>
        <w:rPr>
          <w:rFonts w:ascii="Times New Roman" w:hAnsi="Times New Roman"/>
          <w:spacing w:val="-5"/>
          <w:w w:val="105"/>
          <w:position w:val="5"/>
          <w:sz w:val="19"/>
        </w:rPr>
        <w:t>W.</w:t>
      </w:r>
      <w:r>
        <w:rPr>
          <w:rFonts w:ascii="Times New Roman" w:hAnsi="Times New Roman"/>
          <w:spacing w:val="-14"/>
          <w:w w:val="105"/>
          <w:position w:val="5"/>
          <w:sz w:val="19"/>
        </w:rPr>
        <w:t> </w:t>
      </w:r>
      <w:r>
        <w:rPr>
          <w:rFonts w:ascii="Symbol" w:hAnsi="Symbol"/>
          <w:w w:val="105"/>
          <w:sz w:val="15"/>
        </w:rPr>
        <w:t></w:t>
      </w:r>
      <w:r>
        <w:rPr>
          <w:rFonts w:ascii="Times New Roman" w:hAnsi="Times New Roman"/>
          <w:w w:val="105"/>
          <w:sz w:val="11"/>
        </w:rPr>
        <w:t>residue</w:t>
      </w:r>
      <w:r>
        <w:rPr>
          <w:rFonts w:ascii="Symbol" w:hAnsi="Symbol"/>
          <w:w w:val="105"/>
          <w:sz w:val="15"/>
        </w:rPr>
        <w:t></w:t>
      </w:r>
      <w:r>
        <w:rPr>
          <w:rFonts w:ascii="Times New Roman" w:hAnsi="Times New Roman"/>
          <w:w w:val="105"/>
          <w:sz w:val="15"/>
        </w:rPr>
        <w:tab/>
      </w:r>
      <w:r>
        <w:rPr>
          <w:rFonts w:ascii="Symbol" w:hAnsi="Symbol"/>
          <w:spacing w:val="-3"/>
          <w:w w:val="105"/>
          <w:position w:val="-8"/>
          <w:sz w:val="25"/>
        </w:rPr>
        <w:t></w:t>
      </w:r>
      <w:r>
        <w:rPr>
          <w:rFonts w:ascii="Times New Roman" w:hAnsi="Times New Roman"/>
          <w:spacing w:val="-3"/>
          <w:w w:val="105"/>
          <w:position w:val="-8"/>
          <w:sz w:val="19"/>
        </w:rPr>
        <w:t>4</w:t>
      </w:r>
      <w:r>
        <w:rPr>
          <w:rFonts w:ascii="Symbol" w:hAnsi="Symbol"/>
          <w:spacing w:val="-3"/>
          <w:w w:val="105"/>
          <w:position w:val="-8"/>
          <w:sz w:val="25"/>
        </w:rPr>
        <w:t></w:t>
      </w:r>
    </w:p>
    <w:p>
      <w:pPr>
        <w:spacing w:line="208" w:lineRule="exact" w:before="0"/>
        <w:ind w:left="3915" w:right="0" w:firstLine="0"/>
        <w:jc w:val="left"/>
        <w:rPr>
          <w:rFonts w:ascii="Times New Roman"/>
          <w:sz w:val="11"/>
        </w:rPr>
      </w:pPr>
      <w:r>
        <w:rPr>
          <w:rFonts w:ascii="Times New Roman"/>
          <w:w w:val="110"/>
          <w:position w:val="5"/>
          <w:sz w:val="19"/>
        </w:rPr>
        <w:t>W. </w:t>
      </w:r>
      <w:r>
        <w:rPr>
          <w:rFonts w:ascii="Times New Roman"/>
          <w:w w:val="110"/>
          <w:sz w:val="11"/>
        </w:rPr>
        <w:t>(original)</w:t>
      </w:r>
    </w:p>
    <w:p>
      <w:pPr>
        <w:spacing w:after="0" w:line="208" w:lineRule="exact"/>
        <w:jc w:val="left"/>
        <w:rPr>
          <w:rFonts w:ascii="Times New Roman"/>
          <w:sz w:val="11"/>
        </w:rPr>
        <w:sectPr>
          <w:type w:val="continuous"/>
          <w:pgSz w:w="12240" w:h="15840"/>
          <w:pgMar w:top="3080" w:bottom="2780" w:left="1440" w:right="1460"/>
        </w:sectPr>
      </w:pPr>
    </w:p>
    <w:p>
      <w:pPr>
        <w:spacing w:line="373" w:lineRule="exact" w:before="105"/>
        <w:ind w:left="1979" w:right="0" w:firstLine="0"/>
        <w:jc w:val="left"/>
        <w:rPr>
          <w:rFonts w:ascii="Times New Roman" w:hAnsi="Times New Roman"/>
          <w:sz w:val="19"/>
        </w:rPr>
      </w:pPr>
      <w:r>
        <w:rPr/>
        <w:pict>
          <v:line style="position:absolute;mso-position-horizontal-relative:page;mso-position-vertical-relative:paragraph;z-index:-328840" from="250.822357pt,23.290115pt" to="410.452176pt,23.290115pt" stroked="true" strokeweight=".107283pt" strokecolor="#000000">
            <w10:wrap type="none"/>
          </v:line>
        </w:pict>
      </w:r>
      <w:r>
        <w:rPr>
          <w:rFonts w:ascii="Symbol" w:hAnsi="Symbol"/>
          <w:spacing w:val="-22"/>
          <w:w w:val="77"/>
          <w:position w:val="-13"/>
          <w:sz w:val="26"/>
        </w:rPr>
        <w:t></w:t>
      </w:r>
      <w:r>
        <w:rPr>
          <w:rFonts w:ascii="Times New Roman" w:hAnsi="Times New Roman"/>
          <w:w w:val="107"/>
          <w:position w:val="-13"/>
          <w:sz w:val="19"/>
        </w:rPr>
        <w:t>N</w:t>
      </w:r>
      <w:r>
        <w:rPr>
          <w:rFonts w:ascii="Times New Roman" w:hAnsi="Times New Roman"/>
          <w:spacing w:val="-12"/>
          <w:w w:val="107"/>
          <w:position w:val="-13"/>
          <w:sz w:val="19"/>
        </w:rPr>
        <w:t>D</w:t>
      </w:r>
      <w:r>
        <w:rPr>
          <w:rFonts w:ascii="Times New Roman" w:hAnsi="Times New Roman"/>
          <w:spacing w:val="-3"/>
          <w:w w:val="107"/>
          <w:position w:val="-13"/>
          <w:sz w:val="19"/>
        </w:rPr>
        <w:t>F</w:t>
      </w:r>
      <w:r>
        <w:rPr>
          <w:rFonts w:ascii="Times New Roman" w:hAnsi="Times New Roman"/>
          <w:w w:val="107"/>
          <w:position w:val="-13"/>
          <w:sz w:val="19"/>
        </w:rPr>
        <w:t>/</w:t>
      </w:r>
      <w:r>
        <w:rPr>
          <w:rFonts w:ascii="Times New Roman" w:hAnsi="Times New Roman"/>
          <w:spacing w:val="-18"/>
          <w:position w:val="-13"/>
          <w:sz w:val="19"/>
        </w:rPr>
        <w:t> </w:t>
      </w:r>
      <w:r>
        <w:rPr>
          <w:rFonts w:ascii="Times New Roman" w:hAnsi="Times New Roman"/>
          <w:spacing w:val="-13"/>
          <w:w w:val="107"/>
          <w:position w:val="-13"/>
          <w:sz w:val="19"/>
        </w:rPr>
        <w:t>A</w:t>
      </w:r>
      <w:r>
        <w:rPr>
          <w:rFonts w:ascii="Times New Roman" w:hAnsi="Times New Roman"/>
          <w:spacing w:val="-12"/>
          <w:w w:val="107"/>
          <w:position w:val="-13"/>
          <w:sz w:val="19"/>
        </w:rPr>
        <w:t>D</w:t>
      </w:r>
      <w:r>
        <w:rPr>
          <w:rFonts w:ascii="Times New Roman" w:hAnsi="Times New Roman"/>
          <w:spacing w:val="-14"/>
          <w:w w:val="107"/>
          <w:position w:val="-13"/>
          <w:sz w:val="19"/>
        </w:rPr>
        <w:t>F</w:t>
      </w:r>
      <w:r>
        <w:rPr>
          <w:rFonts w:ascii="Symbol" w:hAnsi="Symbol"/>
          <w:w w:val="77"/>
          <w:position w:val="-13"/>
          <w:sz w:val="26"/>
        </w:rPr>
        <w:t></w:t>
      </w:r>
      <w:r>
        <w:rPr>
          <w:rFonts w:ascii="Times New Roman" w:hAnsi="Times New Roman"/>
          <w:spacing w:val="24"/>
          <w:position w:val="-13"/>
          <w:sz w:val="26"/>
        </w:rPr>
        <w:t> </w:t>
      </w:r>
      <w:r>
        <w:rPr>
          <w:rFonts w:ascii="Times New Roman" w:hAnsi="Times New Roman"/>
          <w:spacing w:val="-7"/>
          <w:w w:val="107"/>
          <w:position w:val="-13"/>
          <w:sz w:val="19"/>
        </w:rPr>
        <w:t>(</w:t>
      </w:r>
      <w:r>
        <w:rPr>
          <w:rFonts w:ascii="Times New Roman" w:hAnsi="Times New Roman"/>
          <w:spacing w:val="-11"/>
          <w:w w:val="107"/>
          <w:position w:val="-13"/>
          <w:sz w:val="19"/>
        </w:rPr>
        <w:t>%</w:t>
      </w:r>
      <w:r>
        <w:rPr>
          <w:rFonts w:ascii="Times New Roman" w:hAnsi="Times New Roman"/>
          <w:w w:val="107"/>
          <w:position w:val="-13"/>
          <w:sz w:val="19"/>
        </w:rPr>
        <w:t>)</w:t>
      </w:r>
      <w:r>
        <w:rPr>
          <w:rFonts w:ascii="Times New Roman" w:hAnsi="Times New Roman"/>
          <w:spacing w:val="-14"/>
          <w:position w:val="-13"/>
          <w:sz w:val="19"/>
        </w:rPr>
        <w:t> </w:t>
      </w:r>
      <w:r>
        <w:rPr>
          <w:rFonts w:ascii="Times New Roman" w:hAnsi="Times New Roman"/>
          <w:w w:val="107"/>
          <w:position w:val="-13"/>
          <w:sz w:val="19"/>
        </w:rPr>
        <w:t>=</w:t>
      </w:r>
      <w:r>
        <w:rPr>
          <w:rFonts w:ascii="Times New Roman" w:hAnsi="Times New Roman"/>
          <w:spacing w:val="-12"/>
          <w:position w:val="-13"/>
          <w:sz w:val="19"/>
        </w:rPr>
        <w:t> </w:t>
      </w:r>
      <w:r>
        <w:rPr>
          <w:rFonts w:ascii="Times New Roman" w:hAnsi="Times New Roman"/>
          <w:spacing w:val="-11"/>
          <w:w w:val="107"/>
          <w:sz w:val="19"/>
        </w:rPr>
        <w:t>[</w:t>
      </w:r>
      <w:r>
        <w:rPr>
          <w:rFonts w:ascii="Symbol" w:hAnsi="Symbol"/>
          <w:spacing w:val="-22"/>
          <w:w w:val="77"/>
          <w:sz w:val="26"/>
        </w:rPr>
        <w:t></w:t>
      </w:r>
      <w:r>
        <w:rPr>
          <w:rFonts w:ascii="Times New Roman" w:hAnsi="Times New Roman"/>
          <w:w w:val="107"/>
          <w:sz w:val="19"/>
        </w:rPr>
        <w:t>N</w:t>
      </w:r>
      <w:r>
        <w:rPr>
          <w:rFonts w:ascii="Times New Roman" w:hAnsi="Times New Roman"/>
          <w:spacing w:val="-12"/>
          <w:w w:val="107"/>
          <w:sz w:val="19"/>
        </w:rPr>
        <w:t>D</w:t>
      </w:r>
      <w:r>
        <w:rPr>
          <w:rFonts w:ascii="Times New Roman" w:hAnsi="Times New Roman"/>
          <w:spacing w:val="-3"/>
          <w:w w:val="107"/>
          <w:sz w:val="19"/>
        </w:rPr>
        <w:t>F</w:t>
      </w:r>
      <w:r>
        <w:rPr>
          <w:rFonts w:ascii="Times New Roman" w:hAnsi="Times New Roman"/>
          <w:w w:val="107"/>
          <w:sz w:val="19"/>
        </w:rPr>
        <w:t>/</w:t>
      </w:r>
      <w:r>
        <w:rPr>
          <w:rFonts w:ascii="Times New Roman" w:hAnsi="Times New Roman"/>
          <w:spacing w:val="-19"/>
          <w:sz w:val="19"/>
        </w:rPr>
        <w:t> </w:t>
      </w:r>
      <w:r>
        <w:rPr>
          <w:rFonts w:ascii="Times New Roman" w:hAnsi="Times New Roman"/>
          <w:spacing w:val="-13"/>
          <w:w w:val="107"/>
          <w:sz w:val="19"/>
        </w:rPr>
        <w:t>A</w:t>
      </w:r>
      <w:r>
        <w:rPr>
          <w:rFonts w:ascii="Times New Roman" w:hAnsi="Times New Roman"/>
          <w:spacing w:val="-12"/>
          <w:w w:val="107"/>
          <w:sz w:val="19"/>
        </w:rPr>
        <w:t>D</w:t>
      </w:r>
      <w:r>
        <w:rPr>
          <w:rFonts w:ascii="Times New Roman" w:hAnsi="Times New Roman"/>
          <w:spacing w:val="-14"/>
          <w:w w:val="107"/>
          <w:sz w:val="19"/>
        </w:rPr>
        <w:t>F</w:t>
      </w:r>
      <w:r>
        <w:rPr>
          <w:rFonts w:ascii="Symbol" w:hAnsi="Symbol"/>
          <w:spacing w:val="23"/>
          <w:w w:val="77"/>
          <w:sz w:val="26"/>
        </w:rPr>
        <w:t></w:t>
      </w:r>
      <w:r>
        <w:rPr>
          <w:rFonts w:ascii="Times New Roman" w:hAnsi="Times New Roman"/>
          <w:spacing w:val="-3"/>
          <w:w w:val="108"/>
          <w:position w:val="-4"/>
          <w:sz w:val="11"/>
        </w:rPr>
        <w:t>(</w:t>
      </w:r>
      <w:r>
        <w:rPr>
          <w:rFonts w:ascii="Times New Roman" w:hAnsi="Times New Roman"/>
          <w:spacing w:val="1"/>
          <w:w w:val="108"/>
          <w:position w:val="-4"/>
          <w:sz w:val="11"/>
        </w:rPr>
        <w:t>o</w:t>
      </w:r>
      <w:r>
        <w:rPr>
          <w:rFonts w:ascii="Times New Roman" w:hAnsi="Times New Roman"/>
          <w:spacing w:val="-4"/>
          <w:w w:val="108"/>
          <w:position w:val="-4"/>
          <w:sz w:val="11"/>
        </w:rPr>
        <w:t>r</w:t>
      </w:r>
      <w:r>
        <w:rPr>
          <w:rFonts w:ascii="Times New Roman" w:hAnsi="Times New Roman"/>
          <w:spacing w:val="3"/>
          <w:w w:val="108"/>
          <w:position w:val="-4"/>
          <w:sz w:val="11"/>
        </w:rPr>
        <w:t>i</w:t>
      </w:r>
      <w:r>
        <w:rPr>
          <w:rFonts w:ascii="Times New Roman" w:hAnsi="Times New Roman"/>
          <w:spacing w:val="1"/>
          <w:w w:val="108"/>
          <w:position w:val="-4"/>
          <w:sz w:val="11"/>
        </w:rPr>
        <w:t>g</w:t>
      </w:r>
      <w:r>
        <w:rPr>
          <w:rFonts w:ascii="Times New Roman" w:hAnsi="Times New Roman"/>
          <w:spacing w:val="3"/>
          <w:w w:val="108"/>
          <w:position w:val="-4"/>
          <w:sz w:val="11"/>
        </w:rPr>
        <w:t>i</w:t>
      </w:r>
      <w:r>
        <w:rPr>
          <w:rFonts w:ascii="Times New Roman" w:hAnsi="Times New Roman"/>
          <w:spacing w:val="1"/>
          <w:w w:val="108"/>
          <w:position w:val="-4"/>
          <w:sz w:val="11"/>
        </w:rPr>
        <w:t>n</w:t>
      </w:r>
      <w:r>
        <w:rPr>
          <w:rFonts w:ascii="Times New Roman" w:hAnsi="Times New Roman"/>
          <w:spacing w:val="-4"/>
          <w:w w:val="108"/>
          <w:position w:val="-4"/>
          <w:sz w:val="11"/>
        </w:rPr>
        <w:t>a</w:t>
      </w:r>
      <w:r>
        <w:rPr>
          <w:rFonts w:ascii="Times New Roman" w:hAnsi="Times New Roman"/>
          <w:spacing w:val="3"/>
          <w:w w:val="108"/>
          <w:position w:val="-4"/>
          <w:sz w:val="11"/>
        </w:rPr>
        <w:t>l</w:t>
      </w:r>
      <w:r>
        <w:rPr>
          <w:rFonts w:ascii="Times New Roman" w:hAnsi="Times New Roman"/>
          <w:w w:val="108"/>
          <w:position w:val="-4"/>
          <w:sz w:val="11"/>
        </w:rPr>
        <w:t>)</w:t>
      </w:r>
      <w:r>
        <w:rPr>
          <w:rFonts w:ascii="Times New Roman" w:hAnsi="Times New Roman"/>
          <w:spacing w:val="-9"/>
          <w:position w:val="-4"/>
          <w:sz w:val="11"/>
        </w:rPr>
        <w:t> </w:t>
      </w:r>
      <w:r>
        <w:rPr>
          <w:rFonts w:ascii="Times New Roman" w:hAnsi="Times New Roman"/>
          <w:w w:val="107"/>
          <w:sz w:val="19"/>
        </w:rPr>
        <w:t>-</w:t>
      </w:r>
      <w:r>
        <w:rPr>
          <w:rFonts w:ascii="Times New Roman" w:hAnsi="Times New Roman"/>
          <w:spacing w:val="-27"/>
          <w:sz w:val="19"/>
        </w:rPr>
        <w:t> </w:t>
      </w:r>
      <w:r>
        <w:rPr>
          <w:rFonts w:ascii="Symbol" w:hAnsi="Symbol"/>
          <w:spacing w:val="-22"/>
          <w:w w:val="77"/>
          <w:sz w:val="26"/>
        </w:rPr>
        <w:t></w:t>
      </w:r>
      <w:r>
        <w:rPr>
          <w:rFonts w:ascii="Times New Roman" w:hAnsi="Times New Roman"/>
          <w:w w:val="107"/>
          <w:sz w:val="19"/>
        </w:rPr>
        <w:t>N</w:t>
      </w:r>
      <w:r>
        <w:rPr>
          <w:rFonts w:ascii="Times New Roman" w:hAnsi="Times New Roman"/>
          <w:spacing w:val="-12"/>
          <w:w w:val="107"/>
          <w:sz w:val="19"/>
        </w:rPr>
        <w:t>D</w:t>
      </w:r>
      <w:r>
        <w:rPr>
          <w:rFonts w:ascii="Times New Roman" w:hAnsi="Times New Roman"/>
          <w:spacing w:val="-3"/>
          <w:w w:val="107"/>
          <w:sz w:val="19"/>
        </w:rPr>
        <w:t>F</w:t>
      </w:r>
      <w:r>
        <w:rPr>
          <w:rFonts w:ascii="Times New Roman" w:hAnsi="Times New Roman"/>
          <w:w w:val="107"/>
          <w:sz w:val="19"/>
        </w:rPr>
        <w:t>/</w:t>
      </w:r>
      <w:r>
        <w:rPr>
          <w:rFonts w:ascii="Times New Roman" w:hAnsi="Times New Roman"/>
          <w:spacing w:val="-19"/>
          <w:sz w:val="19"/>
        </w:rPr>
        <w:t> </w:t>
      </w:r>
      <w:r>
        <w:rPr>
          <w:rFonts w:ascii="Times New Roman" w:hAnsi="Times New Roman"/>
          <w:spacing w:val="-13"/>
          <w:w w:val="107"/>
          <w:sz w:val="19"/>
        </w:rPr>
        <w:t>A</w:t>
      </w:r>
      <w:r>
        <w:rPr>
          <w:rFonts w:ascii="Times New Roman" w:hAnsi="Times New Roman"/>
          <w:spacing w:val="-12"/>
          <w:w w:val="107"/>
          <w:sz w:val="19"/>
        </w:rPr>
        <w:t>D</w:t>
      </w:r>
      <w:r>
        <w:rPr>
          <w:rFonts w:ascii="Times New Roman" w:hAnsi="Times New Roman"/>
          <w:spacing w:val="-14"/>
          <w:w w:val="107"/>
          <w:sz w:val="19"/>
        </w:rPr>
        <w:t>F</w:t>
      </w:r>
      <w:r>
        <w:rPr>
          <w:rFonts w:ascii="Symbol" w:hAnsi="Symbol"/>
          <w:spacing w:val="22"/>
          <w:w w:val="77"/>
          <w:sz w:val="26"/>
        </w:rPr>
        <w:t></w:t>
      </w:r>
      <w:r>
        <w:rPr>
          <w:rFonts w:ascii="Symbol" w:hAnsi="Symbol"/>
          <w:spacing w:val="2"/>
          <w:w w:val="78"/>
          <w:position w:val="-4"/>
          <w:sz w:val="15"/>
        </w:rPr>
        <w:t></w:t>
      </w:r>
      <w:r>
        <w:rPr>
          <w:rFonts w:ascii="Times New Roman" w:hAnsi="Times New Roman"/>
          <w:spacing w:val="-3"/>
          <w:w w:val="108"/>
          <w:position w:val="-4"/>
          <w:sz w:val="11"/>
        </w:rPr>
        <w:t>r</w:t>
      </w:r>
      <w:r>
        <w:rPr>
          <w:rFonts w:ascii="Times New Roman" w:hAnsi="Times New Roman"/>
          <w:spacing w:val="-4"/>
          <w:w w:val="108"/>
          <w:position w:val="-4"/>
          <w:sz w:val="11"/>
        </w:rPr>
        <w:t>e</w:t>
      </w:r>
      <w:r>
        <w:rPr>
          <w:rFonts w:ascii="Times New Roman" w:hAnsi="Times New Roman"/>
          <w:spacing w:val="2"/>
          <w:w w:val="108"/>
          <w:position w:val="-4"/>
          <w:sz w:val="11"/>
        </w:rPr>
        <w:t>s</w:t>
      </w:r>
      <w:r>
        <w:rPr>
          <w:rFonts w:ascii="Times New Roman" w:hAnsi="Times New Roman"/>
          <w:spacing w:val="3"/>
          <w:w w:val="108"/>
          <w:position w:val="-4"/>
          <w:sz w:val="11"/>
        </w:rPr>
        <w:t>i</w:t>
      </w:r>
      <w:r>
        <w:rPr>
          <w:rFonts w:ascii="Times New Roman" w:hAnsi="Times New Roman"/>
          <w:spacing w:val="1"/>
          <w:w w:val="108"/>
          <w:position w:val="-4"/>
          <w:sz w:val="11"/>
        </w:rPr>
        <w:t>du</w:t>
      </w:r>
      <w:r>
        <w:rPr>
          <w:rFonts w:ascii="Times New Roman" w:hAnsi="Times New Roman"/>
          <w:spacing w:val="-15"/>
          <w:w w:val="108"/>
          <w:position w:val="-4"/>
          <w:sz w:val="11"/>
        </w:rPr>
        <w:t>e</w:t>
      </w:r>
      <w:r>
        <w:rPr>
          <w:rFonts w:ascii="Symbol" w:hAnsi="Symbol"/>
          <w:spacing w:val="-4"/>
          <w:w w:val="78"/>
          <w:position w:val="-4"/>
          <w:sz w:val="15"/>
        </w:rPr>
        <w:t></w:t>
      </w:r>
      <w:r>
        <w:rPr>
          <w:rFonts w:ascii="Times New Roman" w:hAnsi="Times New Roman"/>
          <w:w w:val="107"/>
          <w:sz w:val="19"/>
        </w:rPr>
        <w:t>]</w:t>
      </w:r>
      <w:r>
        <w:rPr>
          <w:rFonts w:ascii="Times New Roman" w:hAnsi="Times New Roman"/>
          <w:spacing w:val="-22"/>
          <w:sz w:val="19"/>
        </w:rPr>
        <w:t> </w:t>
      </w:r>
      <w:r>
        <w:rPr>
          <w:rFonts w:ascii="Times New Roman" w:hAnsi="Times New Roman"/>
          <w:w w:val="107"/>
          <w:position w:val="-13"/>
          <w:sz w:val="19"/>
        </w:rPr>
        <w:t>*</w:t>
      </w:r>
      <w:r>
        <w:rPr>
          <w:rFonts w:ascii="Times New Roman" w:hAnsi="Times New Roman"/>
          <w:spacing w:val="-4"/>
          <w:w w:val="107"/>
          <w:position w:val="-13"/>
          <w:sz w:val="19"/>
        </w:rPr>
        <w:t>10</w:t>
      </w:r>
      <w:r>
        <w:rPr>
          <w:rFonts w:ascii="Times New Roman" w:hAnsi="Times New Roman"/>
          <w:w w:val="107"/>
          <w:position w:val="-13"/>
          <w:sz w:val="19"/>
        </w:rPr>
        <w:t>0</w:t>
      </w:r>
    </w:p>
    <w:p>
      <w:pPr>
        <w:spacing w:line="14" w:lineRule="exact" w:before="0"/>
        <w:ind w:left="4390" w:right="0" w:firstLine="0"/>
        <w:jc w:val="left"/>
        <w:rPr>
          <w:rFonts w:ascii="Times New Roman" w:hAnsi="Times New Roman"/>
          <w:sz w:val="19"/>
        </w:rPr>
      </w:pPr>
      <w:r>
        <w:rPr>
          <w:rFonts w:ascii="Times New Roman" w:hAnsi="Times New Roman"/>
          <w:spacing w:val="-11"/>
          <w:w w:val="107"/>
          <w:sz w:val="19"/>
        </w:rPr>
        <w:t>[</w:t>
      </w:r>
      <w:r>
        <w:rPr>
          <w:rFonts w:ascii="Symbol" w:hAnsi="Symbol"/>
          <w:spacing w:val="-22"/>
          <w:w w:val="77"/>
          <w:sz w:val="26"/>
        </w:rPr>
        <w:t></w:t>
      </w:r>
      <w:r>
        <w:rPr>
          <w:rFonts w:ascii="Times New Roman" w:hAnsi="Times New Roman"/>
          <w:w w:val="107"/>
          <w:sz w:val="19"/>
        </w:rPr>
        <w:t>N</w:t>
      </w:r>
      <w:r>
        <w:rPr>
          <w:rFonts w:ascii="Times New Roman" w:hAnsi="Times New Roman"/>
          <w:spacing w:val="-12"/>
          <w:w w:val="107"/>
          <w:sz w:val="19"/>
        </w:rPr>
        <w:t>D</w:t>
      </w:r>
      <w:r>
        <w:rPr>
          <w:rFonts w:ascii="Times New Roman" w:hAnsi="Times New Roman"/>
          <w:spacing w:val="-3"/>
          <w:w w:val="107"/>
          <w:sz w:val="19"/>
        </w:rPr>
        <w:t>F</w:t>
      </w:r>
      <w:r>
        <w:rPr>
          <w:rFonts w:ascii="Times New Roman" w:hAnsi="Times New Roman"/>
          <w:w w:val="107"/>
          <w:sz w:val="19"/>
        </w:rPr>
        <w:t>/</w:t>
      </w:r>
      <w:r>
        <w:rPr>
          <w:rFonts w:ascii="Times New Roman" w:hAnsi="Times New Roman"/>
          <w:spacing w:val="-19"/>
          <w:sz w:val="19"/>
        </w:rPr>
        <w:t> </w:t>
      </w:r>
      <w:r>
        <w:rPr>
          <w:rFonts w:ascii="Times New Roman" w:hAnsi="Times New Roman"/>
          <w:spacing w:val="-13"/>
          <w:w w:val="107"/>
          <w:sz w:val="19"/>
        </w:rPr>
        <w:t>A</w:t>
      </w:r>
      <w:r>
        <w:rPr>
          <w:rFonts w:ascii="Times New Roman" w:hAnsi="Times New Roman"/>
          <w:spacing w:val="-12"/>
          <w:w w:val="107"/>
          <w:sz w:val="19"/>
        </w:rPr>
        <w:t>D</w:t>
      </w:r>
      <w:r>
        <w:rPr>
          <w:rFonts w:ascii="Times New Roman" w:hAnsi="Times New Roman"/>
          <w:spacing w:val="-14"/>
          <w:w w:val="107"/>
          <w:sz w:val="19"/>
        </w:rPr>
        <w:t>F</w:t>
      </w:r>
      <w:r>
        <w:rPr>
          <w:rFonts w:ascii="Symbol" w:hAnsi="Symbol"/>
          <w:spacing w:val="23"/>
          <w:w w:val="77"/>
          <w:sz w:val="26"/>
        </w:rPr>
        <w:t></w:t>
      </w:r>
      <w:r>
        <w:rPr>
          <w:rFonts w:ascii="Times New Roman" w:hAnsi="Times New Roman"/>
          <w:spacing w:val="-3"/>
          <w:w w:val="108"/>
          <w:position w:val="-4"/>
          <w:sz w:val="11"/>
        </w:rPr>
        <w:t>(</w:t>
      </w:r>
      <w:r>
        <w:rPr>
          <w:rFonts w:ascii="Times New Roman" w:hAnsi="Times New Roman"/>
          <w:spacing w:val="1"/>
          <w:w w:val="108"/>
          <w:position w:val="-4"/>
          <w:sz w:val="11"/>
        </w:rPr>
        <w:t>o</w:t>
      </w:r>
      <w:r>
        <w:rPr>
          <w:rFonts w:ascii="Times New Roman" w:hAnsi="Times New Roman"/>
          <w:spacing w:val="-4"/>
          <w:w w:val="108"/>
          <w:position w:val="-4"/>
          <w:sz w:val="11"/>
        </w:rPr>
        <w:t>r</w:t>
      </w:r>
      <w:r>
        <w:rPr>
          <w:rFonts w:ascii="Times New Roman" w:hAnsi="Times New Roman"/>
          <w:spacing w:val="3"/>
          <w:w w:val="108"/>
          <w:position w:val="-4"/>
          <w:sz w:val="11"/>
        </w:rPr>
        <w:t>i</w:t>
      </w:r>
      <w:r>
        <w:rPr>
          <w:rFonts w:ascii="Times New Roman" w:hAnsi="Times New Roman"/>
          <w:spacing w:val="1"/>
          <w:w w:val="108"/>
          <w:position w:val="-4"/>
          <w:sz w:val="11"/>
        </w:rPr>
        <w:t>g</w:t>
      </w:r>
      <w:r>
        <w:rPr>
          <w:rFonts w:ascii="Times New Roman" w:hAnsi="Times New Roman"/>
          <w:spacing w:val="3"/>
          <w:w w:val="108"/>
          <w:position w:val="-4"/>
          <w:sz w:val="11"/>
        </w:rPr>
        <w:t>i</w:t>
      </w:r>
      <w:r>
        <w:rPr>
          <w:rFonts w:ascii="Times New Roman" w:hAnsi="Times New Roman"/>
          <w:spacing w:val="1"/>
          <w:w w:val="108"/>
          <w:position w:val="-4"/>
          <w:sz w:val="11"/>
        </w:rPr>
        <w:t>n</w:t>
      </w:r>
      <w:r>
        <w:rPr>
          <w:rFonts w:ascii="Times New Roman" w:hAnsi="Times New Roman"/>
          <w:spacing w:val="-4"/>
          <w:w w:val="108"/>
          <w:position w:val="-4"/>
          <w:sz w:val="11"/>
        </w:rPr>
        <w:t>a</w:t>
      </w:r>
      <w:r>
        <w:rPr>
          <w:rFonts w:ascii="Times New Roman" w:hAnsi="Times New Roman"/>
          <w:spacing w:val="3"/>
          <w:w w:val="108"/>
          <w:position w:val="-4"/>
          <w:sz w:val="11"/>
        </w:rPr>
        <w:t>l</w:t>
      </w:r>
      <w:r>
        <w:rPr>
          <w:rFonts w:ascii="Times New Roman" w:hAnsi="Times New Roman"/>
          <w:spacing w:val="-30"/>
          <w:w w:val="108"/>
          <w:position w:val="-4"/>
          <w:sz w:val="11"/>
        </w:rPr>
        <w:t>)</w:t>
      </w:r>
      <w:r>
        <w:rPr>
          <w:rFonts w:ascii="Times New Roman" w:hAnsi="Times New Roman"/>
          <w:w w:val="107"/>
          <w:sz w:val="19"/>
        </w:rPr>
        <w:t>]</w:t>
      </w:r>
    </w:p>
    <w:p>
      <w:pPr>
        <w:pStyle w:val="BodyText"/>
        <w:spacing w:before="4"/>
        <w:rPr>
          <w:rFonts w:ascii="Times New Roman"/>
          <w:sz w:val="21"/>
        </w:rPr>
      </w:pPr>
      <w:r>
        <w:rPr/>
        <w:br w:type="column"/>
      </w:r>
      <w:r>
        <w:rPr>
          <w:rFonts w:ascii="Times New Roman"/>
          <w:sz w:val="21"/>
        </w:rPr>
      </w:r>
    </w:p>
    <w:p>
      <w:pPr>
        <w:spacing w:line="218" w:lineRule="exact" w:before="0"/>
        <w:ind w:left="379" w:right="0" w:firstLine="0"/>
        <w:jc w:val="left"/>
        <w:rPr>
          <w:rFonts w:ascii="Symbol" w:hAnsi="Symbol"/>
          <w:sz w:val="26"/>
        </w:rPr>
      </w:pPr>
      <w:r>
        <w:rPr>
          <w:rFonts w:ascii="Symbol" w:hAnsi="Symbol"/>
          <w:sz w:val="26"/>
        </w:rPr>
        <w:t></w:t>
      </w:r>
      <w:r>
        <w:rPr>
          <w:rFonts w:ascii="Times New Roman" w:hAnsi="Times New Roman"/>
          <w:sz w:val="19"/>
        </w:rPr>
        <w:t>5</w:t>
      </w:r>
      <w:r>
        <w:rPr>
          <w:rFonts w:ascii="Symbol" w:hAnsi="Symbol"/>
          <w:sz w:val="26"/>
        </w:rPr>
        <w:t></w:t>
      </w:r>
    </w:p>
    <w:p>
      <w:pPr>
        <w:spacing w:after="0" w:line="218" w:lineRule="exact"/>
        <w:jc w:val="left"/>
        <w:rPr>
          <w:rFonts w:ascii="Symbol" w:hAnsi="Symbol"/>
          <w:sz w:val="26"/>
        </w:rPr>
        <w:sectPr>
          <w:type w:val="continuous"/>
          <w:pgSz w:w="12240" w:h="15840"/>
          <w:pgMar w:top="3080" w:bottom="2780" w:left="1440" w:right="1460"/>
          <w:cols w:num="2" w:equalWidth="0">
            <w:col w:w="7196" w:space="40"/>
            <w:col w:w="2104"/>
          </w:cols>
        </w:sectPr>
      </w:pPr>
    </w:p>
    <w:p>
      <w:pPr>
        <w:spacing w:line="101" w:lineRule="exact" w:before="0"/>
        <w:ind w:left="2978" w:right="0" w:firstLine="0"/>
        <w:jc w:val="left"/>
        <w:rPr>
          <w:rFonts w:ascii="Times New Roman"/>
          <w:sz w:val="11"/>
        </w:rPr>
      </w:pPr>
      <w:r>
        <w:rPr>
          <w:rFonts w:ascii="Times New Roman"/>
          <w:w w:val="108"/>
          <w:sz w:val="11"/>
        </w:rPr>
        <w:t>d</w:t>
      </w:r>
    </w:p>
    <w:p>
      <w:pPr>
        <w:pStyle w:val="BodyText"/>
        <w:spacing w:before="5"/>
        <w:rPr>
          <w:rFonts w:ascii="Times New Roman"/>
          <w:sz w:val="8"/>
        </w:rPr>
      </w:pPr>
    </w:p>
    <w:p>
      <w:pPr>
        <w:tabs>
          <w:tab w:pos="6891" w:val="left" w:leader="none"/>
        </w:tabs>
        <w:spacing w:before="0"/>
        <w:ind w:left="1992" w:right="0" w:firstLine="0"/>
        <w:jc w:val="left"/>
        <w:rPr>
          <w:rFonts w:ascii="Symbol" w:hAnsi="Symbol"/>
          <w:sz w:val="25"/>
        </w:rPr>
      </w:pPr>
      <w:r>
        <w:rPr>
          <w:rFonts w:ascii="Times New Roman" w:hAnsi="Times New Roman"/>
          <w:spacing w:val="-11"/>
          <w:w w:val="115"/>
          <w:position w:val="5"/>
          <w:sz w:val="19"/>
        </w:rPr>
        <w:t>Fiber</w:t>
      </w:r>
      <w:r>
        <w:rPr>
          <w:rFonts w:ascii="Times New Roman" w:hAnsi="Times New Roman"/>
          <w:spacing w:val="-11"/>
          <w:w w:val="115"/>
          <w:sz w:val="11"/>
        </w:rPr>
        <w:t>d   </w:t>
      </w:r>
      <w:r>
        <w:rPr>
          <w:rFonts w:ascii="Symbol" w:hAnsi="Symbol"/>
          <w:spacing w:val="-7"/>
          <w:w w:val="115"/>
          <w:position w:val="5"/>
          <w:sz w:val="25"/>
        </w:rPr>
        <w:t></w:t>
      </w:r>
      <w:r>
        <w:rPr>
          <w:rFonts w:ascii="Times New Roman" w:hAnsi="Times New Roman"/>
          <w:spacing w:val="-7"/>
          <w:w w:val="115"/>
          <w:position w:val="5"/>
          <w:sz w:val="19"/>
        </w:rPr>
        <w:t>g/kg</w:t>
      </w:r>
      <w:r>
        <w:rPr>
          <w:rFonts w:ascii="Symbol" w:hAnsi="Symbol"/>
          <w:spacing w:val="-7"/>
          <w:w w:val="115"/>
          <w:position w:val="5"/>
          <w:sz w:val="25"/>
        </w:rPr>
        <w:t></w:t>
      </w:r>
      <w:r>
        <w:rPr>
          <w:rFonts w:ascii="Times New Roman" w:hAnsi="Times New Roman"/>
          <w:spacing w:val="-7"/>
          <w:w w:val="115"/>
          <w:position w:val="5"/>
          <w:sz w:val="25"/>
        </w:rPr>
        <w:t> </w:t>
      </w:r>
      <w:r>
        <w:rPr>
          <w:rFonts w:ascii="Symbol" w:hAnsi="Symbol"/>
          <w:w w:val="115"/>
          <w:position w:val="5"/>
          <w:sz w:val="19"/>
        </w:rPr>
        <w:t></w:t>
      </w:r>
      <w:r>
        <w:rPr>
          <w:rFonts w:ascii="Times New Roman" w:hAnsi="Times New Roman"/>
          <w:w w:val="115"/>
          <w:position w:val="5"/>
          <w:sz w:val="19"/>
        </w:rPr>
        <w:t> </w:t>
      </w:r>
      <w:r>
        <w:rPr>
          <w:rFonts w:ascii="Symbol" w:hAnsi="Symbol"/>
          <w:spacing w:val="-9"/>
          <w:w w:val="115"/>
          <w:position w:val="5"/>
          <w:sz w:val="26"/>
        </w:rPr>
        <w:t></w:t>
      </w:r>
      <w:r>
        <w:rPr>
          <w:rFonts w:ascii="Times New Roman" w:hAnsi="Times New Roman"/>
          <w:i/>
          <w:spacing w:val="-9"/>
          <w:w w:val="115"/>
          <w:position w:val="5"/>
          <w:sz w:val="19"/>
        </w:rPr>
        <w:t>NDF </w:t>
      </w:r>
      <w:r>
        <w:rPr>
          <w:rFonts w:ascii="Symbol" w:hAnsi="Symbol"/>
          <w:w w:val="115"/>
          <w:position w:val="5"/>
          <w:sz w:val="19"/>
        </w:rPr>
        <w:t></w:t>
      </w:r>
      <w:r>
        <w:rPr>
          <w:rFonts w:ascii="Times New Roman" w:hAnsi="Times New Roman"/>
          <w:w w:val="115"/>
          <w:position w:val="5"/>
          <w:sz w:val="19"/>
        </w:rPr>
        <w:t> </w:t>
      </w:r>
      <w:r>
        <w:rPr>
          <w:rFonts w:ascii="Times New Roman" w:hAnsi="Times New Roman"/>
          <w:i/>
          <w:spacing w:val="-6"/>
          <w:w w:val="115"/>
          <w:position w:val="5"/>
          <w:sz w:val="19"/>
        </w:rPr>
        <w:t>ADF</w:t>
      </w:r>
      <w:r>
        <w:rPr>
          <w:rFonts w:ascii="Symbol" w:hAnsi="Symbol"/>
          <w:spacing w:val="-6"/>
          <w:w w:val="115"/>
          <w:position w:val="5"/>
          <w:sz w:val="26"/>
        </w:rPr>
        <w:t></w:t>
      </w:r>
      <w:r>
        <w:rPr>
          <w:rFonts w:ascii="Times New Roman" w:hAnsi="Times New Roman"/>
          <w:spacing w:val="-62"/>
          <w:w w:val="115"/>
          <w:position w:val="5"/>
          <w:sz w:val="26"/>
        </w:rPr>
        <w:t> </w:t>
      </w:r>
      <w:r>
        <w:rPr>
          <w:rFonts w:ascii="Symbol" w:hAnsi="Symbol"/>
          <w:spacing w:val="-6"/>
          <w:w w:val="115"/>
          <w:sz w:val="14"/>
        </w:rPr>
        <w:t></w:t>
      </w:r>
      <w:r>
        <w:rPr>
          <w:rFonts w:ascii="Times New Roman" w:hAnsi="Times New Roman"/>
          <w:spacing w:val="-6"/>
          <w:w w:val="115"/>
          <w:sz w:val="11"/>
        </w:rPr>
        <w:t>difference</w:t>
      </w:r>
      <w:r>
        <w:rPr>
          <w:rFonts w:ascii="Times New Roman" w:hAnsi="Times New Roman"/>
          <w:spacing w:val="2"/>
          <w:w w:val="115"/>
          <w:sz w:val="11"/>
        </w:rPr>
        <w:t> </w:t>
      </w:r>
      <w:r>
        <w:rPr>
          <w:rFonts w:ascii="Times New Roman" w:hAnsi="Times New Roman"/>
          <w:spacing w:val="-3"/>
          <w:w w:val="115"/>
          <w:sz w:val="11"/>
        </w:rPr>
        <w:t>betweenoriginalandresidue</w:t>
      </w:r>
      <w:r>
        <w:rPr>
          <w:rFonts w:ascii="Symbol" w:hAnsi="Symbol"/>
          <w:spacing w:val="-3"/>
          <w:w w:val="115"/>
          <w:sz w:val="14"/>
        </w:rPr>
        <w:t></w:t>
      </w:r>
      <w:r>
        <w:rPr>
          <w:rFonts w:ascii="Times New Roman" w:hAnsi="Times New Roman"/>
          <w:spacing w:val="-3"/>
          <w:w w:val="115"/>
          <w:sz w:val="14"/>
        </w:rPr>
        <w:tab/>
      </w:r>
      <w:r>
        <w:rPr>
          <w:rFonts w:ascii="Symbol" w:hAnsi="Symbol"/>
          <w:spacing w:val="-7"/>
          <w:w w:val="115"/>
          <w:position w:val="5"/>
          <w:sz w:val="25"/>
        </w:rPr>
        <w:t></w:t>
      </w:r>
      <w:r>
        <w:rPr>
          <w:rFonts w:ascii="Times New Roman" w:hAnsi="Times New Roman"/>
          <w:spacing w:val="-7"/>
          <w:w w:val="115"/>
          <w:position w:val="5"/>
          <w:sz w:val="19"/>
        </w:rPr>
        <w:t>6</w:t>
      </w:r>
      <w:r>
        <w:rPr>
          <w:rFonts w:ascii="Symbol" w:hAnsi="Symbol"/>
          <w:spacing w:val="-7"/>
          <w:w w:val="115"/>
          <w:position w:val="5"/>
          <w:sz w:val="25"/>
        </w:rPr>
        <w:t></w:t>
      </w:r>
    </w:p>
    <w:p>
      <w:pPr>
        <w:tabs>
          <w:tab w:pos="8470" w:val="left" w:leader="none"/>
        </w:tabs>
        <w:spacing w:before="85"/>
        <w:ind w:left="1998" w:right="0" w:firstLine="0"/>
        <w:jc w:val="left"/>
        <w:rPr>
          <w:rFonts w:ascii="Symbol" w:hAnsi="Symbol"/>
          <w:sz w:val="25"/>
        </w:rPr>
      </w:pPr>
      <w:r>
        <w:rPr>
          <w:rFonts w:ascii="Times New Roman" w:hAnsi="Times New Roman"/>
          <w:w w:val="115"/>
          <w:position w:val="5"/>
          <w:sz w:val="19"/>
        </w:rPr>
        <w:t>Non- </w:t>
      </w:r>
      <w:r>
        <w:rPr>
          <w:rFonts w:ascii="Times New Roman" w:hAnsi="Times New Roman"/>
          <w:spacing w:val="-10"/>
          <w:w w:val="115"/>
          <w:position w:val="5"/>
          <w:sz w:val="19"/>
        </w:rPr>
        <w:t>fiber</w:t>
      </w:r>
      <w:r>
        <w:rPr>
          <w:rFonts w:ascii="Times New Roman" w:hAnsi="Times New Roman"/>
          <w:spacing w:val="-10"/>
          <w:w w:val="115"/>
          <w:sz w:val="11"/>
        </w:rPr>
        <w:t>d    </w:t>
      </w:r>
      <w:r>
        <w:rPr>
          <w:rFonts w:ascii="Symbol" w:hAnsi="Symbol"/>
          <w:spacing w:val="-8"/>
          <w:w w:val="115"/>
          <w:position w:val="5"/>
          <w:sz w:val="25"/>
        </w:rPr>
        <w:t></w:t>
      </w:r>
      <w:r>
        <w:rPr>
          <w:rFonts w:ascii="Times New Roman" w:hAnsi="Times New Roman"/>
          <w:spacing w:val="-8"/>
          <w:w w:val="115"/>
          <w:position w:val="5"/>
          <w:sz w:val="19"/>
        </w:rPr>
        <w:t>g/kg</w:t>
      </w:r>
      <w:r>
        <w:rPr>
          <w:rFonts w:ascii="Symbol" w:hAnsi="Symbol"/>
          <w:spacing w:val="-8"/>
          <w:w w:val="115"/>
          <w:position w:val="5"/>
          <w:sz w:val="25"/>
        </w:rPr>
        <w:t></w:t>
      </w:r>
      <w:r>
        <w:rPr>
          <w:rFonts w:ascii="Times New Roman" w:hAnsi="Times New Roman"/>
          <w:spacing w:val="-8"/>
          <w:w w:val="115"/>
          <w:position w:val="5"/>
          <w:sz w:val="25"/>
        </w:rPr>
        <w:t> </w:t>
      </w:r>
      <w:r>
        <w:rPr>
          <w:rFonts w:ascii="Symbol" w:hAnsi="Symbol"/>
          <w:w w:val="115"/>
          <w:position w:val="5"/>
          <w:sz w:val="19"/>
        </w:rPr>
        <w:t></w:t>
      </w:r>
      <w:r>
        <w:rPr>
          <w:rFonts w:ascii="Times New Roman" w:hAnsi="Times New Roman"/>
          <w:w w:val="115"/>
          <w:position w:val="5"/>
          <w:sz w:val="19"/>
        </w:rPr>
        <w:t> </w:t>
      </w:r>
      <w:r>
        <w:rPr>
          <w:rFonts w:ascii="Symbol" w:hAnsi="Symbol"/>
          <w:spacing w:val="-12"/>
          <w:w w:val="115"/>
          <w:position w:val="5"/>
          <w:sz w:val="26"/>
        </w:rPr>
        <w:t></w:t>
      </w:r>
      <w:r>
        <w:rPr>
          <w:rFonts w:ascii="Times New Roman" w:hAnsi="Times New Roman"/>
          <w:i/>
          <w:spacing w:val="-12"/>
          <w:w w:val="115"/>
          <w:position w:val="5"/>
          <w:sz w:val="19"/>
        </w:rPr>
        <w:t>IVDMD </w:t>
      </w:r>
      <w:r>
        <w:rPr>
          <w:rFonts w:ascii="Symbol" w:hAnsi="Symbol"/>
          <w:w w:val="115"/>
          <w:position w:val="5"/>
          <w:sz w:val="19"/>
        </w:rPr>
        <w:t></w:t>
      </w:r>
      <w:r>
        <w:rPr>
          <w:rFonts w:ascii="Symbol" w:hAnsi="Symbol"/>
          <w:w w:val="115"/>
          <w:position w:val="5"/>
          <w:sz w:val="25"/>
        </w:rPr>
        <w:t></w:t>
      </w:r>
      <w:r>
        <w:rPr>
          <w:rFonts w:ascii="Times New Roman" w:hAnsi="Times New Roman"/>
          <w:i/>
          <w:w w:val="115"/>
          <w:position w:val="5"/>
          <w:sz w:val="19"/>
        </w:rPr>
        <w:t>NDF </w:t>
      </w:r>
      <w:r>
        <w:rPr>
          <w:rFonts w:ascii="Symbol" w:hAnsi="Symbol"/>
          <w:w w:val="115"/>
          <w:position w:val="5"/>
          <w:sz w:val="19"/>
        </w:rPr>
        <w:t></w:t>
      </w:r>
      <w:r>
        <w:rPr>
          <w:rFonts w:ascii="Times New Roman" w:hAnsi="Times New Roman"/>
          <w:w w:val="115"/>
          <w:position w:val="5"/>
          <w:sz w:val="19"/>
        </w:rPr>
        <w:t> </w:t>
      </w:r>
      <w:r>
        <w:rPr>
          <w:rFonts w:ascii="Times New Roman" w:hAnsi="Times New Roman"/>
          <w:i/>
          <w:spacing w:val="-8"/>
          <w:w w:val="115"/>
          <w:position w:val="5"/>
          <w:sz w:val="19"/>
        </w:rPr>
        <w:t>ADF</w:t>
      </w:r>
      <w:r>
        <w:rPr>
          <w:rFonts w:ascii="Symbol" w:hAnsi="Symbol"/>
          <w:spacing w:val="-8"/>
          <w:w w:val="115"/>
          <w:position w:val="5"/>
          <w:sz w:val="25"/>
        </w:rPr>
        <w:t></w:t>
      </w:r>
      <w:r>
        <w:rPr>
          <w:rFonts w:ascii="Symbol" w:hAnsi="Symbol"/>
          <w:spacing w:val="-8"/>
          <w:w w:val="115"/>
          <w:position w:val="5"/>
          <w:sz w:val="26"/>
        </w:rPr>
        <w:t></w:t>
      </w:r>
      <w:r>
        <w:rPr>
          <w:rFonts w:ascii="Times New Roman" w:hAnsi="Times New Roman"/>
          <w:spacing w:val="-25"/>
          <w:w w:val="115"/>
          <w:position w:val="5"/>
          <w:sz w:val="26"/>
        </w:rPr>
        <w:t> </w:t>
      </w:r>
      <w:r>
        <w:rPr>
          <w:rFonts w:ascii="Symbol" w:hAnsi="Symbol"/>
          <w:spacing w:val="-6"/>
          <w:w w:val="115"/>
          <w:sz w:val="14"/>
        </w:rPr>
        <w:t></w:t>
      </w:r>
      <w:r>
        <w:rPr>
          <w:rFonts w:ascii="Times New Roman" w:hAnsi="Times New Roman"/>
          <w:spacing w:val="-6"/>
          <w:w w:val="115"/>
          <w:sz w:val="11"/>
        </w:rPr>
        <w:t>difference</w:t>
      </w:r>
      <w:r>
        <w:rPr>
          <w:rFonts w:ascii="Times New Roman" w:hAnsi="Times New Roman"/>
          <w:spacing w:val="3"/>
          <w:w w:val="115"/>
          <w:sz w:val="11"/>
        </w:rPr>
        <w:t> </w:t>
      </w:r>
      <w:r>
        <w:rPr>
          <w:rFonts w:ascii="Times New Roman" w:hAnsi="Times New Roman"/>
          <w:spacing w:val="-4"/>
          <w:w w:val="115"/>
          <w:sz w:val="11"/>
        </w:rPr>
        <w:t>betweenoriginalandresidue</w:t>
      </w:r>
      <w:r>
        <w:rPr>
          <w:rFonts w:ascii="Symbol" w:hAnsi="Symbol"/>
          <w:spacing w:val="-4"/>
          <w:w w:val="115"/>
          <w:sz w:val="14"/>
        </w:rPr>
        <w:t></w:t>
      </w:r>
      <w:r>
        <w:rPr>
          <w:rFonts w:ascii="Times New Roman" w:hAnsi="Times New Roman"/>
          <w:spacing w:val="-4"/>
          <w:w w:val="115"/>
          <w:sz w:val="14"/>
        </w:rPr>
        <w:tab/>
      </w:r>
      <w:r>
        <w:rPr>
          <w:rFonts w:ascii="Symbol" w:hAnsi="Symbol"/>
          <w:spacing w:val="-6"/>
          <w:w w:val="115"/>
          <w:position w:val="5"/>
          <w:sz w:val="25"/>
        </w:rPr>
        <w:t></w:t>
      </w:r>
      <w:r>
        <w:rPr>
          <w:rFonts w:ascii="Times New Roman" w:hAnsi="Times New Roman"/>
          <w:spacing w:val="-6"/>
          <w:w w:val="115"/>
          <w:position w:val="5"/>
          <w:sz w:val="19"/>
        </w:rPr>
        <w:t>7</w:t>
      </w:r>
      <w:r>
        <w:rPr>
          <w:rFonts w:ascii="Symbol" w:hAnsi="Symbol"/>
          <w:spacing w:val="-6"/>
          <w:w w:val="115"/>
          <w:position w:val="5"/>
          <w:sz w:val="25"/>
        </w:rPr>
        <w:t></w:t>
      </w:r>
    </w:p>
    <w:p>
      <w:pPr>
        <w:pStyle w:val="BodyText"/>
        <w:spacing w:line="360" w:lineRule="auto" w:before="156"/>
        <w:ind w:left="259" w:right="241" w:firstLine="341"/>
        <w:jc w:val="both"/>
        <w:rPr>
          <w:rFonts w:ascii="Times New Roman"/>
        </w:rPr>
      </w:pPr>
      <w:r>
        <w:rPr>
          <w:rFonts w:ascii="Times New Roman"/>
        </w:rPr>
        <w:t>Statistical analyses were performed using the one-way ANOVA procedure of SPSS and means were compared with least squares means. The significant difference between different parts of safflower seed on gas production parameters, and NDF/ ADF and fiber digestibility were marked as lowercase letters in the corresponding Tables if there were significance differences. Least squares means were reported throughout the text, and treatment effects were declared significance if </w:t>
      </w:r>
      <w:r>
        <w:rPr>
          <w:rFonts w:ascii="Times New Roman"/>
          <w:i/>
        </w:rPr>
        <w:t>P&lt; 0.05</w:t>
      </w:r>
      <w:r>
        <w:rPr>
          <w:rFonts w:ascii="Times New Roman"/>
        </w:rPr>
        <w:t>.</w:t>
      </w:r>
    </w:p>
    <w:p>
      <w:pPr>
        <w:pStyle w:val="BodyText"/>
        <w:spacing w:before="4"/>
        <w:rPr>
          <w:rFonts w:ascii="Times New Roman"/>
          <w:sz w:val="25"/>
        </w:rPr>
      </w:pPr>
    </w:p>
    <w:p>
      <w:pPr>
        <w:pStyle w:val="ListParagraph"/>
        <w:numPr>
          <w:ilvl w:val="1"/>
          <w:numId w:val="16"/>
        </w:numPr>
        <w:tabs>
          <w:tab w:pos="504" w:val="left" w:leader="none"/>
        </w:tabs>
        <w:spacing w:line="240" w:lineRule="auto" w:before="0" w:after="0"/>
        <w:ind w:left="504" w:right="0" w:hanging="245"/>
        <w:jc w:val="both"/>
        <w:rPr>
          <w:rFonts w:ascii="Times New Roman"/>
          <w:b/>
          <w:sz w:val="24"/>
        </w:rPr>
      </w:pPr>
      <w:r>
        <w:rPr>
          <w:rFonts w:ascii="Times New Roman"/>
          <w:b/>
          <w:sz w:val="24"/>
        </w:rPr>
        <w:t>Results</w:t>
      </w:r>
    </w:p>
    <w:p>
      <w:pPr>
        <w:pStyle w:val="Heading4"/>
        <w:numPr>
          <w:ilvl w:val="2"/>
          <w:numId w:val="16"/>
        </w:numPr>
        <w:tabs>
          <w:tab w:pos="682" w:val="left" w:leader="none"/>
        </w:tabs>
        <w:spacing w:line="240" w:lineRule="auto" w:before="137" w:after="0"/>
        <w:ind w:left="681" w:right="0" w:hanging="422"/>
        <w:jc w:val="both"/>
        <w:rPr>
          <w:rFonts w:ascii="Times New Roman"/>
          <w:i/>
        </w:rPr>
      </w:pPr>
      <w:r>
        <w:rPr>
          <w:rFonts w:ascii="Times New Roman"/>
          <w:i/>
        </w:rPr>
        <w:t>Chemical</w:t>
      </w:r>
      <w:r>
        <w:rPr>
          <w:rFonts w:ascii="Times New Roman"/>
          <w:i/>
          <w:spacing w:val="-6"/>
        </w:rPr>
        <w:t> </w:t>
      </w:r>
      <w:r>
        <w:rPr>
          <w:rFonts w:ascii="Times New Roman"/>
          <w:i/>
        </w:rPr>
        <w:t>composition</w:t>
      </w:r>
    </w:p>
    <w:p>
      <w:pPr>
        <w:pStyle w:val="BodyText"/>
        <w:spacing w:line="360" w:lineRule="auto" w:before="132"/>
        <w:ind w:left="259" w:right="244"/>
        <w:jc w:val="both"/>
        <w:rPr>
          <w:rFonts w:ascii="Times New Roman"/>
        </w:rPr>
      </w:pPr>
      <w:r>
        <w:rPr>
          <w:rFonts w:ascii="Times New Roman"/>
        </w:rPr>
        <w:t>The chemical composition </w:t>
      </w:r>
      <w:r>
        <w:rPr>
          <w:rFonts w:ascii="Times New Roman"/>
          <w:spacing w:val="4"/>
        </w:rPr>
        <w:t>of </w:t>
      </w:r>
      <w:r>
        <w:rPr>
          <w:rFonts w:ascii="Times New Roman"/>
        </w:rPr>
        <w:t>different parts of safflower seeds were presented </w:t>
      </w:r>
      <w:r>
        <w:rPr>
          <w:rFonts w:ascii="Times New Roman"/>
          <w:spacing w:val="-3"/>
        </w:rPr>
        <w:t>in </w:t>
      </w:r>
      <w:r>
        <w:rPr>
          <w:rFonts w:ascii="Times New Roman"/>
          <w:b/>
        </w:rPr>
        <w:t>Table 1</w:t>
      </w:r>
      <w:r>
        <w:rPr>
          <w:rFonts w:ascii="Times New Roman"/>
        </w:rPr>
        <w:t>. Safflower seed consisted of 40% hull, and 60% kernel </w:t>
      </w:r>
      <w:r>
        <w:rPr>
          <w:rFonts w:ascii="Times New Roman"/>
          <w:spacing w:val="-3"/>
        </w:rPr>
        <w:t>in </w:t>
      </w:r>
      <w:r>
        <w:rPr>
          <w:rFonts w:ascii="Times New Roman"/>
        </w:rPr>
        <w:t>weight. The whole safflower seed contained 14.25% crude protein, 35.19% crude fat, and 53.91% neutral detergent fiber (NDF) and 36.25% acid detergent fiber (ADF). Hull has high level </w:t>
      </w:r>
      <w:r>
        <w:rPr>
          <w:rFonts w:ascii="Times New Roman"/>
          <w:spacing w:val="4"/>
        </w:rPr>
        <w:t>of </w:t>
      </w:r>
      <w:r>
        <w:rPr>
          <w:rFonts w:ascii="Times New Roman"/>
        </w:rPr>
        <w:t>fiber than kernel, whole seed and meal of safflower seed. Meanwhile, high level of protein and low fiber  were shown </w:t>
      </w:r>
      <w:r>
        <w:rPr>
          <w:rFonts w:ascii="Times New Roman"/>
          <w:spacing w:val="-3"/>
        </w:rPr>
        <w:t>in </w:t>
      </w:r>
      <w:r>
        <w:rPr>
          <w:rFonts w:ascii="Times New Roman"/>
        </w:rPr>
        <w:t>kernel parts of safflower</w:t>
      </w:r>
      <w:r>
        <w:rPr>
          <w:rFonts w:ascii="Times New Roman"/>
          <w:spacing w:val="-18"/>
        </w:rPr>
        <w:t> </w:t>
      </w:r>
      <w:r>
        <w:rPr>
          <w:rFonts w:ascii="Times New Roman"/>
        </w:rPr>
        <w:t>seed.</w:t>
      </w:r>
    </w:p>
    <w:p>
      <w:pPr>
        <w:spacing w:before="8"/>
        <w:ind w:left="12" w:right="0" w:firstLine="0"/>
        <w:jc w:val="center"/>
        <w:rPr>
          <w:rFonts w:ascii="Times New Roman"/>
          <w:b/>
          <w:sz w:val="24"/>
        </w:rPr>
      </w:pPr>
      <w:r>
        <w:rPr>
          <w:rFonts w:ascii="Times New Roman"/>
          <w:b/>
          <w:sz w:val="24"/>
        </w:rPr>
        <w:t>Table 1 comes about here</w:t>
      </w:r>
    </w:p>
    <w:p>
      <w:pPr>
        <w:spacing w:after="0"/>
        <w:jc w:val="center"/>
        <w:rPr>
          <w:rFonts w:ascii="Times New Roman"/>
          <w:sz w:val="24"/>
        </w:rPr>
        <w:sectPr>
          <w:type w:val="continuous"/>
          <w:pgSz w:w="12240" w:h="15840"/>
          <w:pgMar w:top="3080" w:bottom="2780" w:left="1440" w:right="1460"/>
        </w:sectPr>
      </w:pPr>
    </w:p>
    <w:p>
      <w:pPr>
        <w:pStyle w:val="BodyText"/>
        <w:spacing w:before="7"/>
        <w:rPr>
          <w:rFonts w:ascii="Times New Roman"/>
          <w:b/>
          <w:sz w:val="15"/>
        </w:rPr>
      </w:pPr>
    </w:p>
    <w:p>
      <w:pPr>
        <w:pStyle w:val="Heading4"/>
        <w:numPr>
          <w:ilvl w:val="2"/>
          <w:numId w:val="16"/>
        </w:numPr>
        <w:tabs>
          <w:tab w:pos="682" w:val="left" w:leader="none"/>
        </w:tabs>
        <w:spacing w:line="240" w:lineRule="auto" w:before="69" w:after="0"/>
        <w:ind w:left="681" w:right="0" w:hanging="422"/>
        <w:jc w:val="both"/>
        <w:rPr>
          <w:rFonts w:ascii="Times New Roman"/>
          <w:i/>
        </w:rPr>
      </w:pPr>
      <w:r>
        <w:rPr>
          <w:rFonts w:ascii="Times New Roman"/>
          <w:i/>
        </w:rPr>
        <w:t>Kinetics of </w:t>
      </w:r>
      <w:r>
        <w:rPr>
          <w:rFonts w:ascii="Times New Roman"/>
          <w:i/>
          <w:spacing w:val="-3"/>
        </w:rPr>
        <w:t>in </w:t>
      </w:r>
      <w:r>
        <w:rPr>
          <w:rFonts w:ascii="Times New Roman"/>
          <w:i/>
        </w:rPr>
        <w:t>vitro gas</w:t>
      </w:r>
      <w:r>
        <w:rPr>
          <w:rFonts w:ascii="Times New Roman"/>
          <w:i/>
          <w:spacing w:val="-1"/>
        </w:rPr>
        <w:t> </w:t>
      </w:r>
      <w:r>
        <w:rPr>
          <w:rFonts w:ascii="Times New Roman"/>
          <w:i/>
        </w:rPr>
        <w:t>production</w:t>
      </w:r>
    </w:p>
    <w:p>
      <w:pPr>
        <w:pStyle w:val="BodyText"/>
        <w:spacing w:line="360" w:lineRule="auto" w:before="132"/>
        <w:ind w:left="259" w:right="234"/>
        <w:jc w:val="both"/>
        <w:rPr>
          <w:rFonts w:ascii="Times New Roman" w:hAnsi="Times New Roman"/>
        </w:rPr>
      </w:pPr>
      <w:r>
        <w:rPr>
          <w:rFonts w:ascii="Times New Roman" w:hAnsi="Times New Roman"/>
        </w:rPr>
        <w:t>In this study, the gas production were determined for 48 h fermentation, some </w:t>
      </w:r>
      <w:r>
        <w:rPr>
          <w:rFonts w:ascii="Times New Roman" w:hAnsi="Times New Roman"/>
          <w:spacing w:val="4"/>
        </w:rPr>
        <w:t>of  </w:t>
      </w:r>
      <w:r>
        <w:rPr>
          <w:rFonts w:ascii="Times New Roman" w:hAnsi="Times New Roman"/>
        </w:rPr>
        <w:t>parameters were calculated using LE0 model (Shown </w:t>
      </w:r>
      <w:r>
        <w:rPr>
          <w:rFonts w:ascii="Times New Roman" w:hAnsi="Times New Roman"/>
          <w:spacing w:val="-3"/>
        </w:rPr>
        <w:t>in </w:t>
      </w:r>
      <w:r>
        <w:rPr>
          <w:rFonts w:ascii="Times New Roman" w:hAnsi="Times New Roman"/>
          <w:b/>
        </w:rPr>
        <w:t>Table 2</w:t>
      </w:r>
      <w:r>
        <w:rPr>
          <w:rFonts w:ascii="Times New Roman" w:hAnsi="Times New Roman"/>
        </w:rPr>
        <w:t>). </w:t>
      </w:r>
      <w:r>
        <w:rPr>
          <w:rFonts w:ascii="Times New Roman" w:hAnsi="Times New Roman"/>
          <w:spacing w:val="-3"/>
        </w:rPr>
        <w:t>We </w:t>
      </w:r>
      <w:r>
        <w:rPr>
          <w:rFonts w:ascii="Times New Roman" w:hAnsi="Times New Roman"/>
        </w:rPr>
        <w:t>found that the theoretical maximal gas production </w:t>
      </w:r>
      <w:r>
        <w:rPr>
          <w:rFonts w:ascii="Times New Roman" w:hAnsi="Times New Roman"/>
          <w:spacing w:val="4"/>
        </w:rPr>
        <w:t>of </w:t>
      </w:r>
      <w:r>
        <w:rPr>
          <w:rFonts w:ascii="Times New Roman" w:hAnsi="Times New Roman"/>
        </w:rPr>
        <w:t>safflower meal (around 70 ml/g, safflower meal both extracted with hexane and petroleum ether, represented as SMH and SMP, respectively) was greater (</w:t>
      </w:r>
      <w:r>
        <w:rPr>
          <w:rFonts w:ascii="Times New Roman" w:hAnsi="Times New Roman"/>
          <w:i/>
        </w:rPr>
        <w:t>P</w:t>
      </w:r>
      <w:r>
        <w:rPr>
          <w:rFonts w:ascii="Times New Roman" w:hAnsi="Times New Roman"/>
        </w:rPr>
        <w:t>&lt;0.05) than those of kernel (48 ml/g) and whole seed (46.4 ml/g), and the least theoretical maximal gas production occurred at the hull part (35.9 ml/g). Fractional rate of gas production </w:t>
      </w:r>
      <w:r>
        <w:rPr>
          <w:rFonts w:ascii="Times New Roman" w:hAnsi="Times New Roman"/>
          <w:spacing w:val="4"/>
        </w:rPr>
        <w:t>of </w:t>
      </w:r>
      <w:r>
        <w:rPr>
          <w:rFonts w:ascii="Times New Roman" w:hAnsi="Times New Roman"/>
        </w:rPr>
        <w:t>kernel was higher (</w:t>
      </w:r>
      <w:r>
        <w:rPr>
          <w:rFonts w:ascii="Times New Roman" w:hAnsi="Times New Roman"/>
          <w:i/>
        </w:rPr>
        <w:t>P</w:t>
      </w:r>
      <w:r>
        <w:rPr>
          <w:rFonts w:ascii="Times New Roman" w:hAnsi="Times New Roman"/>
        </w:rPr>
        <w:t>&lt;0.05) than those of whole seed and hull, and numerically higher than that of safflower meal (SMH, SMP). Initial fractional rate of </w:t>
      </w:r>
      <w:r>
        <w:rPr>
          <w:rFonts w:ascii="Times New Roman" w:hAnsi="Times New Roman"/>
          <w:position w:val="2"/>
        </w:rPr>
        <w:t>degradation (</w:t>
      </w:r>
      <w:r>
        <w:rPr>
          <w:rFonts w:ascii="Times New Roman" w:hAnsi="Times New Roman"/>
          <w:i/>
          <w:position w:val="2"/>
        </w:rPr>
        <w:t>FRD</w:t>
      </w:r>
      <w:r>
        <w:rPr>
          <w:rFonts w:ascii="Times New Roman" w:hAnsi="Times New Roman"/>
          <w:i/>
          <w:sz w:val="16"/>
        </w:rPr>
        <w:t>0</w:t>
      </w:r>
      <w:r>
        <w:rPr>
          <w:rFonts w:ascii="Times New Roman" w:hAnsi="Times New Roman"/>
          <w:position w:val="2"/>
        </w:rPr>
        <w:t>) and the rate of gas production (</w:t>
      </w:r>
      <w:r>
        <w:rPr>
          <w:rFonts w:ascii="Times New Roman" w:hAnsi="Times New Roman"/>
          <w:i/>
          <w:position w:val="2"/>
        </w:rPr>
        <w:t>RG</w:t>
      </w:r>
      <w:r>
        <w:rPr>
          <w:rFonts w:ascii="Times New Roman" w:hAnsi="Times New Roman"/>
          <w:i/>
          <w:sz w:val="16"/>
        </w:rPr>
        <w:t>t</w:t>
      </w:r>
      <w:r>
        <w:rPr>
          <w:rFonts w:ascii="Times New Roman" w:hAnsi="Times New Roman"/>
          <w:position w:val="2"/>
        </w:rPr>
        <w:t>) had the similar changeable </w:t>
      </w:r>
      <w:r>
        <w:rPr>
          <w:rFonts w:ascii="Times New Roman" w:hAnsi="Times New Roman"/>
        </w:rPr>
        <w:t>tendency between different parts of safflower seeds, both of these parameters </w:t>
      </w:r>
      <w:r>
        <w:rPr>
          <w:rFonts w:ascii="Times New Roman" w:hAnsi="Times New Roman"/>
          <w:spacing w:val="-3"/>
        </w:rPr>
        <w:t>in </w:t>
      </w:r>
      <w:r>
        <w:rPr>
          <w:rFonts w:ascii="Times New Roman" w:hAnsi="Times New Roman"/>
        </w:rPr>
        <w:t>kernel and whole seed were lower than those of safflower seed meal (including SMH and SMP), but </w:t>
      </w:r>
      <w:r>
        <w:rPr>
          <w:rFonts w:ascii="Times New Roman" w:hAnsi="Times New Roman"/>
          <w:position w:val="2"/>
        </w:rPr>
        <w:t>higher than that of hull. About half time at half </w:t>
      </w:r>
      <w:r>
        <w:rPr>
          <w:rFonts w:ascii="Times New Roman" w:hAnsi="Times New Roman"/>
          <w:spacing w:val="4"/>
          <w:position w:val="2"/>
        </w:rPr>
        <w:t>of </w:t>
      </w:r>
      <w:r>
        <w:rPr>
          <w:rFonts w:ascii="Times New Roman" w:hAnsi="Times New Roman"/>
          <w:position w:val="2"/>
        </w:rPr>
        <w:t>the final gas production (</w:t>
      </w:r>
      <w:r>
        <w:rPr>
          <w:rFonts w:ascii="Times New Roman" w:hAnsi="Times New Roman"/>
          <w:i/>
          <w:position w:val="2"/>
        </w:rPr>
        <w:t>t</w:t>
      </w:r>
      <w:r>
        <w:rPr>
          <w:rFonts w:ascii="Times New Roman" w:hAnsi="Times New Roman"/>
          <w:i/>
          <w:sz w:val="16"/>
        </w:rPr>
        <w:t>0.5</w:t>
      </w:r>
      <w:r>
        <w:rPr>
          <w:rFonts w:ascii="Times New Roman" w:hAnsi="Times New Roman"/>
          <w:position w:val="2"/>
        </w:rPr>
        <w:t>)</w:t>
      </w:r>
      <w:r>
        <w:rPr>
          <w:rFonts w:ascii="Times New Roman" w:hAnsi="Times New Roman"/>
          <w:i/>
          <w:position w:val="2"/>
        </w:rPr>
        <w:t>, </w:t>
      </w:r>
      <w:r>
        <w:rPr>
          <w:rFonts w:ascii="Times New Roman" w:hAnsi="Times New Roman"/>
          <w:position w:val="2"/>
        </w:rPr>
        <w:t>and fractional rate of gas production at half-life (</w:t>
      </w:r>
      <w:r>
        <w:rPr>
          <w:rFonts w:ascii="Times New Roman" w:hAnsi="Times New Roman"/>
          <w:i/>
          <w:position w:val="2"/>
        </w:rPr>
        <w:t>µ</w:t>
      </w:r>
      <w:r>
        <w:rPr>
          <w:rFonts w:ascii="Times New Roman" w:hAnsi="Times New Roman"/>
          <w:i/>
          <w:sz w:val="16"/>
        </w:rPr>
        <w:t>0.5</w:t>
      </w:r>
      <w:r>
        <w:rPr>
          <w:rFonts w:ascii="Times New Roman" w:hAnsi="Times New Roman"/>
          <w:position w:val="2"/>
        </w:rPr>
        <w:t>), both of these specific time parameters in </w:t>
      </w:r>
      <w:r>
        <w:rPr>
          <w:rFonts w:ascii="Times New Roman" w:hAnsi="Times New Roman"/>
        </w:rPr>
        <w:t>safflower meal were lower than that </w:t>
      </w:r>
      <w:r>
        <w:rPr>
          <w:rFonts w:ascii="Times New Roman" w:hAnsi="Times New Roman"/>
          <w:spacing w:val="-3"/>
        </w:rPr>
        <w:t>in </w:t>
      </w:r>
      <w:r>
        <w:rPr>
          <w:rFonts w:ascii="Times New Roman" w:hAnsi="Times New Roman"/>
        </w:rPr>
        <w:t>hull treatment, but higher than that </w:t>
      </w:r>
      <w:r>
        <w:rPr>
          <w:rFonts w:ascii="Times New Roman" w:hAnsi="Times New Roman"/>
          <w:spacing w:val="-3"/>
        </w:rPr>
        <w:t>in </w:t>
      </w:r>
      <w:r>
        <w:rPr>
          <w:rFonts w:ascii="Times New Roman" w:hAnsi="Times New Roman"/>
        </w:rPr>
        <w:t>kernel and whole</w:t>
      </w:r>
      <w:r>
        <w:rPr>
          <w:rFonts w:ascii="Times New Roman" w:hAnsi="Times New Roman"/>
          <w:spacing w:val="-8"/>
        </w:rPr>
        <w:t> </w:t>
      </w:r>
      <w:r>
        <w:rPr>
          <w:rFonts w:ascii="Times New Roman" w:hAnsi="Times New Roman"/>
        </w:rPr>
        <w:t>seed.</w:t>
      </w:r>
    </w:p>
    <w:p>
      <w:pPr>
        <w:spacing w:before="8"/>
        <w:ind w:left="12" w:right="0" w:firstLine="0"/>
        <w:jc w:val="center"/>
        <w:rPr>
          <w:rFonts w:ascii="Times New Roman"/>
          <w:b/>
          <w:sz w:val="24"/>
        </w:rPr>
      </w:pPr>
      <w:r>
        <w:rPr>
          <w:rFonts w:ascii="Times New Roman"/>
          <w:b/>
          <w:sz w:val="24"/>
        </w:rPr>
        <w:t>Table 2 comes about here</w:t>
      </w:r>
    </w:p>
    <w:p>
      <w:pPr>
        <w:pStyle w:val="Heading4"/>
        <w:numPr>
          <w:ilvl w:val="2"/>
          <w:numId w:val="16"/>
        </w:numPr>
        <w:tabs>
          <w:tab w:pos="682" w:val="left" w:leader="none"/>
        </w:tabs>
        <w:spacing w:line="240" w:lineRule="auto" w:before="137" w:after="0"/>
        <w:ind w:left="681" w:right="0" w:hanging="422"/>
        <w:jc w:val="both"/>
        <w:rPr>
          <w:rFonts w:ascii="Times New Roman"/>
          <w:i/>
        </w:rPr>
      </w:pPr>
      <w:r>
        <w:rPr>
          <w:rFonts w:ascii="Times New Roman"/>
          <w:i/>
        </w:rPr>
        <w:t>Gas production, metabolizable energy and organic matter</w:t>
      </w:r>
      <w:r>
        <w:rPr>
          <w:rFonts w:ascii="Times New Roman"/>
          <w:i/>
          <w:spacing w:val="-19"/>
        </w:rPr>
        <w:t> </w:t>
      </w:r>
      <w:r>
        <w:rPr>
          <w:rFonts w:ascii="Times New Roman"/>
          <w:i/>
        </w:rPr>
        <w:t>digestibility</w:t>
      </w:r>
    </w:p>
    <w:p>
      <w:pPr>
        <w:pStyle w:val="BodyText"/>
        <w:spacing w:line="360" w:lineRule="auto" w:before="137"/>
        <w:ind w:left="259" w:right="243"/>
        <w:jc w:val="both"/>
        <w:rPr>
          <w:rFonts w:ascii="Times New Roman"/>
        </w:rPr>
      </w:pPr>
      <w:r>
        <w:rPr>
          <w:rFonts w:ascii="Times New Roman"/>
        </w:rPr>
        <w:t>The gas production (ml/g substrate) </w:t>
      </w:r>
      <w:r>
        <w:rPr>
          <w:rFonts w:ascii="Times New Roman"/>
          <w:spacing w:val="-3"/>
        </w:rPr>
        <w:t>at </w:t>
      </w:r>
      <w:r>
        <w:rPr>
          <w:rFonts w:ascii="Times New Roman"/>
        </w:rPr>
        <w:t>relevant fermentation points (6, 12, 24, 36, and 48  h), pH, metabolizable energy (ME, MJ/kg), and organic matter digestibility (OMD, g/kg) were given </w:t>
      </w:r>
      <w:r>
        <w:rPr>
          <w:rFonts w:ascii="Times New Roman"/>
          <w:spacing w:val="-3"/>
        </w:rPr>
        <w:t>in </w:t>
      </w:r>
      <w:r>
        <w:rPr>
          <w:rFonts w:ascii="Times New Roman"/>
          <w:b/>
        </w:rPr>
        <w:t>Table 3</w:t>
      </w:r>
      <w:r>
        <w:rPr>
          <w:rFonts w:ascii="Times New Roman"/>
        </w:rPr>
        <w:t>. </w:t>
      </w:r>
      <w:r>
        <w:rPr>
          <w:rFonts w:ascii="Times New Roman"/>
          <w:spacing w:val="-3"/>
        </w:rPr>
        <w:t>At </w:t>
      </w:r>
      <w:r>
        <w:rPr>
          <w:rFonts w:ascii="Times New Roman"/>
        </w:rPr>
        <w:t>all fermentation time points, the gas production values </w:t>
      </w:r>
      <w:r>
        <w:rPr>
          <w:rFonts w:ascii="Times New Roman"/>
          <w:spacing w:val="4"/>
        </w:rPr>
        <w:t>of </w:t>
      </w:r>
      <w:r>
        <w:rPr>
          <w:rFonts w:ascii="Times New Roman"/>
        </w:rPr>
        <w:t>kernel and whole seed were similar with each other, the same phenomenon occurred (viewing in </w:t>
      </w:r>
      <w:r>
        <w:rPr>
          <w:rFonts w:ascii="Times New Roman"/>
          <w:b/>
        </w:rPr>
        <w:t>Figure 1</w:t>
      </w:r>
      <w:r>
        <w:rPr>
          <w:rFonts w:ascii="Times New Roman"/>
        </w:rPr>
        <w:t>) </w:t>
      </w:r>
      <w:r>
        <w:rPr>
          <w:rFonts w:ascii="Times New Roman"/>
          <w:spacing w:val="-3"/>
        </w:rPr>
        <w:t>in </w:t>
      </w:r>
      <w:r>
        <w:rPr>
          <w:rFonts w:ascii="Times New Roman"/>
        </w:rPr>
        <w:t>safflower meal (SMH and SMP). However, the values </w:t>
      </w:r>
      <w:r>
        <w:rPr>
          <w:rFonts w:ascii="Times New Roman"/>
          <w:spacing w:val="4"/>
        </w:rPr>
        <w:t>of </w:t>
      </w:r>
      <w:r>
        <w:rPr>
          <w:rFonts w:ascii="Times New Roman"/>
        </w:rPr>
        <w:t>gas production of kernel and whole seed were lower than that of safflower </w:t>
      </w:r>
      <w:r>
        <w:rPr>
          <w:rFonts w:ascii="Times New Roman"/>
          <w:spacing w:val="-3"/>
        </w:rPr>
        <w:t>meal, </w:t>
      </w:r>
      <w:r>
        <w:rPr>
          <w:rFonts w:ascii="Times New Roman"/>
        </w:rPr>
        <w:t>and higher than that of hull. After 48 h fermentation, pH values of each treatment were similar with each other, however, which </w:t>
      </w:r>
      <w:r>
        <w:rPr>
          <w:rFonts w:ascii="Times New Roman"/>
          <w:spacing w:val="-3"/>
        </w:rPr>
        <w:t>in </w:t>
      </w:r>
      <w:r>
        <w:rPr>
          <w:rFonts w:ascii="Times New Roman"/>
        </w:rPr>
        <w:t>whole seed was higher than that </w:t>
      </w:r>
      <w:r>
        <w:rPr>
          <w:rFonts w:ascii="Times New Roman"/>
          <w:spacing w:val="-3"/>
        </w:rPr>
        <w:t>in </w:t>
      </w:r>
      <w:r>
        <w:rPr>
          <w:rFonts w:ascii="Times New Roman"/>
        </w:rPr>
        <w:t>safflower </w:t>
      </w:r>
      <w:r>
        <w:rPr>
          <w:rFonts w:ascii="Times New Roman"/>
          <w:spacing w:val="-3"/>
        </w:rPr>
        <w:t>meal, </w:t>
      </w:r>
      <w:r>
        <w:rPr>
          <w:rFonts w:ascii="Times New Roman"/>
        </w:rPr>
        <w:t>kernel and </w:t>
      </w:r>
      <w:r>
        <w:rPr>
          <w:rFonts w:ascii="Times New Roman"/>
          <w:spacing w:val="-3"/>
        </w:rPr>
        <w:t>hull. </w:t>
      </w:r>
      <w:r>
        <w:rPr>
          <w:rFonts w:ascii="Times New Roman"/>
        </w:rPr>
        <w:t>The ME </w:t>
      </w:r>
      <w:r>
        <w:rPr>
          <w:rFonts w:ascii="Times New Roman"/>
          <w:spacing w:val="-3"/>
        </w:rPr>
        <w:t>in </w:t>
      </w:r>
      <w:r>
        <w:rPr>
          <w:rFonts w:ascii="Times New Roman"/>
        </w:rPr>
        <w:t>kernel (14.5 MJ/kg) were double of that </w:t>
      </w:r>
      <w:r>
        <w:rPr>
          <w:rFonts w:ascii="Times New Roman"/>
          <w:spacing w:val="-3"/>
        </w:rPr>
        <w:t>in </w:t>
      </w:r>
      <w:r>
        <w:rPr>
          <w:rFonts w:ascii="Times New Roman"/>
        </w:rPr>
        <w:t>whole seed, and near to triple of that </w:t>
      </w:r>
      <w:r>
        <w:rPr>
          <w:rFonts w:ascii="Times New Roman"/>
          <w:spacing w:val="-3"/>
        </w:rPr>
        <w:t>in </w:t>
      </w:r>
      <w:r>
        <w:rPr>
          <w:rFonts w:ascii="Times New Roman"/>
        </w:rPr>
        <w:t>safflower seed (5.0 MJ/kg) and quintuple </w:t>
      </w:r>
      <w:r>
        <w:rPr>
          <w:rFonts w:ascii="Times New Roman"/>
          <w:spacing w:val="4"/>
        </w:rPr>
        <w:t>of </w:t>
      </w:r>
      <w:r>
        <w:rPr>
          <w:rFonts w:ascii="Times New Roman"/>
        </w:rPr>
        <w:t>that </w:t>
      </w:r>
      <w:r>
        <w:rPr>
          <w:rFonts w:ascii="Times New Roman"/>
          <w:spacing w:val="-3"/>
        </w:rPr>
        <w:t>in </w:t>
      </w:r>
      <w:r>
        <w:rPr>
          <w:rFonts w:ascii="Times New Roman"/>
        </w:rPr>
        <w:t>hull (3.2 MJ/kg). </w:t>
      </w:r>
      <w:r>
        <w:rPr>
          <w:rFonts w:ascii="Times New Roman"/>
          <w:spacing w:val="-3"/>
        </w:rPr>
        <w:t>We </w:t>
      </w:r>
      <w:r>
        <w:rPr>
          <w:rFonts w:ascii="Times New Roman"/>
        </w:rPr>
        <w:t>also calculated organic matter digestibility (OMD, g/kg) for different parts of safflower seed </w:t>
      </w:r>
      <w:r>
        <w:rPr>
          <w:rFonts w:ascii="Times New Roman"/>
          <w:spacing w:val="-3"/>
        </w:rPr>
        <w:t>in </w:t>
      </w:r>
      <w:r>
        <w:rPr>
          <w:rFonts w:ascii="Times New Roman"/>
          <w:spacing w:val="3"/>
        </w:rPr>
        <w:t>this </w:t>
      </w:r>
      <w:r>
        <w:rPr>
          <w:rFonts w:ascii="Times New Roman"/>
        </w:rPr>
        <w:t>study, the  values  of that  </w:t>
      </w:r>
      <w:r>
        <w:rPr>
          <w:rFonts w:ascii="Times New Roman"/>
          <w:spacing w:val="-3"/>
        </w:rPr>
        <w:t>in  </w:t>
      </w:r>
      <w:r>
        <w:rPr>
          <w:rFonts w:ascii="Times New Roman"/>
        </w:rPr>
        <w:t>safflower  meal (around 347  g/kg)  were similar  with each other</w:t>
      </w:r>
      <w:r>
        <w:rPr>
          <w:rFonts w:ascii="Times New Roman"/>
          <w:spacing w:val="-12"/>
        </w:rPr>
        <w:t> </w:t>
      </w:r>
      <w:r>
        <w:rPr>
          <w:rFonts w:ascii="Times New Roman"/>
        </w:rPr>
        <w:t>but</w:t>
      </w:r>
    </w:p>
    <w:p>
      <w:pPr>
        <w:spacing w:after="0" w:line="360" w:lineRule="auto"/>
        <w:jc w:val="both"/>
        <w:rPr>
          <w:rFonts w:ascii="Times New Roman"/>
        </w:rPr>
        <w:sectPr>
          <w:pgSz w:w="12240" w:h="15840"/>
          <w:pgMar w:header="684" w:footer="1164" w:top="1380" w:bottom="1380" w:left="1440" w:right="1460"/>
        </w:sectPr>
      </w:pPr>
    </w:p>
    <w:p>
      <w:pPr>
        <w:pStyle w:val="BodyText"/>
        <w:spacing w:before="2"/>
        <w:rPr>
          <w:rFonts w:ascii="Times New Roman"/>
          <w:sz w:val="15"/>
        </w:rPr>
      </w:pPr>
    </w:p>
    <w:p>
      <w:pPr>
        <w:pStyle w:val="BodyText"/>
        <w:spacing w:line="360" w:lineRule="auto" w:before="69"/>
        <w:ind w:left="259" w:right="288"/>
        <w:rPr>
          <w:rFonts w:ascii="Times New Roman"/>
        </w:rPr>
      </w:pPr>
      <w:r>
        <w:rPr>
          <w:rFonts w:ascii="Times New Roman"/>
        </w:rPr>
        <w:t>slightly higher than that in kernel (332 g/kg), and much higher than whole seed (290 g/kg) and hull (218 g/kg).</w:t>
      </w:r>
    </w:p>
    <w:p>
      <w:pPr>
        <w:spacing w:before="14"/>
        <w:ind w:left="12" w:right="0" w:firstLine="0"/>
        <w:jc w:val="center"/>
        <w:rPr>
          <w:rFonts w:ascii="Times New Roman"/>
          <w:b/>
          <w:sz w:val="24"/>
        </w:rPr>
      </w:pPr>
      <w:r>
        <w:rPr>
          <w:rFonts w:ascii="Times New Roman"/>
          <w:b/>
          <w:sz w:val="24"/>
        </w:rPr>
        <w:t>Figure 1, Table 3 come about here</w:t>
      </w:r>
    </w:p>
    <w:p>
      <w:pPr>
        <w:pStyle w:val="Heading4"/>
        <w:numPr>
          <w:ilvl w:val="2"/>
          <w:numId w:val="16"/>
        </w:numPr>
        <w:tabs>
          <w:tab w:pos="682" w:val="left" w:leader="none"/>
        </w:tabs>
        <w:spacing w:line="240" w:lineRule="auto" w:before="137" w:after="0"/>
        <w:ind w:left="681" w:right="0" w:hanging="422"/>
        <w:jc w:val="left"/>
        <w:rPr>
          <w:rFonts w:ascii="Times New Roman"/>
          <w:i/>
        </w:rPr>
      </w:pPr>
      <w:r>
        <w:rPr>
          <w:rFonts w:ascii="Times New Roman"/>
          <w:i/>
        </w:rPr>
        <w:t>In vitro fibre</w:t>
      </w:r>
      <w:r>
        <w:rPr>
          <w:rFonts w:ascii="Times New Roman"/>
          <w:i/>
          <w:spacing w:val="-5"/>
        </w:rPr>
        <w:t> </w:t>
      </w:r>
      <w:r>
        <w:rPr>
          <w:rFonts w:ascii="Times New Roman"/>
          <w:i/>
        </w:rPr>
        <w:t>digestibility</w:t>
      </w:r>
    </w:p>
    <w:p>
      <w:pPr>
        <w:pStyle w:val="BodyText"/>
        <w:spacing w:line="360" w:lineRule="auto" w:before="132"/>
        <w:ind w:left="259" w:right="234"/>
        <w:jc w:val="both"/>
        <w:rPr>
          <w:rFonts w:ascii="Times New Roman"/>
        </w:rPr>
      </w:pPr>
      <w:r>
        <w:rPr>
          <w:rFonts w:ascii="Times New Roman"/>
        </w:rPr>
        <w:t>The </w:t>
      </w:r>
      <w:r>
        <w:rPr>
          <w:rFonts w:ascii="Times New Roman"/>
          <w:i/>
        </w:rPr>
        <w:t>in vitro </w:t>
      </w:r>
      <w:r>
        <w:rPr>
          <w:rFonts w:ascii="Times New Roman"/>
        </w:rPr>
        <w:t>ruminal NDF, ADF and DM digestibility of different parts of safflower seeds are listed in </w:t>
      </w:r>
      <w:r>
        <w:rPr>
          <w:rFonts w:ascii="Times New Roman"/>
          <w:b/>
        </w:rPr>
        <w:t>Table 4</w:t>
      </w:r>
      <w:r>
        <w:rPr>
          <w:rFonts w:ascii="Times New Roman"/>
        </w:rPr>
        <w:t>. Higher ruminal </w:t>
      </w:r>
      <w:r>
        <w:rPr>
          <w:rFonts w:ascii="Times New Roman"/>
          <w:i/>
        </w:rPr>
        <w:t>in vitro </w:t>
      </w:r>
      <w:r>
        <w:rPr>
          <w:rFonts w:ascii="Times New Roman"/>
        </w:rPr>
        <w:t>dry matter disappearance (</w:t>
      </w:r>
      <w:r>
        <w:rPr>
          <w:rFonts w:ascii="Times New Roman"/>
          <w:i/>
        </w:rPr>
        <w:t>IVDMD</w:t>
      </w:r>
      <w:r>
        <w:rPr>
          <w:rFonts w:ascii="Times New Roman"/>
        </w:rPr>
        <w:t>) was noted in kernel (676.62 g/kg), following by SMH (397.92 g/kg), SMP (374.28 g/kg), and whole seed (382.22 g/kg). In this study, the sum of non-fiber and fiber digestibility were equal to </w:t>
      </w:r>
      <w:r>
        <w:rPr>
          <w:rFonts w:ascii="Times New Roman"/>
          <w:i/>
        </w:rPr>
        <w:t>IVDMD</w:t>
      </w:r>
      <w:r>
        <w:rPr>
          <w:rFonts w:ascii="Times New Roman"/>
        </w:rPr>
        <w:t>, the fiber digestibility was equal to sum of NDF and ADF digestibility. NDF digestibility (in proportion, %) of kernel (98.53%) was greater than that of whole seed (36.84%), and much higher than those of safflower meal (16.60% of SMH, and 15.82% of SMP) and safflower hull (12.50%). Digestibility of ADF (%) had a similar tendency with that of NDF for different fractions of safflower seeds.</w:t>
      </w:r>
    </w:p>
    <w:p>
      <w:pPr>
        <w:spacing w:before="8"/>
        <w:ind w:left="12" w:right="0" w:firstLine="0"/>
        <w:jc w:val="center"/>
        <w:rPr>
          <w:rFonts w:ascii="Times New Roman"/>
          <w:b/>
          <w:sz w:val="24"/>
        </w:rPr>
      </w:pPr>
      <w:r>
        <w:rPr>
          <w:rFonts w:ascii="Times New Roman"/>
          <w:b/>
          <w:sz w:val="24"/>
        </w:rPr>
        <w:t>Table 4 comes about here</w:t>
      </w:r>
    </w:p>
    <w:p>
      <w:pPr>
        <w:pStyle w:val="BodyText"/>
        <w:rPr>
          <w:rFonts w:ascii="Times New Roman"/>
          <w:b/>
        </w:rPr>
      </w:pPr>
    </w:p>
    <w:p>
      <w:pPr>
        <w:pStyle w:val="ListParagraph"/>
        <w:numPr>
          <w:ilvl w:val="1"/>
          <w:numId w:val="16"/>
        </w:numPr>
        <w:tabs>
          <w:tab w:pos="504" w:val="left" w:leader="none"/>
        </w:tabs>
        <w:spacing w:line="240" w:lineRule="auto" w:before="144" w:after="0"/>
        <w:ind w:left="504" w:right="0" w:hanging="245"/>
        <w:jc w:val="left"/>
        <w:rPr>
          <w:rFonts w:ascii="Times New Roman"/>
          <w:b/>
          <w:sz w:val="24"/>
        </w:rPr>
      </w:pPr>
      <w:r>
        <w:rPr>
          <w:rFonts w:ascii="Times New Roman"/>
          <w:b/>
          <w:sz w:val="24"/>
        </w:rPr>
        <w:t>Discussion</w:t>
      </w:r>
    </w:p>
    <w:p>
      <w:pPr>
        <w:pStyle w:val="Heading4"/>
        <w:numPr>
          <w:ilvl w:val="2"/>
          <w:numId w:val="16"/>
        </w:numPr>
        <w:tabs>
          <w:tab w:pos="682" w:val="left" w:leader="none"/>
        </w:tabs>
        <w:spacing w:line="240" w:lineRule="auto" w:before="137" w:after="0"/>
        <w:ind w:left="681" w:right="0" w:hanging="422"/>
        <w:jc w:val="left"/>
        <w:rPr>
          <w:rFonts w:ascii="Times New Roman"/>
          <w:i/>
        </w:rPr>
      </w:pPr>
      <w:r>
        <w:rPr>
          <w:rFonts w:ascii="Times New Roman"/>
          <w:i/>
        </w:rPr>
        <w:t>Kinetics of </w:t>
      </w:r>
      <w:r>
        <w:rPr>
          <w:rFonts w:ascii="Times New Roman"/>
          <w:i/>
          <w:spacing w:val="-3"/>
        </w:rPr>
        <w:t>in </w:t>
      </w:r>
      <w:r>
        <w:rPr>
          <w:rFonts w:ascii="Times New Roman"/>
          <w:i/>
        </w:rPr>
        <w:t>vitro ruminal gas</w:t>
      </w:r>
      <w:r>
        <w:rPr>
          <w:rFonts w:ascii="Times New Roman"/>
          <w:i/>
          <w:spacing w:val="-5"/>
        </w:rPr>
        <w:t> </w:t>
      </w:r>
      <w:r>
        <w:rPr>
          <w:rFonts w:ascii="Times New Roman"/>
          <w:i/>
        </w:rPr>
        <w:t>production</w:t>
      </w:r>
    </w:p>
    <w:p>
      <w:pPr>
        <w:pStyle w:val="BodyText"/>
        <w:tabs>
          <w:tab w:pos="2140" w:val="left" w:leader="none"/>
          <w:tab w:pos="3542" w:val="left" w:leader="none"/>
          <w:tab w:pos="5710" w:val="left" w:leader="none"/>
        </w:tabs>
        <w:spacing w:line="360" w:lineRule="auto" w:before="132"/>
        <w:ind w:left="259" w:right="233"/>
        <w:rPr>
          <w:rFonts w:ascii="Times New Roman"/>
        </w:rPr>
      </w:pPr>
      <w:r>
        <w:rPr>
          <w:rFonts w:ascii="Times New Roman"/>
        </w:rPr>
        <w:t>In 1968, Guggolz </w:t>
      </w:r>
      <w:r>
        <w:rPr>
          <w:rFonts w:ascii="Times New Roman"/>
          <w:i/>
        </w:rPr>
        <w:t>et al. </w:t>
      </w:r>
      <w:r>
        <w:rPr>
          <w:rFonts w:ascii="Times New Roman"/>
        </w:rPr>
        <w:t>systematically analyzed the chemical composition of different parts of safflower seed (Guggolz et </w:t>
      </w:r>
      <w:r>
        <w:rPr>
          <w:rFonts w:ascii="Times New Roman"/>
          <w:spacing w:val="-3"/>
        </w:rPr>
        <w:t>al. </w:t>
      </w:r>
      <w:r>
        <w:rPr>
          <w:rFonts w:ascii="Times New Roman"/>
        </w:rPr>
        <w:t>1968), subsequently a few valuable researches reported  the nutritional contribution </w:t>
      </w:r>
      <w:r>
        <w:rPr>
          <w:rFonts w:ascii="Times New Roman"/>
          <w:spacing w:val="4"/>
        </w:rPr>
        <w:t>of </w:t>
      </w:r>
      <w:r>
        <w:rPr>
          <w:rFonts w:ascii="Times New Roman"/>
        </w:rPr>
        <w:t>safflower seeds on animal feed and production </w:t>
      </w:r>
      <w:r>
        <w:rPr>
          <w:rFonts w:ascii="Times New Roman"/>
          <w:spacing w:val="4"/>
        </w:rPr>
        <w:t>(</w:t>
      </w:r>
      <w:r>
        <w:rPr>
          <w:rFonts w:ascii="Times New Roman"/>
          <w:i/>
          <w:spacing w:val="4"/>
        </w:rPr>
        <w:t>in </w:t>
      </w:r>
      <w:r>
        <w:rPr>
          <w:rFonts w:ascii="Times New Roman"/>
          <w:i/>
        </w:rPr>
        <w:t>vivo </w:t>
      </w:r>
      <w:r>
        <w:rPr>
          <w:rFonts w:ascii="Times New Roman"/>
        </w:rPr>
        <w:t>or </w:t>
      </w:r>
      <w:r>
        <w:rPr>
          <w:rFonts w:ascii="Times New Roman"/>
          <w:i/>
        </w:rPr>
        <w:t>in </w:t>
      </w:r>
      <w:r>
        <w:rPr>
          <w:rFonts w:ascii="Times New Roman"/>
          <w:i/>
        </w:rPr>
        <w:t>situ</w:t>
      </w:r>
      <w:r>
        <w:rPr>
          <w:rFonts w:ascii="Times New Roman"/>
        </w:rPr>
        <w:t>) (Alizadeh et </w:t>
      </w:r>
      <w:r>
        <w:rPr>
          <w:rFonts w:ascii="Times New Roman"/>
          <w:spacing w:val="-4"/>
        </w:rPr>
        <w:t>al. </w:t>
      </w:r>
      <w:r>
        <w:rPr>
          <w:rFonts w:ascii="Times New Roman"/>
        </w:rPr>
        <w:t>2010, Bozan &amp; Temelli 2008, Dschaak et </w:t>
      </w:r>
      <w:r>
        <w:rPr>
          <w:rFonts w:ascii="Times New Roman"/>
          <w:spacing w:val="-3"/>
        </w:rPr>
        <w:t>al. </w:t>
      </w:r>
      <w:r>
        <w:rPr>
          <w:rFonts w:ascii="Times New Roman"/>
        </w:rPr>
        <w:t>2010, Lee </w:t>
      </w:r>
      <w:r>
        <w:rPr>
          <w:rFonts w:ascii="Times New Roman"/>
          <w:spacing w:val="-3"/>
        </w:rPr>
        <w:t>et </w:t>
      </w:r>
      <w:r>
        <w:rPr>
          <w:rFonts w:ascii="Times New Roman"/>
          <w:spacing w:val="-4"/>
        </w:rPr>
        <w:t>al. </w:t>
      </w:r>
      <w:r>
        <w:rPr>
          <w:rFonts w:ascii="Times New Roman"/>
        </w:rPr>
        <w:t>2004, Moon et </w:t>
      </w:r>
      <w:r>
        <w:rPr>
          <w:rFonts w:ascii="Times New Roman"/>
          <w:spacing w:val="-4"/>
        </w:rPr>
        <w:t>al. </w:t>
      </w:r>
      <w:r>
        <w:rPr>
          <w:rFonts w:ascii="Times New Roman"/>
        </w:rPr>
        <w:t>2001). Some valuable utilization </w:t>
      </w:r>
      <w:r>
        <w:rPr>
          <w:rFonts w:ascii="Times New Roman"/>
          <w:spacing w:val="4"/>
        </w:rPr>
        <w:t>of </w:t>
      </w:r>
      <w:r>
        <w:rPr>
          <w:rFonts w:ascii="Times New Roman"/>
        </w:rPr>
        <w:t>safflower seed have been reported for </w:t>
      </w:r>
      <w:r>
        <w:rPr>
          <w:rFonts w:ascii="Times New Roman"/>
          <w:spacing w:val="-3"/>
        </w:rPr>
        <w:t>bird </w:t>
      </w:r>
      <w:r>
        <w:rPr>
          <w:rFonts w:ascii="Times New Roman"/>
        </w:rPr>
        <w:t>feed (</w:t>
      </w:r>
      <w:hyperlink r:id="rId99">
        <w:r>
          <w:rPr>
            <w:rFonts w:ascii="Times New Roman"/>
            <w:color w:val="0000FF"/>
            <w:u w:val="single" w:color="0000FF"/>
          </w:rPr>
          <w:t>http://birding.about.com/od/Foods/a/Safflower-Seeds.htm</w:t>
        </w:r>
      </w:hyperlink>
      <w:r>
        <w:rPr>
          <w:rFonts w:ascii="Times New Roman"/>
        </w:rPr>
        <w:t>), and medicinal function </w:t>
      </w:r>
      <w:r>
        <w:rPr>
          <w:rFonts w:ascii="Times New Roman"/>
          <w:spacing w:val="4"/>
        </w:rPr>
        <w:t>of </w:t>
      </w:r>
      <w:r>
        <w:rPr>
          <w:rFonts w:ascii="Times New Roman"/>
        </w:rPr>
        <w:t>safflower</w:t>
        <w:tab/>
        <w:t>seed</w:t>
        <w:tab/>
        <w:t>composition</w:t>
        <w:tab/>
        <w:t>(</w:t>
      </w:r>
      <w:hyperlink r:id="rId100">
        <w:r>
          <w:rPr>
            <w:rFonts w:ascii="Times New Roman"/>
            <w:color w:val="0000FF"/>
            <w:u w:val="single" w:color="0000FF"/>
          </w:rPr>
          <w:t>http://www.webmd.com/vitamins-</w:t>
        </w:r>
      </w:hyperlink>
      <w:r>
        <w:rPr>
          <w:rFonts w:ascii="Times New Roman"/>
          <w:color w:val="0000FF"/>
          <w:u w:val="single" w:color="0000FF"/>
        </w:rPr>
        <w:t> </w:t>
      </w:r>
      <w:hyperlink r:id="rId100">
        <w:r>
          <w:rPr>
            <w:rFonts w:ascii="Times New Roman"/>
            <w:color w:val="0000FF"/>
            <w:u w:val="single" w:color="0000FF"/>
          </w:rPr>
          <w:t>supplements/ingredientmono-96-</w:t>
        </w:r>
      </w:hyperlink>
      <w:r>
        <w:rPr>
          <w:rFonts w:ascii="Times New Roman"/>
          <w:color w:val="0000FF"/>
          <w:u w:val="single" w:color="0000FF"/>
        </w:rPr>
        <w:t> </w:t>
      </w:r>
      <w:hyperlink r:id="rId100">
        <w:r>
          <w:rPr>
            <w:rFonts w:ascii="Times New Roman"/>
            <w:color w:val="0000FF"/>
            <w:u w:val="single" w:color="0000FF"/>
          </w:rPr>
          <w:t>safflower.aspx?activeingredientid=96&amp;activeingredientname=safflower</w:t>
        </w:r>
      </w:hyperlink>
      <w:r>
        <w:rPr>
          <w:rFonts w:ascii="Times New Roman"/>
        </w:rPr>
        <w:t>). From our results, </w:t>
      </w:r>
      <w:r>
        <w:rPr>
          <w:rFonts w:ascii="Times New Roman"/>
          <w:i/>
          <w:position w:val="2"/>
        </w:rPr>
        <w:t>in vitro </w:t>
      </w:r>
      <w:r>
        <w:rPr>
          <w:rFonts w:ascii="Times New Roman"/>
          <w:position w:val="2"/>
        </w:rPr>
        <w:t>gas production parameters (</w:t>
      </w:r>
      <w:r>
        <w:rPr>
          <w:rFonts w:ascii="Times New Roman"/>
          <w:i/>
          <w:position w:val="2"/>
        </w:rPr>
        <w:t>V</w:t>
      </w:r>
      <w:r>
        <w:rPr>
          <w:rFonts w:ascii="Times New Roman"/>
          <w:i/>
          <w:sz w:val="16"/>
        </w:rPr>
        <w:t>F</w:t>
      </w:r>
      <w:r>
        <w:rPr>
          <w:rFonts w:ascii="Times New Roman"/>
          <w:position w:val="2"/>
        </w:rPr>
        <w:t>, </w:t>
      </w:r>
      <w:r>
        <w:rPr>
          <w:rFonts w:ascii="Times New Roman"/>
          <w:i/>
          <w:position w:val="2"/>
        </w:rPr>
        <w:t>FRD</w:t>
      </w:r>
      <w:r>
        <w:rPr>
          <w:rFonts w:ascii="Times New Roman"/>
          <w:i/>
          <w:sz w:val="16"/>
        </w:rPr>
        <w:t>0</w:t>
      </w:r>
      <w:r>
        <w:rPr>
          <w:rFonts w:ascii="Times New Roman"/>
          <w:position w:val="2"/>
        </w:rPr>
        <w:t>, </w:t>
      </w:r>
      <w:r>
        <w:rPr>
          <w:rFonts w:ascii="Times New Roman"/>
          <w:i/>
          <w:position w:val="2"/>
        </w:rPr>
        <w:t>RG</w:t>
      </w:r>
      <w:r>
        <w:rPr>
          <w:rFonts w:ascii="Times New Roman"/>
          <w:i/>
          <w:sz w:val="16"/>
        </w:rPr>
        <w:t>t</w:t>
      </w:r>
      <w:r>
        <w:rPr>
          <w:rFonts w:ascii="Times New Roman"/>
          <w:position w:val="2"/>
        </w:rPr>
        <w:t>) </w:t>
      </w:r>
      <w:r>
        <w:rPr>
          <w:rFonts w:ascii="Times New Roman"/>
          <w:spacing w:val="-3"/>
          <w:position w:val="2"/>
        </w:rPr>
        <w:t>in </w:t>
      </w:r>
      <w:r>
        <w:rPr>
          <w:rFonts w:ascii="Times New Roman"/>
          <w:position w:val="2"/>
        </w:rPr>
        <w:t>safflower hull were lower than that </w:t>
      </w:r>
      <w:r>
        <w:rPr>
          <w:rFonts w:ascii="Times New Roman"/>
          <w:spacing w:val="-3"/>
          <w:position w:val="2"/>
        </w:rPr>
        <w:t>in </w:t>
      </w:r>
      <w:r>
        <w:rPr>
          <w:rFonts w:ascii="Times New Roman"/>
        </w:rPr>
        <w:t>other safflower seed fractions. The differences </w:t>
      </w:r>
      <w:r>
        <w:rPr>
          <w:rFonts w:ascii="Times New Roman"/>
          <w:spacing w:val="-3"/>
        </w:rPr>
        <w:t>in </w:t>
      </w:r>
      <w:r>
        <w:rPr>
          <w:rFonts w:ascii="Times New Roman"/>
          <w:i/>
        </w:rPr>
        <w:t>in vitro </w:t>
      </w:r>
      <w:r>
        <w:rPr>
          <w:rFonts w:ascii="Times New Roman"/>
        </w:rPr>
        <w:t>gas production among different fractions </w:t>
      </w:r>
      <w:r>
        <w:rPr>
          <w:rFonts w:ascii="Times New Roman"/>
          <w:spacing w:val="4"/>
        </w:rPr>
        <w:t>of </w:t>
      </w:r>
      <w:r>
        <w:rPr>
          <w:rFonts w:ascii="Times New Roman"/>
        </w:rPr>
        <w:t>safflower seed, could </w:t>
      </w:r>
      <w:r>
        <w:rPr>
          <w:rFonts w:ascii="Times New Roman"/>
          <w:spacing w:val="-3"/>
        </w:rPr>
        <w:t>be </w:t>
      </w:r>
      <w:r>
        <w:rPr>
          <w:rFonts w:ascii="Times New Roman"/>
        </w:rPr>
        <w:t>due </w:t>
      </w:r>
      <w:r>
        <w:rPr>
          <w:rFonts w:ascii="Times New Roman"/>
          <w:spacing w:val="2"/>
        </w:rPr>
        <w:t>to </w:t>
      </w:r>
      <w:r>
        <w:rPr>
          <w:rFonts w:ascii="Times New Roman"/>
        </w:rPr>
        <w:t>the proportion and nature of their composition (Rubanza et </w:t>
      </w:r>
      <w:r>
        <w:rPr>
          <w:rFonts w:ascii="Times New Roman"/>
          <w:spacing w:val="-4"/>
        </w:rPr>
        <w:t>al.</w:t>
      </w:r>
      <w:r>
        <w:rPr>
          <w:rFonts w:ascii="Times New Roman"/>
          <w:spacing w:val="10"/>
        </w:rPr>
        <w:t> </w:t>
      </w:r>
      <w:r>
        <w:rPr>
          <w:rFonts w:ascii="Times New Roman"/>
        </w:rPr>
        <w:t>2003).</w:t>
      </w:r>
    </w:p>
    <w:p>
      <w:pPr>
        <w:spacing w:after="0" w:line="360" w:lineRule="auto"/>
        <w:rPr>
          <w:rFonts w:ascii="Times New Roman"/>
        </w:rPr>
        <w:sectPr>
          <w:pgSz w:w="12240" w:h="15840"/>
          <w:pgMar w:header="684" w:footer="1164" w:top="1380" w:bottom="1380" w:left="1440" w:right="1460"/>
        </w:sectPr>
      </w:pPr>
    </w:p>
    <w:p>
      <w:pPr>
        <w:pStyle w:val="BodyText"/>
        <w:spacing w:before="2"/>
        <w:rPr>
          <w:rFonts w:ascii="Times New Roman"/>
          <w:sz w:val="15"/>
        </w:rPr>
      </w:pPr>
    </w:p>
    <w:p>
      <w:pPr>
        <w:pStyle w:val="BodyText"/>
        <w:spacing w:line="360" w:lineRule="auto" w:before="69"/>
        <w:ind w:left="259" w:right="234" w:firstLine="341"/>
        <w:jc w:val="both"/>
        <w:rPr>
          <w:rFonts w:ascii="Times New Roman" w:hAnsi="Times New Roman"/>
        </w:rPr>
      </w:pPr>
      <w:r>
        <w:rPr>
          <w:rFonts w:ascii="Times New Roman" w:hAnsi="Times New Roman"/>
          <w:spacing w:val="-3"/>
        </w:rPr>
        <w:t>We </w:t>
      </w:r>
      <w:r>
        <w:rPr>
          <w:rFonts w:ascii="Times New Roman" w:hAnsi="Times New Roman"/>
        </w:rPr>
        <w:t>used the pure different parts of safflower seed as substrate for </w:t>
      </w:r>
      <w:r>
        <w:rPr>
          <w:rFonts w:ascii="Times New Roman" w:hAnsi="Times New Roman"/>
          <w:i/>
        </w:rPr>
        <w:t>in vitro </w:t>
      </w:r>
      <w:r>
        <w:rPr>
          <w:rFonts w:ascii="Times New Roman" w:hAnsi="Times New Roman"/>
        </w:rPr>
        <w:t>fermentation, which resulted </w:t>
      </w:r>
      <w:r>
        <w:rPr>
          <w:rFonts w:ascii="Times New Roman" w:hAnsi="Times New Roman"/>
          <w:spacing w:val="-3"/>
        </w:rPr>
        <w:t>in </w:t>
      </w:r>
      <w:r>
        <w:rPr>
          <w:rFonts w:ascii="Times New Roman" w:hAnsi="Times New Roman"/>
        </w:rPr>
        <w:t>higher fermentation performance </w:t>
      </w:r>
      <w:r>
        <w:rPr>
          <w:rFonts w:ascii="Times New Roman" w:hAnsi="Times New Roman"/>
          <w:i/>
        </w:rPr>
        <w:t>in vitro </w:t>
      </w:r>
      <w:r>
        <w:rPr>
          <w:rFonts w:ascii="Times New Roman" w:hAnsi="Times New Roman"/>
          <w:spacing w:val="4"/>
        </w:rPr>
        <w:t>of </w:t>
      </w:r>
      <w:r>
        <w:rPr>
          <w:rFonts w:ascii="Times New Roman" w:hAnsi="Times New Roman"/>
        </w:rPr>
        <w:t>safflower meal than that in whole seed and hull, even </w:t>
      </w:r>
      <w:r>
        <w:rPr>
          <w:rFonts w:ascii="Times New Roman" w:hAnsi="Times New Roman"/>
          <w:spacing w:val="-3"/>
        </w:rPr>
        <w:t>in </w:t>
      </w:r>
      <w:r>
        <w:rPr>
          <w:rFonts w:ascii="Times New Roman" w:hAnsi="Times New Roman"/>
        </w:rPr>
        <w:t>kernel. As previously reported, we combined safflower meal with sorghum seed for </w:t>
      </w:r>
      <w:r>
        <w:rPr>
          <w:rFonts w:ascii="Times New Roman" w:hAnsi="Times New Roman"/>
          <w:i/>
        </w:rPr>
        <w:t>in vitro </w:t>
      </w:r>
      <w:r>
        <w:rPr>
          <w:rFonts w:ascii="Times New Roman" w:hAnsi="Times New Roman"/>
        </w:rPr>
        <w:t>fermentation, the high content of starch </w:t>
      </w:r>
      <w:r>
        <w:rPr>
          <w:rFonts w:ascii="Times New Roman" w:hAnsi="Times New Roman"/>
          <w:spacing w:val="-3"/>
        </w:rPr>
        <w:t>in </w:t>
      </w:r>
      <w:r>
        <w:rPr>
          <w:rFonts w:ascii="Times New Roman" w:hAnsi="Times New Roman"/>
        </w:rPr>
        <w:t>sorghum seed leaded </w:t>
      </w:r>
      <w:r>
        <w:rPr>
          <w:rFonts w:ascii="Times New Roman" w:hAnsi="Times New Roman"/>
          <w:spacing w:val="2"/>
        </w:rPr>
        <w:t>to </w:t>
      </w:r>
      <w:r>
        <w:rPr>
          <w:rFonts w:ascii="Times New Roman" w:hAnsi="Times New Roman"/>
        </w:rPr>
        <w:t>the high gas production </w:t>
      </w:r>
      <w:r>
        <w:rPr>
          <w:rFonts w:ascii="Times New Roman" w:hAnsi="Times New Roman"/>
          <w:i/>
        </w:rPr>
        <w:t>in vitro</w:t>
      </w:r>
      <w:r>
        <w:rPr>
          <w:rFonts w:ascii="Times New Roman" w:hAnsi="Times New Roman"/>
        </w:rPr>
        <w:t>. Souilah and Djabali (2014) reported that high soluble carbohydrate contents had further improved the </w:t>
      </w:r>
      <w:r>
        <w:rPr>
          <w:rFonts w:ascii="Times New Roman" w:hAnsi="Times New Roman"/>
          <w:spacing w:val="-3"/>
        </w:rPr>
        <w:t>most </w:t>
      </w:r>
      <w:r>
        <w:rPr>
          <w:rFonts w:ascii="Times New Roman" w:hAnsi="Times New Roman"/>
        </w:rPr>
        <w:t>important gas production parameters. Anti-nutritional ingredients, such as matairesinol-β-glucoside, 2- hydroxyarctiin-β-glucoside (Jin et </w:t>
      </w:r>
      <w:r>
        <w:rPr>
          <w:rFonts w:ascii="Times New Roman" w:hAnsi="Times New Roman"/>
          <w:spacing w:val="-3"/>
        </w:rPr>
        <w:t>al. </w:t>
      </w:r>
      <w:r>
        <w:rPr>
          <w:rFonts w:ascii="Times New Roman" w:hAnsi="Times New Roman"/>
        </w:rPr>
        <w:t>2010) and cyanogenic glucoside (Satish &amp; Shrivastava 2011) </w:t>
      </w:r>
      <w:r>
        <w:rPr>
          <w:rFonts w:ascii="Times New Roman" w:hAnsi="Times New Roman"/>
          <w:spacing w:val="-3"/>
        </w:rPr>
        <w:t>in </w:t>
      </w:r>
      <w:r>
        <w:rPr>
          <w:rFonts w:ascii="Times New Roman" w:hAnsi="Times New Roman"/>
        </w:rPr>
        <w:t>safflower </w:t>
      </w:r>
      <w:r>
        <w:rPr>
          <w:rFonts w:ascii="Times New Roman" w:hAnsi="Times New Roman"/>
          <w:spacing w:val="-3"/>
        </w:rPr>
        <w:t>meal, in </w:t>
      </w:r>
      <w:r>
        <w:rPr>
          <w:rFonts w:ascii="Times New Roman" w:hAnsi="Times New Roman"/>
        </w:rPr>
        <w:t>safflower meal could give rise to the reduction </w:t>
      </w:r>
      <w:r>
        <w:rPr>
          <w:rFonts w:ascii="Times New Roman" w:hAnsi="Times New Roman"/>
          <w:spacing w:val="4"/>
        </w:rPr>
        <w:t>of </w:t>
      </w:r>
      <w:r>
        <w:rPr>
          <w:rFonts w:ascii="Times New Roman" w:hAnsi="Times New Roman"/>
          <w:i/>
        </w:rPr>
        <w:t>in </w:t>
      </w:r>
      <w:r>
        <w:rPr>
          <w:rFonts w:ascii="Times New Roman" w:hAnsi="Times New Roman"/>
          <w:i/>
          <w:position w:val="2"/>
        </w:rPr>
        <w:t>vitro </w:t>
      </w:r>
      <w:r>
        <w:rPr>
          <w:rFonts w:ascii="Times New Roman" w:hAnsi="Times New Roman"/>
          <w:position w:val="2"/>
        </w:rPr>
        <w:t>gas production parameters (</w:t>
      </w:r>
      <w:r>
        <w:rPr>
          <w:rFonts w:ascii="Times New Roman" w:hAnsi="Times New Roman"/>
          <w:i/>
          <w:position w:val="2"/>
        </w:rPr>
        <w:t>V</w:t>
      </w:r>
      <w:r>
        <w:rPr>
          <w:rFonts w:ascii="Times New Roman" w:hAnsi="Times New Roman"/>
          <w:i/>
          <w:sz w:val="16"/>
        </w:rPr>
        <w:t>F</w:t>
      </w:r>
      <w:r>
        <w:rPr>
          <w:rFonts w:ascii="Times New Roman" w:hAnsi="Times New Roman"/>
          <w:i/>
          <w:position w:val="2"/>
        </w:rPr>
        <w:t>, RG</w:t>
      </w:r>
      <w:r>
        <w:rPr>
          <w:rFonts w:ascii="Times New Roman" w:hAnsi="Times New Roman"/>
          <w:i/>
          <w:sz w:val="16"/>
        </w:rPr>
        <w:t>t</w:t>
      </w:r>
      <w:r>
        <w:rPr>
          <w:rFonts w:ascii="Times New Roman" w:hAnsi="Times New Roman"/>
          <w:position w:val="2"/>
        </w:rPr>
        <w:t>, and </w:t>
      </w:r>
      <w:r>
        <w:rPr>
          <w:rFonts w:ascii="Times New Roman" w:hAnsi="Times New Roman"/>
          <w:i/>
          <w:position w:val="2"/>
        </w:rPr>
        <w:t>t</w:t>
      </w:r>
      <w:r>
        <w:rPr>
          <w:rFonts w:ascii="Times New Roman" w:hAnsi="Times New Roman"/>
          <w:i/>
          <w:sz w:val="16"/>
        </w:rPr>
        <w:t>0.5</w:t>
      </w:r>
      <w:r>
        <w:rPr>
          <w:rFonts w:ascii="Times New Roman" w:hAnsi="Times New Roman"/>
          <w:position w:val="2"/>
        </w:rPr>
        <w:t>). In this work, we </w:t>
      </w:r>
      <w:r>
        <w:rPr>
          <w:rFonts w:ascii="Times New Roman" w:hAnsi="Times New Roman"/>
          <w:spacing w:val="-4"/>
          <w:position w:val="2"/>
        </w:rPr>
        <w:t>also </w:t>
      </w:r>
      <w:r>
        <w:rPr>
          <w:rFonts w:ascii="Times New Roman" w:hAnsi="Times New Roman"/>
          <w:position w:val="2"/>
        </w:rPr>
        <w:t>obtained some </w:t>
      </w:r>
      <w:r>
        <w:rPr>
          <w:rFonts w:ascii="Times New Roman" w:hAnsi="Times New Roman"/>
        </w:rPr>
        <w:t>valuable parameters about shape parameter (</w:t>
      </w:r>
      <w:r>
        <w:rPr>
          <w:rFonts w:ascii="Times New Roman" w:hAnsi="Times New Roman"/>
          <w:i/>
        </w:rPr>
        <w:t>b</w:t>
      </w:r>
      <w:r>
        <w:rPr>
          <w:rFonts w:ascii="Times New Roman" w:hAnsi="Times New Roman"/>
        </w:rPr>
        <w:t>) </w:t>
      </w:r>
      <w:r>
        <w:rPr>
          <w:rFonts w:ascii="Times New Roman" w:hAnsi="Times New Roman"/>
          <w:spacing w:val="-3"/>
        </w:rPr>
        <w:t>in </w:t>
      </w:r>
      <w:r>
        <w:rPr>
          <w:rFonts w:ascii="Times New Roman" w:hAnsi="Times New Roman"/>
        </w:rPr>
        <w:t>hull treatment </w:t>
      </w:r>
      <w:r>
        <w:rPr>
          <w:rFonts w:ascii="Times New Roman" w:hAnsi="Times New Roman"/>
          <w:spacing w:val="-5"/>
        </w:rPr>
        <w:t>is </w:t>
      </w:r>
      <w:r>
        <w:rPr>
          <w:rFonts w:ascii="Times New Roman" w:hAnsi="Times New Roman"/>
        </w:rPr>
        <w:t>positive,  whole  safflower seed and kernel were around to 0, however, the value of shape parameter </w:t>
      </w:r>
      <w:r>
        <w:rPr>
          <w:rFonts w:ascii="Times New Roman" w:hAnsi="Times New Roman"/>
          <w:spacing w:val="3"/>
        </w:rPr>
        <w:t>(</w:t>
      </w:r>
      <w:r>
        <w:rPr>
          <w:rFonts w:ascii="Times New Roman" w:hAnsi="Times New Roman"/>
          <w:i/>
          <w:spacing w:val="3"/>
        </w:rPr>
        <w:t>b</w:t>
      </w:r>
      <w:r>
        <w:rPr>
          <w:rFonts w:ascii="Times New Roman" w:hAnsi="Times New Roman"/>
          <w:spacing w:val="3"/>
        </w:rPr>
        <w:t>) </w:t>
      </w:r>
      <w:r>
        <w:rPr>
          <w:rFonts w:ascii="Times New Roman" w:hAnsi="Times New Roman"/>
          <w:spacing w:val="-3"/>
        </w:rPr>
        <w:t>in </w:t>
      </w:r>
      <w:r>
        <w:rPr>
          <w:rFonts w:ascii="Times New Roman" w:hAnsi="Times New Roman"/>
        </w:rPr>
        <w:t>safflower seed were negative (around -20), that data </w:t>
      </w:r>
      <w:r>
        <w:rPr>
          <w:rFonts w:ascii="Times New Roman" w:hAnsi="Times New Roman"/>
          <w:spacing w:val="-4"/>
        </w:rPr>
        <w:t>did </w:t>
      </w:r>
      <w:r>
        <w:rPr>
          <w:rFonts w:ascii="Times New Roman" w:hAnsi="Times New Roman"/>
        </w:rPr>
        <w:t>not show </w:t>
      </w:r>
      <w:r>
        <w:rPr>
          <w:rFonts w:ascii="Times New Roman" w:hAnsi="Times New Roman"/>
          <w:spacing w:val="-3"/>
        </w:rPr>
        <w:t>in </w:t>
      </w:r>
      <w:r>
        <w:rPr>
          <w:rFonts w:ascii="Times New Roman" w:hAnsi="Times New Roman"/>
        </w:rPr>
        <w:t>the Tables. About the value </w:t>
      </w:r>
      <w:r>
        <w:rPr>
          <w:rFonts w:ascii="Times New Roman" w:hAnsi="Times New Roman"/>
          <w:spacing w:val="4"/>
        </w:rPr>
        <w:t>of </w:t>
      </w:r>
      <w:r>
        <w:rPr>
          <w:rFonts w:ascii="Times New Roman" w:hAnsi="Times New Roman"/>
        </w:rPr>
        <w:t>shape parameter, positive represents the gas production curve </w:t>
      </w:r>
      <w:r>
        <w:rPr>
          <w:rFonts w:ascii="Times New Roman" w:hAnsi="Times New Roman"/>
          <w:spacing w:val="-3"/>
        </w:rPr>
        <w:t>is </w:t>
      </w:r>
      <w:r>
        <w:rPr>
          <w:rFonts w:ascii="Times New Roman" w:hAnsi="Times New Roman"/>
        </w:rPr>
        <w:t>similar with </w:t>
      </w:r>
      <w:r>
        <w:rPr>
          <w:rFonts w:ascii="Times New Roman" w:hAnsi="Times New Roman"/>
          <w:i/>
        </w:rPr>
        <w:t>s </w:t>
      </w:r>
      <w:r>
        <w:rPr>
          <w:rFonts w:ascii="Times New Roman" w:hAnsi="Times New Roman"/>
        </w:rPr>
        <w:t>curve with a </w:t>
      </w:r>
      <w:r>
        <w:rPr>
          <w:rFonts w:ascii="Times New Roman" w:hAnsi="Times New Roman"/>
          <w:spacing w:val="-4"/>
        </w:rPr>
        <w:t>lag </w:t>
      </w:r>
      <w:r>
        <w:rPr>
          <w:rFonts w:ascii="Times New Roman" w:hAnsi="Times New Roman"/>
        </w:rPr>
        <w:t>time for one sealed fermentation system, otherwise, the gas production curve </w:t>
      </w:r>
      <w:r>
        <w:rPr>
          <w:rFonts w:ascii="Times New Roman" w:hAnsi="Times New Roman"/>
          <w:spacing w:val="-3"/>
        </w:rPr>
        <w:t>is </w:t>
      </w:r>
      <w:r>
        <w:rPr>
          <w:rFonts w:ascii="Times New Roman" w:hAnsi="Times New Roman"/>
        </w:rPr>
        <w:t>like a parabolic curve, represents that this sealed system has </w:t>
      </w:r>
      <w:r>
        <w:rPr>
          <w:rFonts w:ascii="Times New Roman" w:hAnsi="Times New Roman"/>
          <w:spacing w:val="-3"/>
        </w:rPr>
        <w:t>no </w:t>
      </w:r>
      <w:r>
        <w:rPr>
          <w:rFonts w:ascii="Times New Roman" w:hAnsi="Times New Roman"/>
        </w:rPr>
        <w:t>fermentation initial-limited, because of the balance or high energy composition was supplemented  (Wang et </w:t>
      </w:r>
      <w:r>
        <w:rPr>
          <w:rFonts w:ascii="Times New Roman" w:hAnsi="Times New Roman"/>
          <w:spacing w:val="-4"/>
        </w:rPr>
        <w:t>al.</w:t>
      </w:r>
      <w:r>
        <w:rPr>
          <w:rFonts w:ascii="Times New Roman" w:hAnsi="Times New Roman"/>
          <w:spacing w:val="9"/>
        </w:rPr>
        <w:t> </w:t>
      </w:r>
      <w:r>
        <w:rPr>
          <w:rFonts w:ascii="Times New Roman" w:hAnsi="Times New Roman"/>
        </w:rPr>
        <w:t>2013).</w:t>
      </w:r>
    </w:p>
    <w:p>
      <w:pPr>
        <w:pStyle w:val="BodyText"/>
        <w:spacing w:line="360" w:lineRule="auto" w:before="8"/>
        <w:ind w:left="259" w:right="234" w:firstLine="341"/>
        <w:jc w:val="both"/>
        <w:rPr>
          <w:rFonts w:ascii="Times New Roman" w:hAnsi="Times New Roman"/>
        </w:rPr>
      </w:pPr>
      <w:r>
        <w:rPr>
          <w:rFonts w:ascii="Times New Roman" w:hAnsi="Times New Roman"/>
          <w:i/>
          <w:position w:val="2"/>
        </w:rPr>
        <w:t>V</w:t>
      </w:r>
      <w:r>
        <w:rPr>
          <w:rFonts w:ascii="Times New Roman" w:hAnsi="Times New Roman"/>
          <w:i/>
          <w:sz w:val="16"/>
        </w:rPr>
        <w:t>F </w:t>
      </w:r>
      <w:r>
        <w:rPr>
          <w:rFonts w:ascii="Times New Roman" w:hAnsi="Times New Roman"/>
          <w:position w:val="2"/>
        </w:rPr>
        <w:t>was a corresponding parameter related to the non-digestible structural carbohydrate- </w:t>
      </w:r>
      <w:r>
        <w:rPr>
          <w:rFonts w:ascii="Times New Roman" w:hAnsi="Times New Roman"/>
        </w:rPr>
        <w:t>hull (Baümler et al. 2006), high soluble carbohydrate (Lechartier &amp; Peyraud 2011) as well as the anti-nutritional factors (such as cyanogenic glucoside) (Satish &amp; Shrivastava 2011). In this study, we had the corresponding gas production per </w:t>
      </w:r>
      <w:r>
        <w:rPr>
          <w:rFonts w:ascii="Times New Roman" w:hAnsi="Times New Roman"/>
          <w:b/>
        </w:rPr>
        <w:t>g </w:t>
      </w:r>
      <w:r>
        <w:rPr>
          <w:rFonts w:ascii="Times New Roman" w:hAnsi="Times New Roman"/>
        </w:rPr>
        <w:t>of different parts of safflower seed, from the results we concluded safflower meal had the highest theoretical maximal gas production than those of whole safflower seed, hull even kernel partition. As there was high oil content in safflower seed, most of them deposited in the kernel part of safflower seed, resulted in low gas production </w:t>
      </w:r>
      <w:r>
        <w:rPr>
          <w:rFonts w:ascii="Times New Roman" w:hAnsi="Times New Roman"/>
          <w:i/>
        </w:rPr>
        <w:t>in vitro </w:t>
      </w:r>
      <w:r>
        <w:rPr>
          <w:rFonts w:ascii="Times New Roman" w:hAnsi="Times New Roman"/>
        </w:rPr>
        <w:t>fermentation. Fatty acids have the  potential to change the microbial ecosystem, influence activity of some bacterial adhesion ability (Benchaar et al. 2008). Anti-nutritional or undigested ingredients deposited in safflower whole seed/ kernel could also decrease the digestion efficiency reflected by the gas </w:t>
      </w:r>
      <w:r>
        <w:rPr>
          <w:rFonts w:ascii="Times New Roman" w:hAnsi="Times New Roman"/>
          <w:position w:val="2"/>
        </w:rPr>
        <w:t>production parameters (</w:t>
      </w:r>
      <w:r>
        <w:rPr>
          <w:rFonts w:ascii="Times New Roman" w:hAnsi="Times New Roman"/>
          <w:i/>
          <w:position w:val="2"/>
        </w:rPr>
        <w:t>V</w:t>
      </w:r>
      <w:r>
        <w:rPr>
          <w:rFonts w:ascii="Times New Roman" w:hAnsi="Times New Roman"/>
          <w:i/>
          <w:sz w:val="16"/>
        </w:rPr>
        <w:t>F</w:t>
      </w:r>
      <w:r>
        <w:rPr>
          <w:rFonts w:ascii="Times New Roman" w:hAnsi="Times New Roman"/>
          <w:position w:val="2"/>
        </w:rPr>
        <w:t>, </w:t>
      </w:r>
      <w:r>
        <w:rPr>
          <w:rFonts w:ascii="Times New Roman" w:hAnsi="Times New Roman"/>
          <w:i/>
          <w:position w:val="2"/>
        </w:rPr>
        <w:t>FRD</w:t>
      </w:r>
      <w:r>
        <w:rPr>
          <w:rFonts w:ascii="Times New Roman" w:hAnsi="Times New Roman"/>
          <w:i/>
          <w:sz w:val="16"/>
        </w:rPr>
        <w:t>0</w:t>
      </w:r>
      <w:r>
        <w:rPr>
          <w:rFonts w:ascii="Times New Roman" w:hAnsi="Times New Roman"/>
          <w:position w:val="2"/>
        </w:rPr>
        <w:t>, </w:t>
      </w:r>
      <w:r>
        <w:rPr>
          <w:rFonts w:ascii="Times New Roman" w:hAnsi="Times New Roman"/>
          <w:i/>
          <w:position w:val="2"/>
        </w:rPr>
        <w:t>k</w:t>
      </w:r>
      <w:r>
        <w:rPr>
          <w:rFonts w:ascii="Times New Roman" w:hAnsi="Times New Roman"/>
          <w:position w:val="2"/>
        </w:rPr>
        <w:t>, </w:t>
      </w:r>
      <w:r>
        <w:rPr>
          <w:rFonts w:ascii="Times New Roman" w:hAnsi="Times New Roman"/>
          <w:i/>
          <w:position w:val="2"/>
        </w:rPr>
        <w:t>t</w:t>
      </w:r>
      <w:r>
        <w:rPr>
          <w:rFonts w:ascii="Times New Roman" w:hAnsi="Times New Roman"/>
          <w:i/>
          <w:sz w:val="16"/>
        </w:rPr>
        <w:t>0.5</w:t>
      </w:r>
      <w:r>
        <w:rPr>
          <w:rFonts w:ascii="Times New Roman" w:hAnsi="Times New Roman"/>
          <w:position w:val="2"/>
        </w:rPr>
        <w:t>, </w:t>
      </w:r>
      <w:r>
        <w:rPr>
          <w:rFonts w:ascii="Times New Roman" w:hAnsi="Times New Roman"/>
          <w:i/>
          <w:position w:val="2"/>
        </w:rPr>
        <w:t>RG</w:t>
      </w:r>
      <w:r>
        <w:rPr>
          <w:rFonts w:ascii="Times New Roman" w:hAnsi="Times New Roman"/>
          <w:i/>
          <w:sz w:val="16"/>
        </w:rPr>
        <w:t>t</w:t>
      </w:r>
      <w:r>
        <w:rPr>
          <w:rFonts w:ascii="Times New Roman" w:hAnsi="Times New Roman"/>
          <w:position w:val="2"/>
        </w:rPr>
        <w:t>, and </w:t>
      </w:r>
      <w:r>
        <w:rPr>
          <w:rFonts w:ascii="Times New Roman" w:hAnsi="Times New Roman"/>
          <w:i/>
          <w:position w:val="2"/>
        </w:rPr>
        <w:t>µ</w:t>
      </w:r>
      <w:r>
        <w:rPr>
          <w:rFonts w:ascii="Times New Roman" w:hAnsi="Times New Roman"/>
          <w:i/>
          <w:sz w:val="16"/>
        </w:rPr>
        <w:t>0.5</w:t>
      </w:r>
      <w:r>
        <w:rPr>
          <w:rFonts w:ascii="Times New Roman" w:hAnsi="Times New Roman"/>
          <w:position w:val="2"/>
        </w:rPr>
        <w:t>), for the hydration, removal of </w:t>
      </w:r>
      <w:r>
        <w:rPr>
          <w:rFonts w:ascii="Times New Roman" w:hAnsi="Times New Roman"/>
        </w:rPr>
        <w:t>digestion  inhibitors  and/or  the  attachment  of  microbes  with  substrates  (Mertens 1993)</w:t>
      </w:r>
    </w:p>
    <w:p>
      <w:pPr>
        <w:spacing w:after="0" w:line="360" w:lineRule="auto"/>
        <w:jc w:val="both"/>
        <w:rPr>
          <w:rFonts w:ascii="Times New Roman" w:hAnsi="Times New Roman"/>
        </w:rPr>
        <w:sectPr>
          <w:pgSz w:w="12240" w:h="15840"/>
          <w:pgMar w:header="684" w:footer="1164" w:top="1380" w:bottom="1380" w:left="1440" w:right="1460"/>
        </w:sectPr>
      </w:pPr>
    </w:p>
    <w:p>
      <w:pPr>
        <w:pStyle w:val="BodyText"/>
        <w:spacing w:before="2"/>
        <w:rPr>
          <w:rFonts w:ascii="Times New Roman"/>
          <w:sz w:val="15"/>
        </w:rPr>
      </w:pPr>
    </w:p>
    <w:p>
      <w:pPr>
        <w:pStyle w:val="BodyText"/>
        <w:spacing w:line="360" w:lineRule="auto" w:before="69"/>
        <w:ind w:left="259" w:right="245"/>
        <w:jc w:val="both"/>
        <w:rPr>
          <w:rFonts w:ascii="Times New Roman" w:hAnsi="Times New Roman"/>
        </w:rPr>
      </w:pPr>
      <w:r>
        <w:rPr>
          <w:rFonts w:ascii="Times New Roman" w:hAnsi="Times New Roman"/>
        </w:rPr>
        <w:t>increase the adsorption time, so as to be more difficulty against the structural carbohydrate </w:t>
      </w:r>
      <w:r>
        <w:rPr>
          <w:rFonts w:ascii="Times New Roman" w:hAnsi="Times New Roman"/>
          <w:position w:val="2"/>
        </w:rPr>
        <w:t>(Tan et al. 2002). </w:t>
      </w:r>
      <w:r>
        <w:rPr>
          <w:rFonts w:ascii="Times New Roman" w:hAnsi="Times New Roman"/>
          <w:i/>
          <w:position w:val="2"/>
        </w:rPr>
        <w:t>t</w:t>
      </w:r>
      <w:r>
        <w:rPr>
          <w:rFonts w:ascii="Times New Roman" w:hAnsi="Times New Roman"/>
          <w:i/>
          <w:sz w:val="16"/>
        </w:rPr>
        <w:t>0.5 </w:t>
      </w:r>
      <w:r>
        <w:rPr>
          <w:rFonts w:ascii="Times New Roman" w:hAnsi="Times New Roman"/>
          <w:position w:val="2"/>
        </w:rPr>
        <w:t>of hull was much higher than that in safflower meal and kernel or </w:t>
      </w:r>
      <w:r>
        <w:rPr>
          <w:rFonts w:ascii="Times New Roman" w:hAnsi="Times New Roman"/>
        </w:rPr>
        <w:t>whole seed, it might be ascribed to that SFM’s hull impeded the attachment, adhesion, colonization and degradation processes of ruminal microorganisms (Varga &amp; Kolver 1997).</w:t>
      </w:r>
    </w:p>
    <w:p>
      <w:pPr>
        <w:pStyle w:val="Heading4"/>
        <w:numPr>
          <w:ilvl w:val="2"/>
          <w:numId w:val="16"/>
        </w:numPr>
        <w:tabs>
          <w:tab w:pos="682" w:val="left" w:leader="none"/>
        </w:tabs>
        <w:spacing w:line="240" w:lineRule="auto" w:before="8" w:after="0"/>
        <w:ind w:left="681" w:right="0" w:hanging="422"/>
        <w:jc w:val="both"/>
        <w:rPr>
          <w:rFonts w:ascii="Times New Roman"/>
          <w:i/>
        </w:rPr>
      </w:pPr>
      <w:r>
        <w:rPr>
          <w:rFonts w:ascii="Times New Roman"/>
          <w:i/>
        </w:rPr>
        <w:t>Rumen</w:t>
      </w:r>
      <w:r>
        <w:rPr>
          <w:rFonts w:ascii="Times New Roman"/>
          <w:i/>
          <w:spacing w:val="-1"/>
        </w:rPr>
        <w:t> </w:t>
      </w:r>
      <w:r>
        <w:rPr>
          <w:rFonts w:ascii="Times New Roman"/>
          <w:i/>
        </w:rPr>
        <w:t>pH</w:t>
      </w:r>
    </w:p>
    <w:p>
      <w:pPr>
        <w:pStyle w:val="BodyText"/>
        <w:spacing w:line="360" w:lineRule="auto" w:before="132"/>
        <w:ind w:left="259" w:right="239"/>
        <w:jc w:val="both"/>
        <w:rPr>
          <w:rFonts w:ascii="Times New Roman"/>
        </w:rPr>
      </w:pPr>
      <w:r>
        <w:rPr>
          <w:rFonts w:ascii="Times New Roman"/>
        </w:rPr>
        <w:t>Rumen pH is inconsistent with metabolite concentrates, high pH value always adjunct with lower secondary metabolites, otherwise (Pina et al. 2009). The pH value, ranging from 5.5 to 7.5, is deemed as an important determinant in the rumen </w:t>
      </w:r>
      <w:r>
        <w:rPr>
          <w:rFonts w:ascii="Times New Roman"/>
          <w:i/>
        </w:rPr>
        <w:t>in vitro </w:t>
      </w:r>
      <w:r>
        <w:rPr>
          <w:rFonts w:ascii="Times New Roman"/>
        </w:rPr>
        <w:t>or </w:t>
      </w:r>
      <w:r>
        <w:rPr>
          <w:rFonts w:ascii="Times New Roman"/>
          <w:i/>
        </w:rPr>
        <w:t>in vivo </w:t>
      </w:r>
      <w:r>
        <w:rPr>
          <w:rFonts w:ascii="Times New Roman"/>
        </w:rPr>
        <w:t>fermentation (Yuan et al. 2010), highly correlated with VFAs, the population and enzyme activities of microbes. Fatty acids like lactic acid, which inhibits membranes by lactic acid in non- ionized than in ionized form, protozoal population which are responsible for about 25% of rumen microbial cellulolytic and help maintain a higher pH by engulfing starch granules (Mould et al. 2005). In our study, pH value was around 6.7 to 6.9 during the processes of </w:t>
      </w:r>
      <w:r>
        <w:rPr>
          <w:rFonts w:ascii="Times New Roman"/>
          <w:i/>
        </w:rPr>
        <w:t>in </w:t>
      </w:r>
      <w:r>
        <w:rPr>
          <w:rFonts w:ascii="Times New Roman"/>
          <w:i/>
        </w:rPr>
        <w:t>vitro </w:t>
      </w:r>
      <w:r>
        <w:rPr>
          <w:rFonts w:ascii="Times New Roman"/>
        </w:rPr>
        <w:t>fermentation of different parts of safflower seed for 48 h. The stability of pH showed that it was beneficial for the entire fermentation and to kept microbes to survive in a comfortable micro-environment.</w:t>
      </w:r>
    </w:p>
    <w:p>
      <w:pPr>
        <w:pStyle w:val="Heading4"/>
        <w:numPr>
          <w:ilvl w:val="2"/>
          <w:numId w:val="16"/>
        </w:numPr>
        <w:tabs>
          <w:tab w:pos="682" w:val="left" w:leader="none"/>
        </w:tabs>
        <w:spacing w:line="240" w:lineRule="auto" w:before="8" w:after="0"/>
        <w:ind w:left="681" w:right="0" w:hanging="422"/>
        <w:jc w:val="both"/>
        <w:rPr>
          <w:rFonts w:ascii="Times New Roman"/>
          <w:i/>
        </w:rPr>
      </w:pPr>
      <w:r>
        <w:rPr>
          <w:rFonts w:ascii="Times New Roman"/>
          <w:i/>
        </w:rPr>
        <w:t>Digestibility of</w:t>
      </w:r>
      <w:r>
        <w:rPr>
          <w:rFonts w:ascii="Times New Roman"/>
          <w:i/>
          <w:spacing w:val="-6"/>
        </w:rPr>
        <w:t> </w:t>
      </w:r>
      <w:r>
        <w:rPr>
          <w:rFonts w:ascii="Times New Roman"/>
          <w:i/>
        </w:rPr>
        <w:t>fibre</w:t>
      </w:r>
    </w:p>
    <w:p>
      <w:pPr>
        <w:pStyle w:val="BodyText"/>
        <w:spacing w:line="360" w:lineRule="auto" w:before="132"/>
        <w:ind w:left="259" w:right="234"/>
        <w:jc w:val="both"/>
        <w:rPr>
          <w:rFonts w:ascii="Times New Roman" w:hAnsi="Times New Roman"/>
        </w:rPr>
      </w:pPr>
      <w:r>
        <w:rPr>
          <w:rFonts w:ascii="Times New Roman" w:hAnsi="Times New Roman"/>
        </w:rPr>
        <w:t>Other very important index to evaluate the nutritional values of feed is the digestibility (Naga &amp; el-Shazly 1963). In this study, hull had high fibre content, its </w:t>
      </w:r>
      <w:r>
        <w:rPr>
          <w:rFonts w:ascii="Times New Roman" w:hAnsi="Times New Roman"/>
          <w:i/>
        </w:rPr>
        <w:t>in vitro </w:t>
      </w:r>
      <w:r>
        <w:rPr>
          <w:rFonts w:ascii="Times New Roman" w:hAnsi="Times New Roman"/>
        </w:rPr>
        <w:t>dry matter disappearance (</w:t>
      </w:r>
      <w:r>
        <w:rPr>
          <w:rFonts w:ascii="Times New Roman" w:hAnsi="Times New Roman"/>
          <w:i/>
        </w:rPr>
        <w:t>IVDMD</w:t>
      </w:r>
      <w:r>
        <w:rPr>
          <w:rFonts w:ascii="Times New Roman" w:hAnsi="Times New Roman"/>
        </w:rPr>
        <w:t>) was the lowest compared with other partitions of safflower seed. It would be due to the high fibre lignification, as we know the lignified fibre is indigestible composition for rumen microbes. Apparent </w:t>
      </w:r>
      <w:r>
        <w:rPr>
          <w:rFonts w:ascii="Times New Roman" w:hAnsi="Times New Roman"/>
          <w:i/>
        </w:rPr>
        <w:t>IVDMD </w:t>
      </w:r>
      <w:r>
        <w:rPr>
          <w:rFonts w:ascii="Times New Roman" w:hAnsi="Times New Roman"/>
        </w:rPr>
        <w:t>of kernel was the highest among different parts of safflower seed, because it had high soluble ingredients, </w:t>
      </w:r>
      <w:r>
        <w:rPr>
          <w:rFonts w:ascii="Times New Roman" w:hAnsi="Times New Roman"/>
          <w:i/>
        </w:rPr>
        <w:t>e.g.</w:t>
      </w:r>
      <w:r>
        <w:rPr>
          <w:rFonts w:ascii="Times New Roman" w:hAnsi="Times New Roman"/>
        </w:rPr>
        <w:t>, soluble carbohydrates, protein, and lipids. Some compositions were washed out by the neutral or acid fiber detergents, which had been calculated into </w:t>
      </w:r>
      <w:r>
        <w:rPr>
          <w:rFonts w:ascii="Times New Roman" w:hAnsi="Times New Roman"/>
          <w:i/>
        </w:rPr>
        <w:t>IVDMD </w:t>
      </w:r>
      <w:r>
        <w:rPr>
          <w:rFonts w:ascii="Times New Roman" w:hAnsi="Times New Roman"/>
        </w:rPr>
        <w:t>result. That’s why we also calculated non-fiber digestibility, NDF and ADF digestibility (in percentage). NDF/ ADF digestibility of Kernel were around to 100% or a little higher than 100%, as high soluble capacities of ingredients in safflower kernel or might be the microbes adjunct to the nylon bag fermented </w:t>
      </w:r>
      <w:r>
        <w:rPr>
          <w:rFonts w:ascii="Times New Roman" w:hAnsi="Times New Roman"/>
          <w:i/>
        </w:rPr>
        <w:t>in vitro</w:t>
      </w:r>
      <w:r>
        <w:rPr>
          <w:rFonts w:ascii="Times New Roman" w:hAnsi="Times New Roman"/>
        </w:rPr>
        <w:t>. Whole seed have higher NDF and ADF digestibility than safflower meal, because calculating the original NDF or ADF contents (in percentage) in whole seed was lower than that of safflower meal as high lipid content deposited in whole seed, other</w:t>
      </w:r>
    </w:p>
    <w:p>
      <w:pPr>
        <w:spacing w:after="0" w:line="360" w:lineRule="auto"/>
        <w:jc w:val="both"/>
        <w:rPr>
          <w:rFonts w:ascii="Times New Roman" w:hAnsi="Times New Roman"/>
        </w:rPr>
        <w:sectPr>
          <w:footerReference w:type="default" r:id="rId101"/>
          <w:pgSz w:w="12240" w:h="15840"/>
          <w:pgMar w:footer="1172" w:header="684" w:top="1380" w:bottom="1360" w:left="1440" w:right="1460"/>
          <w:pgNumType w:start="80"/>
        </w:sectPr>
      </w:pPr>
    </w:p>
    <w:p>
      <w:pPr>
        <w:pStyle w:val="BodyText"/>
        <w:spacing w:before="2"/>
        <w:rPr>
          <w:rFonts w:ascii="Times New Roman"/>
          <w:sz w:val="15"/>
        </w:rPr>
      </w:pPr>
    </w:p>
    <w:p>
      <w:pPr>
        <w:pStyle w:val="BodyText"/>
        <w:spacing w:line="360" w:lineRule="auto" w:before="69"/>
        <w:ind w:left="259" w:right="234"/>
        <w:jc w:val="both"/>
        <w:rPr>
          <w:rFonts w:ascii="Times New Roman"/>
        </w:rPr>
      </w:pPr>
      <w:r>
        <w:rPr>
          <w:rFonts w:ascii="Times New Roman"/>
        </w:rPr>
        <w:t>while, safflower meal have high NDF/ ADF in percentage for getting rid out of lipid in it. However, </w:t>
      </w:r>
      <w:r>
        <w:rPr>
          <w:rFonts w:ascii="Times New Roman"/>
          <w:i/>
        </w:rPr>
        <w:t>IVDMD </w:t>
      </w:r>
      <w:r>
        <w:rPr>
          <w:rFonts w:ascii="Times New Roman"/>
        </w:rPr>
        <w:t>of whole seed was similar with that of safflower meal, as to co- contributions of lipid content which increase and some anti-nutritional factors which decrease </w:t>
      </w:r>
      <w:r>
        <w:rPr>
          <w:rFonts w:ascii="Times New Roman"/>
          <w:i/>
        </w:rPr>
        <w:t>IVDMD </w:t>
      </w:r>
      <w:r>
        <w:rPr>
          <w:rFonts w:ascii="Times New Roman"/>
        </w:rPr>
        <w:t>(apparent) in whole seed, in total, this two important parts resulted to </w:t>
      </w:r>
      <w:r>
        <w:rPr>
          <w:rFonts w:ascii="Times New Roman"/>
          <w:i/>
        </w:rPr>
        <w:t>IVDMD </w:t>
      </w:r>
      <w:r>
        <w:rPr>
          <w:rFonts w:ascii="Times New Roman"/>
        </w:rPr>
        <w:t>of safflower seed was similar with that of safflower meal, just  according to the truth </w:t>
      </w:r>
      <w:r>
        <w:rPr>
          <w:rFonts w:ascii="Times New Roman"/>
          <w:i/>
        </w:rPr>
        <w:t>IVDMD </w:t>
      </w:r>
      <w:r>
        <w:rPr>
          <w:rFonts w:ascii="Times New Roman"/>
        </w:rPr>
        <w:t>of safflower meal should be higher than that of safflower seed, what a pity, this need a further work to prove it.</w:t>
      </w:r>
    </w:p>
    <w:p>
      <w:pPr>
        <w:pStyle w:val="BodyText"/>
        <w:spacing w:before="11"/>
        <w:rPr>
          <w:rFonts w:ascii="Times New Roman"/>
        </w:rPr>
      </w:pPr>
    </w:p>
    <w:p>
      <w:pPr>
        <w:pStyle w:val="ListParagraph"/>
        <w:numPr>
          <w:ilvl w:val="1"/>
          <w:numId w:val="16"/>
        </w:numPr>
        <w:tabs>
          <w:tab w:pos="504" w:val="left" w:leader="none"/>
        </w:tabs>
        <w:spacing w:line="240" w:lineRule="auto" w:before="0" w:after="0"/>
        <w:ind w:left="504" w:right="0" w:hanging="245"/>
        <w:jc w:val="both"/>
        <w:rPr>
          <w:rFonts w:ascii="Times New Roman"/>
          <w:b/>
          <w:sz w:val="24"/>
        </w:rPr>
      </w:pPr>
      <w:r>
        <w:rPr>
          <w:rFonts w:ascii="Times New Roman"/>
          <w:b/>
          <w:sz w:val="24"/>
        </w:rPr>
        <w:t>Conclusion</w:t>
      </w:r>
    </w:p>
    <w:p>
      <w:pPr>
        <w:pStyle w:val="BodyText"/>
        <w:spacing w:line="360" w:lineRule="auto" w:before="132"/>
        <w:ind w:left="259" w:right="242"/>
        <w:jc w:val="both"/>
        <w:rPr>
          <w:rFonts w:ascii="Times New Roman"/>
        </w:rPr>
      </w:pPr>
      <w:r>
        <w:rPr>
          <w:rFonts w:ascii="Times New Roman"/>
        </w:rPr>
        <w:t>This work give us the information about utilization of safflower seed in ovine rations by </w:t>
      </w:r>
      <w:r>
        <w:rPr>
          <w:rFonts w:ascii="Times New Roman"/>
          <w:i/>
        </w:rPr>
        <w:t>in </w:t>
      </w:r>
      <w:r>
        <w:rPr>
          <w:rFonts w:ascii="Times New Roman"/>
          <w:i/>
        </w:rPr>
        <w:t>vitro </w:t>
      </w:r>
      <w:r>
        <w:rPr>
          <w:rFonts w:ascii="Times New Roman"/>
        </w:rPr>
        <w:t>ruminal fermentation, the results implied that there was no significant difference in nutritional contribution to </w:t>
      </w:r>
      <w:r>
        <w:rPr>
          <w:rFonts w:ascii="Times New Roman"/>
          <w:i/>
        </w:rPr>
        <w:t>in vitro </w:t>
      </w:r>
      <w:r>
        <w:rPr>
          <w:rFonts w:ascii="Times New Roman"/>
        </w:rPr>
        <w:t>fermentation characteristics between safflower meals extracted with hexane or petroleum ether, meanwhile safflower meal had higher ruminal fermentation characteristics and digestibility </w:t>
      </w:r>
      <w:r>
        <w:rPr>
          <w:rFonts w:ascii="Times New Roman"/>
          <w:i/>
        </w:rPr>
        <w:t>in vitro </w:t>
      </w:r>
      <w:r>
        <w:rPr>
          <w:rFonts w:ascii="Times New Roman"/>
        </w:rPr>
        <w:t>than those of whole safflower whole seed, as well as kernel and hull partitions, in spite of digestibility of kernel was very high because of high soluble capability of kernel compositions. Our research work had proved that safflower meal has higher utilization efficiency than other fractions of safflower seed, and there is no difference in nutritional values between two extracting methods based on extracting solvents of hexane and petroleum ether. We expected this work could provide a very clear idea for producers or farmers in ruminant industry to choose a good resource of safflower by-products as feedstuff, in addition of consideration of the cost for production.</w:t>
      </w:r>
    </w:p>
    <w:p>
      <w:pPr>
        <w:pStyle w:val="BodyText"/>
        <w:spacing w:before="11"/>
        <w:rPr>
          <w:rFonts w:ascii="Times New Roman"/>
        </w:rPr>
      </w:pPr>
    </w:p>
    <w:p>
      <w:pPr>
        <w:spacing w:before="0"/>
        <w:ind w:left="259" w:right="0" w:firstLine="0"/>
        <w:jc w:val="both"/>
        <w:rPr>
          <w:rFonts w:ascii="Times New Roman"/>
          <w:b/>
          <w:sz w:val="24"/>
        </w:rPr>
      </w:pPr>
      <w:r>
        <w:rPr>
          <w:rFonts w:ascii="Times New Roman"/>
          <w:b/>
          <w:sz w:val="24"/>
        </w:rPr>
        <w:t>Acknowledge</w:t>
      </w:r>
    </w:p>
    <w:p>
      <w:pPr>
        <w:pStyle w:val="BodyText"/>
        <w:spacing w:line="360" w:lineRule="auto" w:before="137"/>
        <w:ind w:left="259" w:right="236"/>
        <w:jc w:val="both"/>
        <w:rPr>
          <w:rFonts w:ascii="Times New Roman" w:hAnsi="Times New Roman"/>
        </w:rPr>
      </w:pPr>
      <w:r>
        <w:rPr>
          <w:rFonts w:ascii="Times New Roman" w:hAnsi="Times New Roman"/>
        </w:rPr>
        <w:t>The authors give very thanks for nutritional laboratory in the National Center for Disciplinary Research on Animal Physiology and Breeding, National Institute of Forestry, Agriculture and Livestock Research (INIFAP), Queretaro, Mexico for providing experimental materials and chemicals for this research works. Yong Liu acknowledges the Mexican Council for Science and Technology (CONACyT) for financial support to implement the Ph.D. studies. And all authors give many thanks for some suggestion of Dr. Luis  Humberto  Lopez-Hernández  and  Dr.  Ricardo  Basurto-Gutiérrez  in  INIFAP,   and</w:t>
      </w:r>
    </w:p>
    <w:p>
      <w:pPr>
        <w:spacing w:after="0" w:line="360" w:lineRule="auto"/>
        <w:jc w:val="both"/>
        <w:rPr>
          <w:rFonts w:ascii="Times New Roman" w:hAnsi="Times New Roman"/>
        </w:rPr>
        <w:sectPr>
          <w:pgSz w:w="12240" w:h="15840"/>
          <w:pgMar w:header="684" w:footer="1172" w:top="1380" w:bottom="1380" w:left="1440" w:right="1460"/>
        </w:sectPr>
      </w:pPr>
    </w:p>
    <w:p>
      <w:pPr>
        <w:pStyle w:val="BodyText"/>
        <w:spacing w:before="2"/>
        <w:rPr>
          <w:rFonts w:ascii="Times New Roman"/>
          <w:sz w:val="15"/>
        </w:rPr>
      </w:pPr>
    </w:p>
    <w:p>
      <w:pPr>
        <w:pStyle w:val="BodyText"/>
        <w:spacing w:line="360" w:lineRule="auto" w:before="69"/>
        <w:ind w:left="259"/>
        <w:rPr>
          <w:rFonts w:ascii="Times New Roman" w:hAnsi="Times New Roman"/>
        </w:rPr>
      </w:pPr>
      <w:r>
        <w:rPr>
          <w:rFonts w:ascii="Times New Roman" w:hAnsi="Times New Roman"/>
        </w:rPr>
        <w:t>kindly help from Mrs. Maria Alejandra Pérez-Alvarado for purchasing safflower seed from Queretaro.</w:t>
      </w:r>
    </w:p>
    <w:p>
      <w:pPr>
        <w:pStyle w:val="BodyText"/>
        <w:spacing w:before="9"/>
        <w:rPr>
          <w:rFonts w:ascii="Times New Roman"/>
          <w:sz w:val="25"/>
        </w:rPr>
      </w:pPr>
    </w:p>
    <w:p>
      <w:pPr>
        <w:spacing w:before="1"/>
        <w:ind w:left="259" w:right="0" w:firstLine="0"/>
        <w:jc w:val="left"/>
        <w:rPr>
          <w:rFonts w:ascii="Times New Roman"/>
          <w:b/>
          <w:sz w:val="24"/>
        </w:rPr>
      </w:pPr>
      <w:r>
        <w:rPr>
          <w:rFonts w:ascii="Times New Roman"/>
          <w:b/>
          <w:sz w:val="24"/>
        </w:rPr>
        <w:t>References</w:t>
      </w:r>
    </w:p>
    <w:p>
      <w:pPr>
        <w:pStyle w:val="BodyText"/>
        <w:spacing w:before="10"/>
        <w:rPr>
          <w:rFonts w:ascii="Times New Roman"/>
          <w:b/>
          <w:sz w:val="23"/>
        </w:rPr>
      </w:pPr>
    </w:p>
    <w:p>
      <w:pPr>
        <w:spacing w:line="360" w:lineRule="auto" w:before="0"/>
        <w:ind w:left="687" w:right="235" w:hanging="341"/>
        <w:jc w:val="both"/>
        <w:rPr>
          <w:rFonts w:ascii="Arial"/>
          <w:sz w:val="22"/>
        </w:rPr>
      </w:pPr>
      <w:r>
        <w:rPr>
          <w:rFonts w:ascii="Arial"/>
          <w:sz w:val="22"/>
        </w:rPr>
        <w:t>Alizadeh AR, Ghorbani GR, Alikhani </w:t>
      </w:r>
      <w:r>
        <w:rPr>
          <w:rFonts w:ascii="Arial"/>
          <w:spacing w:val="-4"/>
          <w:sz w:val="22"/>
        </w:rPr>
        <w:t>M, </w:t>
      </w:r>
      <w:r>
        <w:rPr>
          <w:rFonts w:ascii="Arial"/>
          <w:sz w:val="22"/>
        </w:rPr>
        <w:t>Rahmani HR, Nikkhah A. 2010. Safflower seeds  in corn silage and alfalfa hay based early lactation diets: A practice within an optimum forage choice. Anim Feed Sci Technol.</w:t>
      </w:r>
      <w:r>
        <w:rPr>
          <w:rFonts w:ascii="Arial"/>
          <w:spacing w:val="-19"/>
          <w:sz w:val="22"/>
        </w:rPr>
        <w:t> </w:t>
      </w:r>
      <w:r>
        <w:rPr>
          <w:rFonts w:ascii="Arial"/>
          <w:sz w:val="22"/>
        </w:rPr>
        <w:t>1/20/;155:18-24.</w:t>
      </w:r>
    </w:p>
    <w:p>
      <w:pPr>
        <w:spacing w:line="360" w:lineRule="auto" w:before="3"/>
        <w:ind w:left="687" w:right="236" w:hanging="341"/>
        <w:jc w:val="both"/>
        <w:rPr>
          <w:rFonts w:ascii="Arial" w:hAnsi="Arial"/>
          <w:sz w:val="22"/>
        </w:rPr>
      </w:pPr>
      <w:r>
        <w:rPr>
          <w:rFonts w:ascii="Arial" w:hAnsi="Arial"/>
          <w:sz w:val="22"/>
        </w:rPr>
        <w:t>Baümler E, Cuniberti A, Nolasco SM, Riccobene IC. 2006. Moisture dependent physical and compression properties of safflower seed. J Food Eng.72:134-140.</w:t>
      </w:r>
    </w:p>
    <w:p>
      <w:pPr>
        <w:spacing w:line="360" w:lineRule="auto" w:before="3"/>
        <w:ind w:left="687" w:right="242" w:hanging="341"/>
        <w:jc w:val="both"/>
        <w:rPr>
          <w:rFonts w:ascii="Arial"/>
          <w:sz w:val="22"/>
        </w:rPr>
      </w:pPr>
      <w:r>
        <w:rPr>
          <w:rFonts w:ascii="Arial"/>
          <w:sz w:val="22"/>
        </w:rPr>
        <w:t>Benchaar C, Calsamiglia S, Chaves AV, Fraser GR, Colombatto D, McAllister TA, Beauchemin KA. 2008. A review of plant-derived essential oils in ruminant nutrition and production. Anim Feed Sci Technol.145:209-228.</w:t>
      </w:r>
    </w:p>
    <w:p>
      <w:pPr>
        <w:spacing w:line="364" w:lineRule="auto" w:before="3"/>
        <w:ind w:left="687" w:right="235" w:hanging="341"/>
        <w:jc w:val="both"/>
        <w:rPr>
          <w:rFonts w:ascii="Arial"/>
          <w:sz w:val="22"/>
        </w:rPr>
      </w:pPr>
      <w:r>
        <w:rPr>
          <w:rFonts w:ascii="Arial"/>
          <w:sz w:val="22"/>
        </w:rPr>
        <w:t>Bozan B, Temelli F. 2008. Chemical composition and oxidative stability of flax, safflower and poppy seed and seed oils. Bioresour Technol. 9//;99:6354-6359.</w:t>
      </w:r>
    </w:p>
    <w:p>
      <w:pPr>
        <w:spacing w:line="360" w:lineRule="auto" w:before="0"/>
        <w:ind w:left="687" w:right="244" w:hanging="341"/>
        <w:jc w:val="both"/>
        <w:rPr>
          <w:rFonts w:ascii="Arial"/>
          <w:sz w:val="22"/>
        </w:rPr>
      </w:pPr>
      <w:r>
        <w:rPr>
          <w:rFonts w:ascii="Arial"/>
          <w:sz w:val="22"/>
        </w:rPr>
        <w:t>Cone JW, van Gelder AH, Driehuis F. 1997. Description of gas production profiles with a three-phasic model. Anim Feed Sci Technol. 5//;66:31-45.</w:t>
      </w:r>
    </w:p>
    <w:p>
      <w:pPr>
        <w:spacing w:line="360" w:lineRule="auto" w:before="3"/>
        <w:ind w:left="687" w:right="247" w:hanging="341"/>
        <w:jc w:val="both"/>
        <w:rPr>
          <w:rFonts w:ascii="Arial"/>
          <w:sz w:val="22"/>
        </w:rPr>
      </w:pPr>
      <w:r>
        <w:rPr>
          <w:rFonts w:ascii="Arial"/>
          <w:sz w:val="22"/>
        </w:rPr>
        <w:t>Cone JW, van Gelder AH, Visscher GJW, Oudshoorn L. 1996. Influence of rumen fluid and substrate concentration on fermentation kinetics measured with a fully automated time related gas production apparatus. Anim Feed Sci Technol.61:113-128.</w:t>
      </w:r>
    </w:p>
    <w:p>
      <w:pPr>
        <w:spacing w:line="360" w:lineRule="auto" w:before="3"/>
        <w:ind w:left="687" w:right="243" w:hanging="341"/>
        <w:jc w:val="both"/>
        <w:rPr>
          <w:rFonts w:ascii="Arial"/>
          <w:sz w:val="22"/>
        </w:rPr>
      </w:pPr>
      <w:r>
        <w:rPr>
          <w:rFonts w:ascii="Arial"/>
          <w:sz w:val="22"/>
        </w:rPr>
        <w:t>Cunniff PAoOAC. 1995. Official methods of analysis of AOAC international Washington, DC: Association of Official Analytical Chemists.</w:t>
      </w:r>
    </w:p>
    <w:p>
      <w:pPr>
        <w:spacing w:line="360" w:lineRule="auto" w:before="3"/>
        <w:ind w:left="687" w:right="235" w:hanging="341"/>
        <w:jc w:val="both"/>
        <w:rPr>
          <w:rFonts w:ascii="Arial"/>
          <w:sz w:val="22"/>
        </w:rPr>
      </w:pPr>
      <w:r>
        <w:rPr>
          <w:rFonts w:ascii="Arial"/>
          <w:sz w:val="22"/>
        </w:rPr>
        <w:t>Chandrasekharaiah </w:t>
      </w:r>
      <w:r>
        <w:rPr>
          <w:rFonts w:ascii="Arial"/>
          <w:spacing w:val="-4"/>
          <w:sz w:val="22"/>
        </w:rPr>
        <w:t>M,</w:t>
      </w:r>
      <w:r>
        <w:rPr>
          <w:rFonts w:ascii="Arial"/>
          <w:spacing w:val="53"/>
          <w:sz w:val="22"/>
        </w:rPr>
        <w:t> </w:t>
      </w:r>
      <w:r>
        <w:rPr>
          <w:rFonts w:ascii="Arial"/>
          <w:sz w:val="22"/>
        </w:rPr>
        <w:t>Sampath KT, Praveen US, Umalatha. 2002. Evaluation of chemical composition and in vitro digestibility of certain commonly used concentrate ingredients and fodder/top feeds in ruminant rations. Indian J Dairy Biosci.13:28-35.</w:t>
      </w:r>
    </w:p>
    <w:p>
      <w:pPr>
        <w:spacing w:line="360" w:lineRule="auto" w:before="4"/>
        <w:ind w:left="240" w:right="231" w:firstLine="0"/>
        <w:jc w:val="right"/>
        <w:rPr>
          <w:rFonts w:ascii="Arial"/>
          <w:sz w:val="22"/>
        </w:rPr>
      </w:pPr>
      <w:r>
        <w:rPr>
          <w:rFonts w:ascii="Arial"/>
          <w:sz w:val="22"/>
        </w:rPr>
        <w:t>Chandrasekharaiah </w:t>
      </w:r>
      <w:r>
        <w:rPr>
          <w:rFonts w:ascii="Arial"/>
          <w:spacing w:val="-4"/>
          <w:sz w:val="22"/>
        </w:rPr>
        <w:t>M,</w:t>
      </w:r>
      <w:r>
        <w:rPr>
          <w:rFonts w:ascii="Arial"/>
          <w:spacing w:val="53"/>
          <w:sz w:val="22"/>
        </w:rPr>
        <w:t> </w:t>
      </w:r>
      <w:r>
        <w:rPr>
          <w:rFonts w:ascii="Arial"/>
          <w:sz w:val="22"/>
        </w:rPr>
        <w:t>Sampath KT, Thulasi A, Anandan S. 2001. In situ protein</w:t>
      </w:r>
      <w:r>
        <w:rPr>
          <w:rFonts w:ascii="Arial"/>
          <w:w w:val="100"/>
          <w:sz w:val="22"/>
        </w:rPr>
        <w:t> </w:t>
      </w:r>
      <w:r>
        <w:rPr>
          <w:rFonts w:ascii="Arial"/>
          <w:sz w:val="22"/>
        </w:rPr>
        <w:t>degradability of certain feedstuffs in the rumen of cattle. Indian J Anim Sci.71:261-264.</w:t>
      </w:r>
      <w:r>
        <w:rPr>
          <w:rFonts w:ascii="Arial"/>
          <w:w w:val="100"/>
          <w:sz w:val="22"/>
        </w:rPr>
        <w:t> </w:t>
      </w:r>
      <w:r>
        <w:rPr>
          <w:rFonts w:ascii="Arial"/>
          <w:sz w:val="22"/>
        </w:rPr>
        <w:t>Dessie J, </w:t>
      </w:r>
      <w:r>
        <w:rPr>
          <w:rFonts w:ascii="Arial"/>
          <w:spacing w:val="-2"/>
          <w:sz w:val="22"/>
        </w:rPr>
        <w:t>Melaku </w:t>
      </w:r>
      <w:r>
        <w:rPr>
          <w:rFonts w:ascii="Arial"/>
          <w:sz w:val="22"/>
        </w:rPr>
        <w:t>S, Tegegne F, Peters K. 2010. Effect of supplementation of Simada</w:t>
      </w:r>
      <w:r>
        <w:rPr>
          <w:rFonts w:ascii="Arial"/>
          <w:w w:val="100"/>
          <w:sz w:val="22"/>
        </w:rPr>
        <w:t> </w:t>
      </w:r>
      <w:r>
        <w:rPr>
          <w:rFonts w:ascii="Arial"/>
          <w:sz w:val="22"/>
        </w:rPr>
        <w:t>sheep with graded levels of concentrate meal on feed intake, digestibility and </w:t>
      </w:r>
      <w:r>
        <w:rPr>
          <w:rFonts w:ascii="Arial"/>
          <w:spacing w:val="3"/>
          <w:sz w:val="22"/>
        </w:rPr>
        <w:t>body-</w:t>
      </w:r>
    </w:p>
    <w:p>
      <w:pPr>
        <w:spacing w:before="3"/>
        <w:ind w:left="687" w:right="0" w:firstLine="0"/>
        <w:jc w:val="left"/>
        <w:rPr>
          <w:rFonts w:ascii="Arial"/>
          <w:sz w:val="22"/>
        </w:rPr>
      </w:pPr>
      <w:r>
        <w:rPr>
          <w:rFonts w:ascii="Arial"/>
          <w:sz w:val="22"/>
        </w:rPr>
        <w:t>weight parameters. Trop Anim Health Prod. 2010/06/01;42:841-848.</w:t>
      </w:r>
    </w:p>
    <w:p>
      <w:pPr>
        <w:spacing w:line="362" w:lineRule="auto" w:before="126"/>
        <w:ind w:left="687" w:right="235" w:hanging="341"/>
        <w:jc w:val="both"/>
        <w:rPr>
          <w:rFonts w:ascii="Arial"/>
          <w:sz w:val="22"/>
        </w:rPr>
      </w:pPr>
      <w:r>
        <w:rPr>
          <w:rFonts w:ascii="Arial"/>
          <w:sz w:val="22"/>
        </w:rPr>
        <w:t>Dixon RM, Hosking BJ, Egan AR. 2003. Effects of oilseed meal and grain-urea supplements fed infrequently on digestion in sheep: 1. Low quality grass hay diets. Anim Feed Sci Technol.110:75-94.</w:t>
      </w:r>
    </w:p>
    <w:p>
      <w:pPr>
        <w:spacing w:after="0" w:line="362" w:lineRule="auto"/>
        <w:jc w:val="both"/>
        <w:rPr>
          <w:rFonts w:ascii="Arial"/>
          <w:sz w:val="22"/>
        </w:rPr>
        <w:sectPr>
          <w:pgSz w:w="12240" w:h="15840"/>
          <w:pgMar w:header="684" w:footer="1172" w:top="1380" w:bottom="1380" w:left="1440" w:right="1460"/>
        </w:sectPr>
      </w:pPr>
    </w:p>
    <w:p>
      <w:pPr>
        <w:pStyle w:val="BodyText"/>
        <w:spacing w:before="7"/>
        <w:rPr>
          <w:rFonts w:ascii="Arial"/>
          <w:sz w:val="15"/>
        </w:rPr>
      </w:pPr>
    </w:p>
    <w:p>
      <w:pPr>
        <w:spacing w:line="360" w:lineRule="auto" w:before="72"/>
        <w:ind w:left="687" w:right="247" w:hanging="341"/>
        <w:jc w:val="both"/>
        <w:rPr>
          <w:rFonts w:ascii="Arial"/>
          <w:sz w:val="22"/>
        </w:rPr>
      </w:pPr>
      <w:r>
        <w:rPr>
          <w:rFonts w:ascii="Arial"/>
          <w:sz w:val="22"/>
        </w:rPr>
        <w:t>Dschaak CM, Eun JS, Young AJ, Bergman JW. 2010. Nutritive merits of whole Nutrasaff safflower seed when fed to Holstein dairy cows during mid lactation. Anim Feed Sci Technol.156:26-36.</w:t>
      </w:r>
    </w:p>
    <w:p>
      <w:pPr>
        <w:spacing w:before="3"/>
        <w:ind w:left="346" w:right="0" w:firstLine="0"/>
        <w:jc w:val="left"/>
        <w:rPr>
          <w:rFonts w:ascii="Arial"/>
          <w:sz w:val="22"/>
        </w:rPr>
      </w:pPr>
      <w:r>
        <w:rPr>
          <w:rFonts w:ascii="Arial"/>
          <w:sz w:val="22"/>
        </w:rPr>
        <w:t>FAO. 2011. Food and Agriculture Organization of the United Nations.</w:t>
      </w:r>
    </w:p>
    <w:p>
      <w:pPr>
        <w:spacing w:line="362" w:lineRule="auto" w:before="126"/>
        <w:ind w:left="687" w:right="248" w:hanging="341"/>
        <w:jc w:val="both"/>
        <w:rPr>
          <w:rFonts w:ascii="Arial"/>
          <w:sz w:val="22"/>
        </w:rPr>
      </w:pPr>
      <w:r>
        <w:rPr>
          <w:rFonts w:ascii="Arial"/>
          <w:sz w:val="22"/>
        </w:rPr>
        <w:t>France J, Dhanoa MS, Theodorou MK, Lister SJ, Davies DR, Isac D. 1993. A Model to Interpret Gas Accumulation Profiles Associated with In Vitro Degradation of Ruminant Feeds. J Theor Biol. 7/1/;163:99-111.</w:t>
      </w:r>
    </w:p>
    <w:p>
      <w:pPr>
        <w:spacing w:line="360" w:lineRule="auto" w:before="1"/>
        <w:ind w:left="687" w:right="238" w:hanging="341"/>
        <w:jc w:val="both"/>
        <w:rPr>
          <w:rFonts w:ascii="Arial"/>
          <w:sz w:val="22"/>
        </w:rPr>
      </w:pPr>
      <w:r>
        <w:rPr>
          <w:rFonts w:ascii="Arial"/>
          <w:sz w:val="22"/>
        </w:rPr>
        <w:t>France J, Dijkstra J, Dhanoa MS, Lopez S, Bannink A. 2000. Estimating the extent of degradation of ruminant feeds from a description of their gas production profiles observed in vitro: derivation of models and other mathematical considerations. Br J Nutr. Feb;83:143-150. Epub 2000/04/01.</w:t>
      </w:r>
    </w:p>
    <w:p>
      <w:pPr>
        <w:spacing w:line="360" w:lineRule="auto" w:before="4"/>
        <w:ind w:left="687" w:right="243" w:hanging="341"/>
        <w:jc w:val="both"/>
        <w:rPr>
          <w:rFonts w:ascii="Arial" w:hAnsi="Arial"/>
          <w:sz w:val="22"/>
        </w:rPr>
      </w:pPr>
      <w:r>
        <w:rPr>
          <w:rFonts w:ascii="Arial" w:hAnsi="Arial"/>
          <w:sz w:val="22"/>
        </w:rPr>
        <w:t>Getachew G, DePeters EJ, Robinson PH, Fadel JG. 2005. Use of an in vitro rumen gas production technique to evaluate microbial fermentation of ruminant feeds and its impact on fermentation products. Anim Feed Sci Technol.123–124, Part 1:547-559.</w:t>
      </w:r>
    </w:p>
    <w:p>
      <w:pPr>
        <w:spacing w:before="3"/>
        <w:ind w:left="346" w:right="0" w:firstLine="0"/>
        <w:jc w:val="left"/>
        <w:rPr>
          <w:rFonts w:ascii="Arial"/>
          <w:sz w:val="22"/>
        </w:rPr>
      </w:pPr>
      <w:r>
        <w:rPr>
          <w:rFonts w:ascii="Arial"/>
          <w:sz w:val="22"/>
        </w:rPr>
        <w:t>Goss H, Otagaki KK. 1954. Safflower meal digestion tests. Calif Agr.8:15.</w:t>
      </w:r>
    </w:p>
    <w:p>
      <w:pPr>
        <w:spacing w:line="360" w:lineRule="auto" w:before="126"/>
        <w:ind w:left="687" w:right="242" w:hanging="341"/>
        <w:jc w:val="both"/>
        <w:rPr>
          <w:rFonts w:ascii="Arial" w:hAnsi="Arial"/>
          <w:sz w:val="22"/>
        </w:rPr>
      </w:pPr>
      <w:r>
        <w:rPr>
          <w:rFonts w:ascii="Arial" w:hAnsi="Arial"/>
          <w:sz w:val="22"/>
        </w:rPr>
        <w:t>Gosselink JMJ, Dulphy JP, Poncet C, Aufrère J, Tamminga S, Cone JW. 2004. Rumen escape nitrogen from forages in sheep: comparison of in situ and in vitro techniques using in vivo data. Anim Feed Sci Technol.116:35-51.</w:t>
      </w:r>
    </w:p>
    <w:p>
      <w:pPr>
        <w:spacing w:line="360" w:lineRule="auto" w:before="3"/>
        <w:ind w:left="687" w:right="232" w:hanging="341"/>
        <w:jc w:val="both"/>
        <w:rPr>
          <w:rFonts w:ascii="Arial"/>
          <w:sz w:val="22"/>
        </w:rPr>
      </w:pPr>
      <w:r>
        <w:rPr>
          <w:rFonts w:ascii="Arial"/>
          <w:sz w:val="22"/>
        </w:rPr>
        <w:t>Guggolz J, Rubis DD, Herring VV, Palter R, Kohler GO. 1968. Composition of several types of Safflower seed. J Am Oil Chem Soc. 1968/10/01;45:689-693.</w:t>
      </w:r>
    </w:p>
    <w:p>
      <w:pPr>
        <w:spacing w:line="360" w:lineRule="auto" w:before="3"/>
        <w:ind w:left="687" w:right="233" w:hanging="341"/>
        <w:jc w:val="both"/>
        <w:rPr>
          <w:rFonts w:ascii="Arial"/>
          <w:sz w:val="22"/>
        </w:rPr>
      </w:pPr>
      <w:r>
        <w:rPr>
          <w:rFonts w:ascii="Arial"/>
          <w:sz w:val="22"/>
        </w:rPr>
        <w:t>Jiao J, Wang P, He Z, Tang S, Zhou C, Han X, Wang M, Wu D, Kang J, Tan Z. 2013. In vitro evaluation on neutral detergent fiber and cellulose digestion by post-ruminal microorganisms in goats. J Sci Food Agric.n/a-n/a.</w:t>
      </w:r>
    </w:p>
    <w:p>
      <w:pPr>
        <w:spacing w:line="362" w:lineRule="auto" w:before="3"/>
        <w:ind w:left="687" w:right="236" w:hanging="341"/>
        <w:jc w:val="both"/>
        <w:rPr>
          <w:rFonts w:ascii="Arial"/>
          <w:sz w:val="22"/>
        </w:rPr>
      </w:pPr>
      <w:r>
        <w:rPr>
          <w:rFonts w:ascii="Arial"/>
          <w:sz w:val="22"/>
        </w:rPr>
        <w:t>Jin QZ, Zou XQ, Shan L, Wang XG, Qiu AY. 2010. Beta-D-glucosidase-catalyzed deglucosidation of phenylpropanoid amides of 5-hydroxytryptamine glucoside in safflower seed extracts optimized by response surface methodology. J Agric Food Chem.58:155-160.</w:t>
      </w:r>
    </w:p>
    <w:p>
      <w:pPr>
        <w:spacing w:line="360" w:lineRule="auto" w:before="1"/>
        <w:ind w:left="687" w:right="234" w:hanging="341"/>
        <w:jc w:val="both"/>
        <w:rPr>
          <w:rFonts w:ascii="Arial"/>
          <w:sz w:val="22"/>
        </w:rPr>
      </w:pPr>
      <w:r>
        <w:rPr>
          <w:rFonts w:ascii="Arial"/>
          <w:sz w:val="22"/>
        </w:rPr>
        <w:t>John E, Dennis J, Gay DM, Walsh RE. 1981. An Adaptive Nonlinear Least-Squares Algorithm. ACM T Math Software.7:348-368.</w:t>
      </w:r>
    </w:p>
    <w:p>
      <w:pPr>
        <w:spacing w:line="360" w:lineRule="auto" w:before="3"/>
        <w:ind w:left="687" w:right="246" w:hanging="341"/>
        <w:jc w:val="both"/>
        <w:rPr>
          <w:rFonts w:ascii="Arial"/>
          <w:sz w:val="22"/>
        </w:rPr>
      </w:pPr>
      <w:r>
        <w:rPr>
          <w:rFonts w:ascii="Arial"/>
          <w:sz w:val="22"/>
        </w:rPr>
        <w:t>Kohler GO, Kuzmicky DD, Palter R, Guggolz J, Herring VV. 1966. Safflower meal. J Am Oil Chem Soc. 1966/06/01;43:413-415.</w:t>
      </w:r>
    </w:p>
    <w:p>
      <w:pPr>
        <w:spacing w:line="360" w:lineRule="auto" w:before="3"/>
        <w:ind w:left="687" w:right="237" w:hanging="341"/>
        <w:jc w:val="both"/>
        <w:rPr>
          <w:rFonts w:ascii="Arial"/>
          <w:sz w:val="22"/>
        </w:rPr>
      </w:pPr>
      <w:r>
        <w:rPr>
          <w:rFonts w:ascii="Arial"/>
          <w:sz w:val="22"/>
        </w:rPr>
        <w:t>Lechartier C, Peyraud JL. 2011. The effects of starch and rapidly degradable dry matter from concentrate on ruminal digestion in dairy cows fed corn silage-based diets with</w:t>
      </w:r>
    </w:p>
    <w:p>
      <w:pPr>
        <w:spacing w:before="4"/>
        <w:ind w:left="687" w:right="0" w:firstLine="0"/>
        <w:jc w:val="left"/>
        <w:rPr>
          <w:rFonts w:ascii="Arial"/>
          <w:sz w:val="22"/>
        </w:rPr>
      </w:pPr>
      <w:r>
        <w:rPr>
          <w:rFonts w:ascii="Arial"/>
          <w:sz w:val="22"/>
        </w:rPr>
        <w:t>fixed forage proportion. J Dairy Sci.94:2440-2454.</w:t>
      </w:r>
    </w:p>
    <w:p>
      <w:pPr>
        <w:spacing w:after="0"/>
        <w:jc w:val="left"/>
        <w:rPr>
          <w:rFonts w:ascii="Arial"/>
          <w:sz w:val="22"/>
        </w:rPr>
        <w:sectPr>
          <w:pgSz w:w="12240" w:h="15840"/>
          <w:pgMar w:header="684" w:footer="1172" w:top="1380" w:bottom="1360" w:left="1440" w:right="1460"/>
        </w:sectPr>
      </w:pPr>
    </w:p>
    <w:p>
      <w:pPr>
        <w:pStyle w:val="BodyText"/>
        <w:spacing w:before="7"/>
        <w:rPr>
          <w:rFonts w:ascii="Arial"/>
          <w:sz w:val="15"/>
        </w:rPr>
      </w:pPr>
    </w:p>
    <w:p>
      <w:pPr>
        <w:spacing w:line="360" w:lineRule="auto" w:before="72"/>
        <w:ind w:left="687" w:right="242" w:hanging="341"/>
        <w:jc w:val="both"/>
        <w:rPr>
          <w:rFonts w:ascii="Arial"/>
          <w:sz w:val="22"/>
        </w:rPr>
      </w:pPr>
      <w:r>
        <w:rPr>
          <w:rFonts w:ascii="Arial"/>
          <w:sz w:val="22"/>
        </w:rPr>
        <w:t>Lee Y-C, Oh S-W, Chang J, Kim I-H. 2004. Chemical composition and oxidative stability of</w:t>
      </w:r>
      <w:r>
        <w:rPr>
          <w:rFonts w:ascii="Arial"/>
          <w:spacing w:val="1"/>
          <w:sz w:val="22"/>
        </w:rPr>
        <w:t> </w:t>
      </w:r>
      <w:r>
        <w:rPr>
          <w:rFonts w:ascii="Arial"/>
          <w:sz w:val="22"/>
        </w:rPr>
        <w:t>safflower</w:t>
      </w:r>
      <w:r>
        <w:rPr>
          <w:rFonts w:ascii="Arial"/>
          <w:spacing w:val="-5"/>
          <w:sz w:val="22"/>
        </w:rPr>
        <w:t> </w:t>
      </w:r>
      <w:r>
        <w:rPr>
          <w:rFonts w:ascii="Arial"/>
          <w:sz w:val="22"/>
        </w:rPr>
        <w:t>oil</w:t>
      </w:r>
      <w:r>
        <w:rPr>
          <w:rFonts w:ascii="Arial"/>
          <w:spacing w:val="-9"/>
          <w:sz w:val="22"/>
        </w:rPr>
        <w:t> </w:t>
      </w:r>
      <w:r>
        <w:rPr>
          <w:rFonts w:ascii="Arial"/>
          <w:sz w:val="22"/>
        </w:rPr>
        <w:t>prepared</w:t>
      </w:r>
      <w:r>
        <w:rPr>
          <w:rFonts w:ascii="Arial"/>
          <w:spacing w:val="-6"/>
          <w:sz w:val="22"/>
        </w:rPr>
        <w:t> </w:t>
      </w:r>
      <w:r>
        <w:rPr>
          <w:rFonts w:ascii="Arial"/>
          <w:sz w:val="22"/>
        </w:rPr>
        <w:t>from</w:t>
      </w:r>
      <w:r>
        <w:rPr>
          <w:rFonts w:ascii="Arial"/>
          <w:spacing w:val="-5"/>
          <w:sz w:val="22"/>
        </w:rPr>
        <w:t> </w:t>
      </w:r>
      <w:r>
        <w:rPr>
          <w:rFonts w:ascii="Arial"/>
          <w:sz w:val="22"/>
        </w:rPr>
        <w:t>safflower</w:t>
      </w:r>
      <w:r>
        <w:rPr>
          <w:rFonts w:ascii="Arial"/>
          <w:spacing w:val="-5"/>
          <w:sz w:val="22"/>
        </w:rPr>
        <w:t> </w:t>
      </w:r>
      <w:r>
        <w:rPr>
          <w:rFonts w:ascii="Arial"/>
          <w:sz w:val="22"/>
        </w:rPr>
        <w:t>seed</w:t>
      </w:r>
      <w:r>
        <w:rPr>
          <w:rFonts w:ascii="Arial"/>
          <w:spacing w:val="-6"/>
          <w:sz w:val="22"/>
        </w:rPr>
        <w:t> </w:t>
      </w:r>
      <w:r>
        <w:rPr>
          <w:rFonts w:ascii="Arial"/>
          <w:sz w:val="22"/>
        </w:rPr>
        <w:t>roasted</w:t>
      </w:r>
      <w:r>
        <w:rPr>
          <w:rFonts w:ascii="Arial"/>
          <w:spacing w:val="-3"/>
          <w:sz w:val="22"/>
        </w:rPr>
        <w:t> </w:t>
      </w:r>
      <w:r>
        <w:rPr>
          <w:rFonts w:ascii="Arial"/>
          <w:sz w:val="22"/>
        </w:rPr>
        <w:t>with</w:t>
      </w:r>
      <w:r>
        <w:rPr>
          <w:rFonts w:ascii="Arial"/>
          <w:spacing w:val="-6"/>
          <w:sz w:val="22"/>
        </w:rPr>
        <w:t> </w:t>
      </w:r>
      <w:r>
        <w:rPr>
          <w:rFonts w:ascii="Arial"/>
          <w:sz w:val="22"/>
        </w:rPr>
        <w:t>different</w:t>
      </w:r>
      <w:r>
        <w:rPr>
          <w:rFonts w:ascii="Arial"/>
          <w:spacing w:val="-7"/>
          <w:sz w:val="22"/>
        </w:rPr>
        <w:t> </w:t>
      </w:r>
      <w:r>
        <w:rPr>
          <w:rFonts w:ascii="Arial"/>
          <w:sz w:val="22"/>
        </w:rPr>
        <w:t>temperatures.</w:t>
      </w:r>
      <w:r>
        <w:rPr>
          <w:rFonts w:ascii="Arial"/>
          <w:spacing w:val="-3"/>
          <w:sz w:val="22"/>
        </w:rPr>
        <w:t> </w:t>
      </w:r>
      <w:r>
        <w:rPr>
          <w:rFonts w:ascii="Arial"/>
          <w:sz w:val="22"/>
        </w:rPr>
        <w:t>Food Chem.</w:t>
      </w:r>
      <w:r>
        <w:rPr>
          <w:rFonts w:ascii="Arial"/>
          <w:spacing w:val="-4"/>
          <w:sz w:val="22"/>
        </w:rPr>
        <w:t> </w:t>
      </w:r>
      <w:r>
        <w:rPr>
          <w:rFonts w:ascii="Arial"/>
          <w:sz w:val="22"/>
        </w:rPr>
        <w:t>1//;84:1-6.</w:t>
      </w:r>
    </w:p>
    <w:p>
      <w:pPr>
        <w:spacing w:line="360" w:lineRule="auto" w:before="3"/>
        <w:ind w:left="687" w:right="247" w:hanging="341"/>
        <w:jc w:val="both"/>
        <w:rPr>
          <w:rFonts w:ascii="Arial" w:hAnsi="Arial"/>
          <w:sz w:val="22"/>
        </w:rPr>
      </w:pPr>
      <w:r>
        <w:rPr>
          <w:rFonts w:ascii="Arial" w:hAnsi="Arial"/>
          <w:sz w:val="22"/>
        </w:rPr>
        <w:t>Lerch S, Ferlay A, Shingfield KJ, Martin B, Pomiès D, Chilliard Y. 2012. Rapeseed or linseed supplements in grass-based diets: Effects on milk fatty acid composition of Holstein cows over two consecutive lactations. J Dairy Sci.95:5221-5241.</w:t>
      </w:r>
    </w:p>
    <w:p>
      <w:pPr>
        <w:spacing w:line="360" w:lineRule="auto" w:before="8"/>
        <w:ind w:left="687" w:right="244" w:hanging="341"/>
        <w:jc w:val="both"/>
        <w:rPr>
          <w:rFonts w:ascii="Arial"/>
          <w:sz w:val="22"/>
        </w:rPr>
      </w:pPr>
      <w:r>
        <w:rPr>
          <w:rFonts w:ascii="Arial"/>
          <w:sz w:val="22"/>
        </w:rPr>
        <w:t>Mauricio RM, Mould FL, Dhanoa MS, Owen E, Channa KS, Theodorou MK. 1999. A semi-automated in vitro gas production technique for ruminant feedstuff evaluation. Anim Feed Sci Technol.79:321-330.</w:t>
      </w:r>
    </w:p>
    <w:p>
      <w:pPr>
        <w:spacing w:line="360" w:lineRule="auto" w:before="3"/>
        <w:ind w:left="687" w:right="233" w:hanging="341"/>
        <w:jc w:val="both"/>
        <w:rPr>
          <w:rFonts w:ascii="Arial"/>
          <w:sz w:val="22"/>
        </w:rPr>
      </w:pPr>
      <w:r>
        <w:rPr>
          <w:rFonts w:ascii="Arial"/>
          <w:sz w:val="22"/>
        </w:rPr>
        <w:t>Menke KH, Raab L, Salewski A, Steingass H, Fritz D, Schneider </w:t>
      </w:r>
      <w:r>
        <w:rPr>
          <w:rFonts w:ascii="Arial"/>
          <w:spacing w:val="3"/>
          <w:sz w:val="22"/>
        </w:rPr>
        <w:t>W. </w:t>
      </w:r>
      <w:r>
        <w:rPr>
          <w:rFonts w:ascii="Arial"/>
          <w:sz w:val="22"/>
        </w:rPr>
        <w:t>1979. The estimation of the digestibility and metabolizable energy content of ruminant feeding stuffs from the gas production when they are incubated with rumen liquor </w:t>
      </w:r>
      <w:r>
        <w:rPr>
          <w:rFonts w:ascii="Arial"/>
          <w:spacing w:val="-3"/>
          <w:sz w:val="22"/>
        </w:rPr>
        <w:t>in </w:t>
      </w:r>
      <w:r>
        <w:rPr>
          <w:rFonts w:ascii="Arial"/>
          <w:sz w:val="22"/>
        </w:rPr>
        <w:t>vitro. J Agr Sci.93:217-222.</w:t>
      </w:r>
    </w:p>
    <w:p>
      <w:pPr>
        <w:spacing w:line="360" w:lineRule="auto" w:before="3"/>
        <w:ind w:left="687" w:right="247" w:hanging="341"/>
        <w:jc w:val="both"/>
        <w:rPr>
          <w:rFonts w:ascii="Arial"/>
          <w:sz w:val="22"/>
        </w:rPr>
      </w:pPr>
      <w:r>
        <w:rPr>
          <w:rFonts w:ascii="Arial"/>
          <w:sz w:val="22"/>
        </w:rPr>
        <w:t>Menke KH, Steingass H. 1988. Estimation of energetic feed value obtained from chemical analysis and in vitro gas production using rumen fluid. Anim Res Dev.28:7-55.</w:t>
      </w:r>
    </w:p>
    <w:p>
      <w:pPr>
        <w:spacing w:line="360" w:lineRule="auto" w:before="3"/>
        <w:ind w:left="687" w:right="249" w:hanging="341"/>
        <w:jc w:val="both"/>
        <w:rPr>
          <w:rFonts w:ascii="Arial"/>
          <w:sz w:val="22"/>
        </w:rPr>
      </w:pPr>
      <w:r>
        <w:rPr>
          <w:rFonts w:ascii="Arial"/>
          <w:sz w:val="22"/>
        </w:rPr>
        <w:t>Mertens DR. 1993. Rate and extent of digestion. In: Quantitative Aspects of Ruminant Digestion and Metabolism CAB International, Wallingford, UK.</w:t>
      </w:r>
    </w:p>
    <w:p>
      <w:pPr>
        <w:spacing w:line="360" w:lineRule="auto" w:before="3"/>
        <w:ind w:left="687" w:right="238" w:hanging="341"/>
        <w:jc w:val="both"/>
        <w:rPr>
          <w:rFonts w:ascii="Arial"/>
          <w:sz w:val="22"/>
        </w:rPr>
      </w:pPr>
      <w:r>
        <w:rPr>
          <w:rFonts w:ascii="Arial"/>
          <w:sz w:val="22"/>
        </w:rPr>
        <w:t>Moon K-D, Back S-S, Kim J-H, Jeon S-M, Lee M-K, Choi M-S. 2001. Safflower seed extract lowers plasma and hepatic lipids in rats fed high-cholesterol diet. Nutr Res. 6//;21:895-904.</w:t>
      </w:r>
    </w:p>
    <w:p>
      <w:pPr>
        <w:spacing w:line="360" w:lineRule="auto" w:before="3"/>
        <w:ind w:left="687" w:right="247" w:hanging="341"/>
        <w:jc w:val="both"/>
        <w:rPr>
          <w:rFonts w:ascii="Arial" w:hAnsi="Arial"/>
          <w:sz w:val="22"/>
        </w:rPr>
      </w:pPr>
      <w:r>
        <w:rPr>
          <w:rFonts w:ascii="Arial" w:hAnsi="Arial"/>
          <w:sz w:val="22"/>
        </w:rPr>
        <w:t>Mould FL, Kliem KE, Morgan R, Mauricio RM. 2005. In vitro microbial inoculum: A review of its function and properties. Anim Feed Sci Technol.123–124, Part 1:31-50.</w:t>
      </w:r>
    </w:p>
    <w:p>
      <w:pPr>
        <w:spacing w:line="362" w:lineRule="auto" w:before="3"/>
        <w:ind w:left="687" w:right="249" w:hanging="341"/>
        <w:jc w:val="both"/>
        <w:rPr>
          <w:rFonts w:ascii="Arial"/>
          <w:sz w:val="22"/>
        </w:rPr>
      </w:pPr>
      <w:r>
        <w:rPr>
          <w:rFonts w:ascii="Arial"/>
          <w:sz w:val="22"/>
        </w:rPr>
        <w:t>Naga MMA, el-Shazly K. 1963. The use of the in vitro fermentation technique to estimate the digestible energy content of some Egyptian forages I. The in vitro digestion of cellulose as a criterion of energy content. J Agr Sci.61:73-79.</w:t>
      </w:r>
    </w:p>
    <w:p>
      <w:pPr>
        <w:spacing w:line="360" w:lineRule="auto" w:before="1"/>
        <w:ind w:left="687" w:right="243" w:hanging="341"/>
        <w:jc w:val="both"/>
        <w:rPr>
          <w:rFonts w:ascii="Arial"/>
          <w:sz w:val="22"/>
        </w:rPr>
      </w:pPr>
      <w:r>
        <w:rPr>
          <w:rFonts w:ascii="Arial"/>
          <w:sz w:val="22"/>
        </w:rPr>
        <w:t>Pina </w:t>
      </w:r>
      <w:r>
        <w:rPr>
          <w:rFonts w:ascii="Arial"/>
          <w:spacing w:val="-2"/>
          <w:sz w:val="22"/>
        </w:rPr>
        <w:t>DS, </w:t>
      </w:r>
      <w:r>
        <w:rPr>
          <w:rFonts w:ascii="Arial"/>
          <w:sz w:val="22"/>
        </w:rPr>
        <w:t>Valadares Filho SC, Tedeschi LO, Barbosa AM, Valadares RFD. 2009. Influence of different levels of concentrate and ruminally undegraded protein on digestive variables </w:t>
      </w:r>
      <w:r>
        <w:rPr>
          <w:rFonts w:ascii="Arial"/>
          <w:spacing w:val="-3"/>
          <w:sz w:val="22"/>
        </w:rPr>
        <w:t>in </w:t>
      </w:r>
      <w:r>
        <w:rPr>
          <w:rFonts w:ascii="Arial"/>
          <w:sz w:val="22"/>
        </w:rPr>
        <w:t>beef heifers. J Anim</w:t>
      </w:r>
      <w:r>
        <w:rPr>
          <w:rFonts w:ascii="Arial"/>
          <w:spacing w:val="-18"/>
          <w:sz w:val="22"/>
        </w:rPr>
        <w:t> </w:t>
      </w:r>
      <w:r>
        <w:rPr>
          <w:rFonts w:ascii="Arial"/>
          <w:sz w:val="22"/>
        </w:rPr>
        <w:t>Sci.87:1058-1067.</w:t>
      </w:r>
    </w:p>
    <w:p>
      <w:pPr>
        <w:spacing w:line="360" w:lineRule="auto" w:before="3"/>
        <w:ind w:left="687" w:right="240" w:hanging="341"/>
        <w:jc w:val="both"/>
        <w:rPr>
          <w:rFonts w:ascii="Arial"/>
          <w:sz w:val="22"/>
        </w:rPr>
      </w:pPr>
      <w:r>
        <w:rPr>
          <w:rFonts w:ascii="Arial"/>
          <w:sz w:val="22"/>
        </w:rPr>
        <w:t>Rubanza CDK, Shem MN, Otsyina R, Ichinohe T, Fujihara T. 2003. Nutritive evaluation of some browse tree legume foliages native to semi-arid areas in western Tanzania. Asian Australas J Anim Sci.16:1429-1437.</w:t>
      </w:r>
    </w:p>
    <w:p>
      <w:pPr>
        <w:spacing w:line="360" w:lineRule="auto" w:before="3"/>
        <w:ind w:left="687" w:right="233" w:hanging="341"/>
        <w:jc w:val="both"/>
        <w:rPr>
          <w:rFonts w:ascii="Arial"/>
          <w:sz w:val="22"/>
        </w:rPr>
      </w:pPr>
      <w:r>
        <w:rPr>
          <w:rFonts w:ascii="Arial"/>
          <w:sz w:val="22"/>
        </w:rPr>
        <w:t>Satish I, Shrivastava SK. 2011. Chemical compositioitional and anti-nutritional composition,  Helianthus annuus,  Carthamus tinctorius and  Arachis hypogaea.  Int  J</w:t>
      </w:r>
    </w:p>
    <w:p>
      <w:pPr>
        <w:spacing w:before="4"/>
        <w:ind w:left="687" w:right="0" w:firstLine="0"/>
        <w:jc w:val="left"/>
        <w:rPr>
          <w:rFonts w:ascii="Arial"/>
          <w:sz w:val="22"/>
        </w:rPr>
      </w:pPr>
      <w:r>
        <w:rPr>
          <w:rFonts w:ascii="Arial"/>
          <w:sz w:val="22"/>
        </w:rPr>
        <w:t>Biotechnol Appl.3:118-129.</w:t>
      </w:r>
    </w:p>
    <w:p>
      <w:pPr>
        <w:spacing w:after="0"/>
        <w:jc w:val="left"/>
        <w:rPr>
          <w:rFonts w:ascii="Arial"/>
          <w:sz w:val="22"/>
        </w:rPr>
        <w:sectPr>
          <w:pgSz w:w="12240" w:h="15840"/>
          <w:pgMar w:header="684" w:footer="1172" w:top="1380" w:bottom="1360" w:left="1440" w:right="1460"/>
        </w:sectPr>
      </w:pPr>
    </w:p>
    <w:p>
      <w:pPr>
        <w:pStyle w:val="BodyText"/>
        <w:spacing w:before="7"/>
        <w:rPr>
          <w:rFonts w:ascii="Arial"/>
          <w:sz w:val="15"/>
        </w:rPr>
      </w:pPr>
    </w:p>
    <w:p>
      <w:pPr>
        <w:spacing w:line="360" w:lineRule="auto" w:before="72"/>
        <w:ind w:left="346" w:right="1942" w:firstLine="0"/>
        <w:jc w:val="left"/>
        <w:rPr>
          <w:rFonts w:ascii="Arial"/>
          <w:sz w:val="22"/>
        </w:rPr>
      </w:pPr>
      <w:r>
        <w:rPr>
          <w:rFonts w:ascii="Arial"/>
          <w:sz w:val="22"/>
        </w:rPr>
        <w:t>Sherrod PH. 1995. NLREG: Nonlinear Regression Analysis Program. Smith JR. 1996. Safflower: The American Oil Chemists Society.</w:t>
      </w:r>
    </w:p>
    <w:p>
      <w:pPr>
        <w:spacing w:line="360" w:lineRule="auto" w:before="4"/>
        <w:ind w:left="687" w:right="241" w:hanging="341"/>
        <w:jc w:val="both"/>
        <w:rPr>
          <w:rFonts w:ascii="Arial"/>
          <w:sz w:val="22"/>
        </w:rPr>
      </w:pPr>
      <w:r>
        <w:rPr>
          <w:rFonts w:ascii="Arial"/>
          <w:sz w:val="22"/>
        </w:rPr>
        <w:t>Souilah R, Djabali D, Belhadi B, Mokrane H, Boudries N, Nadjemi B. 2014. In vitro starch digestion in sorghum flour from Algerian cultivars. Food Sci Nutr.2:251-259.</w:t>
      </w:r>
    </w:p>
    <w:p>
      <w:pPr>
        <w:spacing w:line="360" w:lineRule="auto" w:before="3"/>
        <w:ind w:left="687" w:right="250" w:hanging="341"/>
        <w:jc w:val="both"/>
        <w:rPr>
          <w:rFonts w:ascii="Arial"/>
          <w:sz w:val="22"/>
        </w:rPr>
      </w:pPr>
      <w:r>
        <w:rPr>
          <w:rFonts w:ascii="Arial"/>
          <w:sz w:val="22"/>
        </w:rPr>
        <w:t>Sudhamayee KG, Swathi B, Reddy JM, Reddy KJ. 2004. Effect of different protein supplements on nutrient utilization in sheep. Indian J Anim Nutr.21:34-35.</w:t>
      </w:r>
    </w:p>
    <w:p>
      <w:pPr>
        <w:spacing w:line="360" w:lineRule="auto" w:before="8"/>
        <w:ind w:left="687" w:right="240" w:hanging="341"/>
        <w:jc w:val="both"/>
        <w:rPr>
          <w:rFonts w:ascii="Arial"/>
          <w:sz w:val="22"/>
        </w:rPr>
      </w:pPr>
      <w:r>
        <w:rPr>
          <w:rFonts w:ascii="Arial"/>
          <w:sz w:val="22"/>
        </w:rPr>
        <w:t>Tan Z-L, Lu D-X, </w:t>
      </w:r>
      <w:r>
        <w:rPr>
          <w:rFonts w:ascii="Arial"/>
          <w:spacing w:val="-3"/>
          <w:sz w:val="22"/>
        </w:rPr>
        <w:t>Hu </w:t>
      </w:r>
      <w:r>
        <w:rPr>
          <w:rFonts w:ascii="Arial"/>
          <w:spacing w:val="-4"/>
          <w:sz w:val="22"/>
        </w:rPr>
        <w:t>M, </w:t>
      </w:r>
      <w:r>
        <w:rPr>
          <w:rFonts w:ascii="Arial"/>
          <w:sz w:val="22"/>
        </w:rPr>
        <w:t>Niu W-Y, Han C-Y, Ren X-P, Na </w:t>
      </w:r>
      <w:r>
        <w:rPr>
          <w:rFonts w:ascii="Arial"/>
          <w:spacing w:val="-3"/>
          <w:sz w:val="22"/>
        </w:rPr>
        <w:t>R, </w:t>
      </w:r>
      <w:r>
        <w:rPr>
          <w:rFonts w:ascii="Arial"/>
          <w:sz w:val="22"/>
        </w:rPr>
        <w:t>Lin S-L. 2002. Effect of Dietary Structural to Nonstructural Carbohydrate Ratio on Rumen Degradability and Digestibility of Fiber Fractions of Wheat Straw in Sheep. Asian Australas J Anim Sci.15:1591-1598.</w:t>
      </w:r>
    </w:p>
    <w:p>
      <w:pPr>
        <w:spacing w:line="360" w:lineRule="auto" w:before="3"/>
        <w:ind w:left="687" w:right="234" w:hanging="341"/>
        <w:jc w:val="both"/>
        <w:rPr>
          <w:rFonts w:ascii="Arial"/>
          <w:sz w:val="22"/>
        </w:rPr>
      </w:pPr>
      <w:r>
        <w:rPr>
          <w:rFonts w:ascii="Arial"/>
          <w:sz w:val="22"/>
        </w:rPr>
        <w:t>Tang SX, Tayo GO, Tan ZL, Sun ZH, Shen LX, Zhou CS, Xiao WJ, Ren GP, Han XF, Shen SB. 2008. Effects of yeast culture and fibrolytic enzyme supplementation on in vitro fermentation characteristics of low-quality cereal straws. J Anim Sci. May 1, 2008;86:1164-1172.</w:t>
      </w:r>
    </w:p>
    <w:p>
      <w:pPr>
        <w:spacing w:line="360" w:lineRule="auto" w:before="3"/>
        <w:ind w:left="687" w:right="252" w:hanging="341"/>
        <w:jc w:val="both"/>
        <w:rPr>
          <w:rFonts w:ascii="Arial"/>
          <w:sz w:val="22"/>
        </w:rPr>
      </w:pPr>
      <w:r>
        <w:rPr>
          <w:rFonts w:ascii="Arial"/>
          <w:sz w:val="22"/>
        </w:rPr>
        <w:t>Varga GA, Kolver ES. 1997. Microbial and animal limitations to fiber digestion and utilization. J Nutr.127:819S-823S.</w:t>
      </w:r>
    </w:p>
    <w:p>
      <w:pPr>
        <w:spacing w:line="360" w:lineRule="auto" w:before="3"/>
        <w:ind w:left="687" w:right="252" w:hanging="341"/>
        <w:jc w:val="both"/>
        <w:rPr>
          <w:rFonts w:ascii="Arial"/>
          <w:sz w:val="22"/>
        </w:rPr>
      </w:pPr>
      <w:r>
        <w:rPr>
          <w:rFonts w:ascii="Arial"/>
          <w:sz w:val="22"/>
        </w:rPr>
        <w:t>Walli TK. 2005. Bypass protein technology and the impact of feeding bypass protein to dairy animals in the tropics: a review. Indian J Anim Sci.75:135-142.</w:t>
      </w:r>
    </w:p>
    <w:p>
      <w:pPr>
        <w:spacing w:line="360" w:lineRule="auto" w:before="3"/>
        <w:ind w:left="687" w:right="244" w:hanging="341"/>
        <w:jc w:val="both"/>
        <w:rPr>
          <w:rFonts w:ascii="Arial"/>
          <w:sz w:val="22"/>
        </w:rPr>
      </w:pPr>
      <w:r>
        <w:rPr>
          <w:rFonts w:ascii="Arial"/>
          <w:sz w:val="22"/>
        </w:rPr>
        <w:t>Wang M, Sun XZ, Tang SX, Tan ZL, Pacheco D. 2013. Deriving fractional rate of degradation of logistic-exponential (LE) model to evaluate early in vitro fermentation. Animal.7:920-929.</w:t>
      </w:r>
    </w:p>
    <w:p>
      <w:pPr>
        <w:spacing w:line="360" w:lineRule="auto" w:before="3"/>
        <w:ind w:left="687" w:right="239" w:hanging="341"/>
        <w:jc w:val="both"/>
        <w:rPr>
          <w:rFonts w:ascii="Arial" w:hAnsi="Arial"/>
          <w:sz w:val="22"/>
        </w:rPr>
      </w:pPr>
      <w:r>
        <w:rPr>
          <w:rFonts w:ascii="Arial" w:hAnsi="Arial"/>
          <w:sz w:val="22"/>
        </w:rPr>
        <w:t>Wulf </w:t>
      </w:r>
      <w:r>
        <w:rPr>
          <w:rFonts w:ascii="Arial" w:hAnsi="Arial"/>
          <w:spacing w:val="-4"/>
          <w:sz w:val="22"/>
        </w:rPr>
        <w:t>M,</w:t>
      </w:r>
      <w:r>
        <w:rPr>
          <w:rFonts w:ascii="Arial" w:hAnsi="Arial"/>
          <w:spacing w:val="53"/>
          <w:sz w:val="22"/>
        </w:rPr>
        <w:t> </w:t>
      </w:r>
      <w:r>
        <w:rPr>
          <w:rFonts w:ascii="Arial" w:hAnsi="Arial"/>
          <w:sz w:val="22"/>
        </w:rPr>
        <w:t>Südekum KH. 2005. Effects of chemically treated soybeans and expeller rapeseed meal on </w:t>
      </w:r>
      <w:r>
        <w:rPr>
          <w:rFonts w:ascii="Arial" w:hAnsi="Arial"/>
          <w:spacing w:val="-3"/>
          <w:sz w:val="22"/>
        </w:rPr>
        <w:t>in </w:t>
      </w:r>
      <w:r>
        <w:rPr>
          <w:rFonts w:ascii="Arial" w:hAnsi="Arial"/>
          <w:sz w:val="22"/>
        </w:rPr>
        <w:t>vivo and in situ crude fat and crude protein disappearance from the rumen. Anim Feed Sci Technol.118:215-227.</w:t>
      </w:r>
    </w:p>
    <w:p>
      <w:pPr>
        <w:spacing w:line="357" w:lineRule="auto" w:before="8"/>
        <w:ind w:left="687" w:right="246" w:hanging="341"/>
        <w:jc w:val="both"/>
        <w:rPr>
          <w:rFonts w:ascii="Arial"/>
          <w:sz w:val="22"/>
        </w:rPr>
      </w:pPr>
      <w:r>
        <w:rPr>
          <w:rFonts w:ascii="Arial"/>
          <w:sz w:val="22"/>
        </w:rPr>
        <w:t>Yuan ZQ, Tang SX, Zeng B, Wang M, Tan ZL, Sun ZH, Zhou CS, Han XF, Bamikole MA. 2010. Effects of dietary supplementation with alkyl polyglycoside, a nonionic surfactant, on nutrient digestion and ruminal fermentation in goats. J Anim Sci.88:3984-3991.</w:t>
      </w:r>
    </w:p>
    <w:p>
      <w:pPr>
        <w:pStyle w:val="BodyText"/>
        <w:rPr>
          <w:rFonts w:ascii="Arial"/>
          <w:sz w:val="22"/>
        </w:rPr>
      </w:pPr>
    </w:p>
    <w:p>
      <w:pPr>
        <w:pStyle w:val="BodyText"/>
        <w:rPr>
          <w:rFonts w:ascii="Arial"/>
          <w:sz w:val="22"/>
        </w:rPr>
      </w:pPr>
    </w:p>
    <w:p>
      <w:pPr>
        <w:spacing w:before="153"/>
        <w:ind w:left="259" w:right="0" w:firstLine="0"/>
        <w:jc w:val="left"/>
        <w:rPr>
          <w:rFonts w:ascii="Times New Roman"/>
          <w:b/>
          <w:sz w:val="20"/>
        </w:rPr>
      </w:pPr>
      <w:r>
        <w:rPr>
          <w:rFonts w:ascii="Times New Roman"/>
          <w:b/>
          <w:sz w:val="20"/>
        </w:rPr>
        <w:t>FIGURE LEGENDS</w:t>
      </w:r>
    </w:p>
    <w:p>
      <w:pPr>
        <w:pStyle w:val="BodyText"/>
        <w:spacing w:before="7"/>
        <w:rPr>
          <w:rFonts w:ascii="Times New Roman"/>
          <w:b/>
          <w:sz w:val="19"/>
        </w:rPr>
      </w:pPr>
    </w:p>
    <w:p>
      <w:pPr>
        <w:spacing w:before="0"/>
        <w:ind w:left="259" w:right="0" w:firstLine="0"/>
        <w:jc w:val="left"/>
        <w:rPr>
          <w:rFonts w:ascii="Times New Roman"/>
          <w:sz w:val="20"/>
        </w:rPr>
      </w:pPr>
      <w:r>
        <w:rPr>
          <w:rFonts w:ascii="Times New Roman"/>
          <w:b/>
          <w:sz w:val="20"/>
        </w:rPr>
        <w:t>Figure 1</w:t>
      </w:r>
      <w:r>
        <w:rPr>
          <w:rFonts w:ascii="Times New Roman"/>
          <w:sz w:val="20"/>
        </w:rPr>
        <w:t>. The </w:t>
      </w:r>
      <w:r>
        <w:rPr>
          <w:rFonts w:ascii="Times New Roman"/>
          <w:i/>
          <w:sz w:val="20"/>
        </w:rPr>
        <w:t>in vitro </w:t>
      </w:r>
      <w:r>
        <w:rPr>
          <w:rFonts w:ascii="Times New Roman"/>
          <w:sz w:val="20"/>
        </w:rPr>
        <w:t>ruminal gas production curves of safflower seed fractions</w:t>
      </w:r>
    </w:p>
    <w:p>
      <w:pPr>
        <w:pStyle w:val="BodyText"/>
        <w:rPr>
          <w:rFonts w:ascii="Times New Roman"/>
          <w:sz w:val="20"/>
        </w:rPr>
      </w:pPr>
    </w:p>
    <w:p>
      <w:pPr>
        <w:spacing w:before="0"/>
        <w:ind w:left="259" w:right="0" w:firstLine="0"/>
        <w:jc w:val="left"/>
        <w:rPr>
          <w:rFonts w:ascii="Times New Roman"/>
          <w:sz w:val="18"/>
        </w:rPr>
      </w:pPr>
      <w:r>
        <w:rPr>
          <w:rFonts w:ascii="Times New Roman"/>
          <w:sz w:val="18"/>
        </w:rPr>
        <w:t>(SMH is safflower meal extracted with hexane, SMP is safflower meal extracted with petroleum ether)</w:t>
      </w:r>
    </w:p>
    <w:p>
      <w:pPr>
        <w:spacing w:after="0"/>
        <w:jc w:val="left"/>
        <w:rPr>
          <w:rFonts w:ascii="Times New Roman"/>
          <w:sz w:val="18"/>
        </w:rPr>
        <w:sectPr>
          <w:pgSz w:w="12240" w:h="15840"/>
          <w:pgMar w:header="684" w:footer="1172" w:top="1380" w:bottom="1380" w:left="1440" w:right="146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18"/>
        </w:rPr>
      </w:pPr>
    </w:p>
    <w:p>
      <w:pPr>
        <w:spacing w:before="0"/>
        <w:ind w:left="2121" w:right="1397" w:firstLine="0"/>
        <w:jc w:val="left"/>
        <w:rPr>
          <w:rFonts w:ascii="Arial"/>
          <w:sz w:val="15"/>
        </w:rPr>
      </w:pPr>
      <w:r>
        <w:rPr/>
        <w:pict>
          <v:group style="position:absolute;margin-left:188.174194pt;margin-top:1.650766pt;width:265.850pt;height:211.95pt;mso-position-horizontal-relative:page;mso-position-vertical-relative:paragraph;z-index:3520" coordorigin="3763,33" coordsize="5317,4239">
            <v:shape style="position:absolute;left:4567;top:-17094;width:35766;height:27431" coordorigin="4567,-17094" coordsize="35766,27431" path="m3843,4264l3843,4191m4052,4227l4052,4191m4261,4264l4261,4191m4470,4227l4470,4191m4680,4264l4680,4191m4889,4227l4889,4191m5098,4264l5098,4191m5307,4227l5307,4191m5516,4264l5516,4191m5726,4227l5726,4191m5935,4264l5935,4191m6144,4227l6144,4191m6353,4264l6353,4191m6562,4227l6562,4191m6772,4264l6772,4191m6981,4227l6981,4191m7190,4264l7190,4191m7399,4227l7399,4191m7609,4264l7609,4191m7818,4227l7818,4191m8027,4264l8027,4191m8236,4227l8236,4191m8445,4264l8445,4191m8655,4227l8655,4191m8864,4264l8864,4191m9073,4227l9073,4191m3843,4191l9073,4191m3770,4191l3843,4191m3807,4045l3843,4045m3770,3898l3843,3898m3807,3752l3843,3752m3770,3607l3843,3607m3807,3459l3843,3459m3770,3314l3843,3314m3807,3168l3843,3168m3770,3021l3843,3021m3807,2876l3843,2876m3770,2730l3843,2730m3807,2583l3843,2583m3770,2437l3843,2437m3807,2292l3843,2292m3770,2146l3843,2146m3807,1999l3843,1999m3770,1853l3843,1853m3807,1708l3843,1708m3770,1560l3843,1560m3807,1415l3843,1415m3770,1270l3843,1270m3807,1122l3843,1122m3770,977l3843,977m3807,831l3843,831m3770,684l3843,684m3807,538l3843,538m3770,393l3843,393m3807,245l3843,245m3770,100l3843,100e" filled="false" stroked="true" strokeweight=".673437pt" strokecolor="#000000">
              <v:path arrowok="t"/>
            </v:shape>
            <v:shape style="position:absolute;left:3822;top:33;width:5115;height:4164" type="#_x0000_t75" stroked="false">
              <v:imagedata r:id="rId102" o:title=""/>
            </v:shape>
            <v:shape style="position:absolute;left:3922;top:743;width:310;height:105" type="#_x0000_t75" stroked="false">
              <v:imagedata r:id="rId103" o:title=""/>
            </v:shape>
            <v:shape style="position:absolute;left:4267;top:48;width:783;height:822" type="#_x0000_t202" filled="false" stroked="false">
              <v:textbox inset="0,0,0,0">
                <w:txbxContent>
                  <w:p>
                    <w:pPr>
                      <w:spacing w:line="142" w:lineRule="exact" w:before="0"/>
                      <w:ind w:left="0" w:right="378" w:firstLine="0"/>
                      <w:jc w:val="left"/>
                      <w:rPr>
                        <w:rFonts w:ascii="Arial"/>
                        <w:sz w:val="14"/>
                      </w:rPr>
                    </w:pPr>
                    <w:r>
                      <w:rPr>
                        <w:rFonts w:ascii="Arial"/>
                        <w:sz w:val="14"/>
                      </w:rPr>
                      <w:t>Hull</w:t>
                    </w:r>
                  </w:p>
                  <w:p>
                    <w:pPr>
                      <w:spacing w:line="254" w:lineRule="auto" w:before="9"/>
                      <w:ind w:left="0" w:right="378" w:firstLine="0"/>
                      <w:jc w:val="left"/>
                      <w:rPr>
                        <w:rFonts w:ascii="Arial"/>
                        <w:sz w:val="14"/>
                      </w:rPr>
                    </w:pPr>
                    <w:r>
                      <w:rPr>
                        <w:rFonts w:ascii="Arial"/>
                        <w:w w:val="95"/>
                        <w:sz w:val="14"/>
                      </w:rPr>
                      <w:t>Kernel </w:t>
                    </w:r>
                    <w:r>
                      <w:rPr>
                        <w:rFonts w:ascii="Arial"/>
                        <w:sz w:val="14"/>
                      </w:rPr>
                      <w:t>SMH SMP</w:t>
                    </w:r>
                  </w:p>
                  <w:p>
                    <w:pPr>
                      <w:spacing w:line="158" w:lineRule="exact" w:before="0"/>
                      <w:ind w:left="0" w:right="-6" w:firstLine="0"/>
                      <w:jc w:val="left"/>
                      <w:rPr>
                        <w:rFonts w:ascii="Arial"/>
                        <w:sz w:val="14"/>
                      </w:rPr>
                    </w:pPr>
                    <w:r>
                      <w:rPr>
                        <w:rFonts w:ascii="Arial"/>
                        <w:w w:val="95"/>
                        <w:sz w:val="14"/>
                      </w:rPr>
                      <w:t>Whole seeds</w:t>
                    </w:r>
                  </w:p>
                </w:txbxContent>
              </v:textbox>
              <w10:wrap type="none"/>
            </v:shape>
            <w10:wrap type="none"/>
          </v:group>
        </w:pict>
      </w:r>
      <w:r>
        <w:rPr/>
        <w:pict>
          <v:shape style="position:absolute;margin-left:164.694977pt;margin-top:8.889161pt;width:10pt;height:207pt;mso-position-horizontal-relative:page;mso-position-vertical-relative:paragraph;z-index:3544" type="#_x0000_t202" filled="false" stroked="false">
            <v:textbox inset="0,0,0,0" style="layout-flow:vertical;mso-layout-flow-alt:bottom-to-top">
              <w:txbxContent>
                <w:p>
                  <w:pPr>
                    <w:spacing w:line="183" w:lineRule="exact" w:before="0"/>
                    <w:ind w:left="20" w:right="-584" w:firstLine="0"/>
                    <w:jc w:val="left"/>
                    <w:rPr>
                      <w:rFonts w:ascii="Arial"/>
                      <w:sz w:val="16"/>
                    </w:rPr>
                  </w:pPr>
                  <w:r>
                    <w:rPr>
                      <w:rFonts w:ascii="Arial"/>
                      <w:spacing w:val="-1"/>
                      <w:w w:val="102"/>
                      <w:sz w:val="16"/>
                    </w:rPr>
                    <w:t>G</w:t>
                  </w:r>
                  <w:r>
                    <w:rPr>
                      <w:rFonts w:ascii="Arial"/>
                      <w:w w:val="102"/>
                      <w:sz w:val="16"/>
                    </w:rPr>
                    <w:t>as</w:t>
                  </w:r>
                  <w:r>
                    <w:rPr>
                      <w:rFonts w:ascii="Arial"/>
                      <w:sz w:val="16"/>
                    </w:rPr>
                    <w:t> </w:t>
                  </w:r>
                  <w:r>
                    <w:rPr>
                      <w:rFonts w:ascii="Arial"/>
                      <w:w w:val="102"/>
                      <w:sz w:val="16"/>
                    </w:rPr>
                    <w:t>produc</w:t>
                  </w:r>
                  <w:r>
                    <w:rPr>
                      <w:rFonts w:ascii="Arial"/>
                      <w:spacing w:val="-1"/>
                      <w:w w:val="102"/>
                      <w:sz w:val="16"/>
                    </w:rPr>
                    <w:t>t</w:t>
                  </w:r>
                  <w:r>
                    <w:rPr>
                      <w:rFonts w:ascii="Arial"/>
                      <w:w w:val="102"/>
                      <w:sz w:val="16"/>
                    </w:rPr>
                    <w:t>ion</w:t>
                  </w:r>
                  <w:r>
                    <w:rPr>
                      <w:rFonts w:ascii="Arial"/>
                      <w:sz w:val="16"/>
                    </w:rPr>
                    <w:t> </w:t>
                  </w:r>
                  <w:r>
                    <w:rPr>
                      <w:rFonts w:ascii="Arial"/>
                      <w:w w:val="102"/>
                      <w:sz w:val="16"/>
                    </w:rPr>
                    <w:t>curves</w:t>
                  </w:r>
                  <w:r>
                    <w:rPr>
                      <w:rFonts w:ascii="Arial"/>
                      <w:sz w:val="16"/>
                    </w:rPr>
                    <w:t> </w:t>
                  </w:r>
                  <w:r>
                    <w:rPr>
                      <w:rFonts w:ascii="Arial"/>
                      <w:w w:val="102"/>
                      <w:sz w:val="16"/>
                    </w:rPr>
                    <w:t>of</w:t>
                  </w:r>
                  <w:r>
                    <w:rPr>
                      <w:rFonts w:ascii="Arial"/>
                      <w:spacing w:val="-1"/>
                      <w:sz w:val="16"/>
                    </w:rPr>
                    <w:t> </w:t>
                  </w:r>
                  <w:r>
                    <w:rPr>
                      <w:rFonts w:ascii="Arial"/>
                      <w:w w:val="102"/>
                      <w:sz w:val="16"/>
                    </w:rPr>
                    <w:t>sa</w:t>
                  </w:r>
                  <w:r>
                    <w:rPr>
                      <w:rFonts w:ascii="Arial"/>
                      <w:spacing w:val="-1"/>
                      <w:w w:val="102"/>
                      <w:sz w:val="16"/>
                    </w:rPr>
                    <w:t>ff</w:t>
                  </w:r>
                  <w:r>
                    <w:rPr>
                      <w:rFonts w:ascii="Arial"/>
                      <w:w w:val="102"/>
                      <w:sz w:val="16"/>
                    </w:rPr>
                    <w:t>lower</w:t>
                  </w:r>
                  <w:r>
                    <w:rPr>
                      <w:rFonts w:ascii="Arial"/>
                      <w:sz w:val="16"/>
                    </w:rPr>
                    <w:t> </w:t>
                  </w:r>
                  <w:r>
                    <w:rPr>
                      <w:rFonts w:ascii="Arial"/>
                      <w:w w:val="102"/>
                      <w:sz w:val="16"/>
                    </w:rPr>
                    <w:t>seed</w:t>
                  </w:r>
                  <w:r>
                    <w:rPr>
                      <w:rFonts w:ascii="Arial"/>
                      <w:sz w:val="16"/>
                    </w:rPr>
                    <w:t> </w:t>
                  </w:r>
                  <w:r>
                    <w:rPr>
                      <w:rFonts w:ascii="Arial"/>
                      <w:spacing w:val="-1"/>
                      <w:w w:val="102"/>
                      <w:sz w:val="16"/>
                    </w:rPr>
                    <w:t>f</w:t>
                  </w:r>
                  <w:r>
                    <w:rPr>
                      <w:rFonts w:ascii="Arial"/>
                      <w:w w:val="102"/>
                      <w:sz w:val="16"/>
                    </w:rPr>
                    <w:t>rac</w:t>
                  </w:r>
                  <w:r>
                    <w:rPr>
                      <w:rFonts w:ascii="Arial"/>
                      <w:spacing w:val="-1"/>
                      <w:w w:val="102"/>
                      <w:sz w:val="16"/>
                    </w:rPr>
                    <w:t>t</w:t>
                  </w:r>
                  <w:r>
                    <w:rPr>
                      <w:rFonts w:ascii="Arial"/>
                      <w:w w:val="102"/>
                      <w:sz w:val="16"/>
                    </w:rPr>
                    <w:t>ions</w:t>
                  </w:r>
                  <w:r>
                    <w:rPr>
                      <w:rFonts w:ascii="Arial"/>
                      <w:sz w:val="16"/>
                    </w:rPr>
                    <w:t> </w:t>
                  </w:r>
                  <w:r>
                    <w:rPr>
                      <w:rFonts w:ascii="Arial"/>
                      <w:w w:val="102"/>
                      <w:sz w:val="16"/>
                    </w:rPr>
                    <w:t>(mL</w:t>
                  </w:r>
                  <w:r>
                    <w:rPr>
                      <w:rFonts w:ascii="Arial"/>
                      <w:spacing w:val="-1"/>
                      <w:w w:val="102"/>
                      <w:sz w:val="16"/>
                    </w:rPr>
                    <w:t>/</w:t>
                  </w:r>
                  <w:r>
                    <w:rPr>
                      <w:rFonts w:ascii="Arial"/>
                      <w:w w:val="102"/>
                      <w:sz w:val="16"/>
                    </w:rPr>
                    <w:t>g)</w:t>
                  </w:r>
                </w:p>
              </w:txbxContent>
            </v:textbox>
            <w10:wrap type="none"/>
          </v:shape>
        </w:pict>
      </w:r>
      <w:r>
        <w:rPr>
          <w:rFonts w:ascii="Arial"/>
          <w:sz w:val="15"/>
        </w:rPr>
        <w:t>70</w:t>
      </w:r>
    </w:p>
    <w:p>
      <w:pPr>
        <w:spacing w:before="120"/>
        <w:ind w:left="2121" w:right="1397" w:firstLine="0"/>
        <w:jc w:val="left"/>
        <w:rPr>
          <w:rFonts w:ascii="Arial"/>
          <w:sz w:val="15"/>
        </w:rPr>
      </w:pPr>
      <w:r>
        <w:rPr>
          <w:rFonts w:ascii="Arial"/>
          <w:sz w:val="15"/>
        </w:rPr>
        <w:t>65</w:t>
      </w:r>
    </w:p>
    <w:p>
      <w:pPr>
        <w:spacing w:before="118"/>
        <w:ind w:left="2121" w:right="1397" w:firstLine="0"/>
        <w:jc w:val="left"/>
        <w:rPr>
          <w:rFonts w:ascii="Arial"/>
          <w:sz w:val="15"/>
        </w:rPr>
      </w:pPr>
      <w:r>
        <w:rPr>
          <w:rFonts w:ascii="Arial"/>
          <w:sz w:val="15"/>
        </w:rPr>
        <w:t>60</w:t>
      </w:r>
    </w:p>
    <w:p>
      <w:pPr>
        <w:spacing w:before="120"/>
        <w:ind w:left="2121" w:right="1397" w:firstLine="0"/>
        <w:jc w:val="left"/>
        <w:rPr>
          <w:rFonts w:ascii="Arial"/>
          <w:sz w:val="15"/>
        </w:rPr>
      </w:pPr>
      <w:r>
        <w:rPr>
          <w:rFonts w:ascii="Arial"/>
          <w:sz w:val="15"/>
        </w:rPr>
        <w:t>55</w:t>
      </w:r>
    </w:p>
    <w:p>
      <w:pPr>
        <w:spacing w:before="120"/>
        <w:ind w:left="2121" w:right="1397" w:firstLine="0"/>
        <w:jc w:val="left"/>
        <w:rPr>
          <w:rFonts w:ascii="Arial"/>
          <w:sz w:val="15"/>
        </w:rPr>
      </w:pPr>
      <w:r>
        <w:rPr>
          <w:rFonts w:ascii="Arial"/>
          <w:sz w:val="15"/>
        </w:rPr>
        <w:t>50</w:t>
      </w:r>
    </w:p>
    <w:p>
      <w:pPr>
        <w:spacing w:before="118"/>
        <w:ind w:left="2121" w:right="1397" w:firstLine="0"/>
        <w:jc w:val="left"/>
        <w:rPr>
          <w:rFonts w:ascii="Arial"/>
          <w:sz w:val="15"/>
        </w:rPr>
      </w:pPr>
      <w:r>
        <w:rPr>
          <w:rFonts w:ascii="Arial"/>
          <w:sz w:val="15"/>
        </w:rPr>
        <w:t>45</w:t>
      </w:r>
    </w:p>
    <w:p>
      <w:pPr>
        <w:spacing w:before="120"/>
        <w:ind w:left="2121" w:right="1397" w:firstLine="0"/>
        <w:jc w:val="left"/>
        <w:rPr>
          <w:rFonts w:ascii="Arial"/>
          <w:sz w:val="15"/>
        </w:rPr>
      </w:pPr>
      <w:r>
        <w:rPr>
          <w:rFonts w:ascii="Arial"/>
          <w:sz w:val="15"/>
        </w:rPr>
        <w:t>40</w:t>
      </w:r>
    </w:p>
    <w:p>
      <w:pPr>
        <w:spacing w:before="120"/>
        <w:ind w:left="2121" w:right="1397" w:firstLine="0"/>
        <w:jc w:val="left"/>
        <w:rPr>
          <w:rFonts w:ascii="Arial"/>
          <w:sz w:val="15"/>
        </w:rPr>
      </w:pPr>
      <w:r>
        <w:rPr>
          <w:rFonts w:ascii="Arial"/>
          <w:sz w:val="15"/>
        </w:rPr>
        <w:t>35</w:t>
      </w:r>
    </w:p>
    <w:p>
      <w:pPr>
        <w:spacing w:before="118"/>
        <w:ind w:left="2121" w:right="1397" w:firstLine="0"/>
        <w:jc w:val="left"/>
        <w:rPr>
          <w:rFonts w:ascii="Arial"/>
          <w:sz w:val="15"/>
        </w:rPr>
      </w:pPr>
      <w:r>
        <w:rPr>
          <w:rFonts w:ascii="Arial"/>
          <w:sz w:val="15"/>
        </w:rPr>
        <w:t>30</w:t>
      </w:r>
    </w:p>
    <w:p>
      <w:pPr>
        <w:spacing w:before="120"/>
        <w:ind w:left="2121" w:right="1397" w:firstLine="0"/>
        <w:jc w:val="left"/>
        <w:rPr>
          <w:rFonts w:ascii="Arial"/>
          <w:sz w:val="15"/>
        </w:rPr>
      </w:pPr>
      <w:r>
        <w:rPr>
          <w:rFonts w:ascii="Arial"/>
          <w:sz w:val="15"/>
        </w:rPr>
        <w:t>25</w:t>
      </w:r>
    </w:p>
    <w:p>
      <w:pPr>
        <w:spacing w:before="118"/>
        <w:ind w:left="2121" w:right="1397" w:firstLine="0"/>
        <w:jc w:val="left"/>
        <w:rPr>
          <w:rFonts w:ascii="Arial"/>
          <w:sz w:val="15"/>
        </w:rPr>
      </w:pPr>
      <w:r>
        <w:rPr>
          <w:rFonts w:ascii="Arial"/>
          <w:sz w:val="15"/>
        </w:rPr>
        <w:t>20</w:t>
      </w:r>
    </w:p>
    <w:p>
      <w:pPr>
        <w:spacing w:before="120"/>
        <w:ind w:left="2121" w:right="1397" w:firstLine="0"/>
        <w:jc w:val="left"/>
        <w:rPr>
          <w:rFonts w:ascii="Arial"/>
          <w:sz w:val="15"/>
        </w:rPr>
      </w:pPr>
      <w:r>
        <w:rPr>
          <w:rFonts w:ascii="Arial"/>
          <w:sz w:val="15"/>
        </w:rPr>
        <w:t>15</w:t>
      </w:r>
    </w:p>
    <w:p>
      <w:pPr>
        <w:spacing w:before="120"/>
        <w:ind w:left="2121" w:right="1397" w:firstLine="0"/>
        <w:jc w:val="left"/>
        <w:rPr>
          <w:rFonts w:ascii="Arial"/>
          <w:sz w:val="15"/>
        </w:rPr>
      </w:pPr>
      <w:r>
        <w:rPr>
          <w:rFonts w:ascii="Arial"/>
          <w:sz w:val="15"/>
        </w:rPr>
        <w:t>10</w:t>
      </w:r>
    </w:p>
    <w:p>
      <w:pPr>
        <w:spacing w:before="118"/>
        <w:ind w:left="2201" w:right="0" w:firstLine="0"/>
        <w:jc w:val="left"/>
        <w:rPr>
          <w:rFonts w:ascii="Arial"/>
          <w:sz w:val="15"/>
        </w:rPr>
      </w:pPr>
      <w:r>
        <w:rPr>
          <w:rFonts w:ascii="Arial"/>
          <w:w w:val="96"/>
          <w:sz w:val="15"/>
        </w:rPr>
        <w:t>5</w:t>
      </w:r>
    </w:p>
    <w:p>
      <w:pPr>
        <w:spacing w:before="120"/>
        <w:ind w:left="2201" w:right="0" w:firstLine="0"/>
        <w:jc w:val="left"/>
        <w:rPr>
          <w:rFonts w:ascii="Arial"/>
          <w:sz w:val="15"/>
        </w:rPr>
      </w:pPr>
      <w:r>
        <w:rPr>
          <w:rFonts w:ascii="Arial"/>
          <w:w w:val="96"/>
          <w:sz w:val="15"/>
        </w:rPr>
        <w:t>0</w:t>
      </w:r>
    </w:p>
    <w:p>
      <w:pPr>
        <w:tabs>
          <w:tab w:pos="418" w:val="left" w:leader="none"/>
          <w:tab w:pos="836" w:val="left" w:leader="none"/>
          <w:tab w:pos="1215" w:val="left" w:leader="none"/>
          <w:tab w:pos="1633" w:val="left" w:leader="none"/>
          <w:tab w:pos="2052" w:val="left" w:leader="none"/>
          <w:tab w:pos="2470" w:val="left" w:leader="none"/>
          <w:tab w:pos="2888" w:val="left" w:leader="none"/>
          <w:tab w:pos="3307" w:val="left" w:leader="none"/>
          <w:tab w:pos="3725" w:val="left" w:leader="none"/>
          <w:tab w:pos="4144" w:val="left" w:leader="none"/>
          <w:tab w:pos="4562" w:val="left" w:leader="none"/>
          <w:tab w:pos="4980" w:val="left" w:leader="none"/>
        </w:tabs>
        <w:spacing w:before="27"/>
        <w:ind w:left="0" w:right="931" w:firstLine="0"/>
        <w:jc w:val="center"/>
        <w:rPr>
          <w:rFonts w:ascii="Arial"/>
          <w:sz w:val="15"/>
        </w:rPr>
      </w:pPr>
      <w:r>
        <w:rPr>
          <w:rFonts w:ascii="Arial"/>
          <w:sz w:val="15"/>
        </w:rPr>
        <w:t>0</w:t>
        <w:tab/>
        <w:t>4</w:t>
        <w:tab/>
        <w:t>8</w:t>
        <w:tab/>
        <w:t>12</w:t>
        <w:tab/>
        <w:t>16</w:t>
        <w:tab/>
        <w:t>20</w:t>
        <w:tab/>
        <w:t>24</w:t>
        <w:tab/>
        <w:t>28</w:t>
        <w:tab/>
        <w:t>32</w:t>
        <w:tab/>
        <w:t>36</w:t>
        <w:tab/>
        <w:t>40</w:t>
        <w:tab/>
        <w:t>44</w:t>
        <w:tab/>
        <w:t>48</w:t>
      </w:r>
    </w:p>
    <w:p>
      <w:pPr>
        <w:spacing w:before="85"/>
        <w:ind w:left="0" w:right="763" w:firstLine="0"/>
        <w:jc w:val="center"/>
        <w:rPr>
          <w:rFonts w:ascii="Arial"/>
          <w:sz w:val="16"/>
        </w:rPr>
      </w:pPr>
      <w:r>
        <w:rPr>
          <w:rFonts w:ascii="Arial"/>
          <w:sz w:val="16"/>
        </w:rPr>
        <w:t>Fermentation Time (h)</w:t>
      </w:r>
    </w:p>
    <w:p>
      <w:pPr>
        <w:pStyle w:val="BodyText"/>
        <w:spacing w:before="2"/>
        <w:rPr>
          <w:rFonts w:ascii="Arial"/>
          <w:sz w:val="18"/>
        </w:rPr>
      </w:pPr>
    </w:p>
    <w:p>
      <w:pPr>
        <w:spacing w:before="72"/>
        <w:ind w:left="0" w:right="1453" w:firstLine="0"/>
        <w:jc w:val="center"/>
        <w:rPr>
          <w:rFonts w:ascii="Times New Roman"/>
          <w:sz w:val="22"/>
        </w:rPr>
      </w:pPr>
      <w:r>
        <w:rPr>
          <w:rFonts w:ascii="Times New Roman"/>
          <w:b/>
          <w:sz w:val="22"/>
        </w:rPr>
        <w:t>Figure 1</w:t>
      </w:r>
      <w:r>
        <w:rPr>
          <w:rFonts w:ascii="Times New Roman"/>
          <w:sz w:val="22"/>
        </w:rPr>
        <w:t>. The </w:t>
      </w:r>
      <w:r>
        <w:rPr>
          <w:rFonts w:ascii="Times New Roman"/>
          <w:i/>
          <w:sz w:val="22"/>
        </w:rPr>
        <w:t>in vitro </w:t>
      </w:r>
      <w:r>
        <w:rPr>
          <w:rFonts w:ascii="Times New Roman"/>
          <w:sz w:val="22"/>
        </w:rPr>
        <w:t>ruminal gas production curves of safflower seed fractions</w:t>
      </w:r>
    </w:p>
    <w:p>
      <w:pPr>
        <w:pStyle w:val="BodyText"/>
        <w:spacing w:before="2"/>
        <w:rPr>
          <w:rFonts w:ascii="Times New Roman"/>
          <w:sz w:val="22"/>
        </w:rPr>
      </w:pPr>
    </w:p>
    <w:p>
      <w:pPr>
        <w:spacing w:before="0"/>
        <w:ind w:left="0" w:right="1448" w:firstLine="0"/>
        <w:jc w:val="center"/>
        <w:rPr>
          <w:rFonts w:ascii="Times New Roman"/>
          <w:sz w:val="18"/>
        </w:rPr>
      </w:pPr>
      <w:r>
        <w:rPr>
          <w:rFonts w:ascii="Times New Roman"/>
          <w:sz w:val="18"/>
        </w:rPr>
        <w:t>SMH is safflower meal extracted with hexane, SMP is safflower meal extracted with petroleum ether.</w:t>
      </w:r>
    </w:p>
    <w:p>
      <w:pPr>
        <w:pStyle w:val="BodyText"/>
        <w:rPr>
          <w:rFonts w:ascii="Times New Roman"/>
          <w:sz w:val="18"/>
        </w:rPr>
      </w:pPr>
    </w:p>
    <w:p>
      <w:pPr>
        <w:pStyle w:val="BodyText"/>
        <w:rPr>
          <w:rFonts w:ascii="Times New Roman"/>
          <w:sz w:val="18"/>
        </w:rPr>
      </w:pPr>
    </w:p>
    <w:p>
      <w:pPr>
        <w:pStyle w:val="BodyText"/>
        <w:rPr>
          <w:rFonts w:ascii="Times New Roman"/>
          <w:sz w:val="22"/>
        </w:rPr>
      </w:pPr>
    </w:p>
    <w:p>
      <w:pPr>
        <w:spacing w:before="0"/>
        <w:ind w:left="259" w:right="1397" w:firstLine="0"/>
        <w:jc w:val="left"/>
        <w:rPr>
          <w:rFonts w:ascii="Times New Roman"/>
          <w:b/>
          <w:sz w:val="20"/>
        </w:rPr>
      </w:pPr>
      <w:r>
        <w:rPr>
          <w:rFonts w:ascii="Times New Roman"/>
          <w:b/>
          <w:sz w:val="20"/>
        </w:rPr>
        <w:t>Table lists:</w:t>
      </w:r>
    </w:p>
    <w:p>
      <w:pPr>
        <w:pStyle w:val="BodyText"/>
        <w:spacing w:before="7"/>
        <w:rPr>
          <w:rFonts w:ascii="Times New Roman"/>
          <w:b/>
          <w:sz w:val="19"/>
        </w:rPr>
      </w:pPr>
    </w:p>
    <w:p>
      <w:pPr>
        <w:spacing w:before="0"/>
        <w:ind w:left="259" w:right="1397" w:firstLine="0"/>
        <w:jc w:val="left"/>
        <w:rPr>
          <w:rFonts w:ascii="Times New Roman"/>
          <w:sz w:val="20"/>
        </w:rPr>
      </w:pPr>
      <w:r>
        <w:rPr>
          <w:rFonts w:ascii="Times New Roman"/>
          <w:b/>
          <w:sz w:val="20"/>
        </w:rPr>
        <w:t>Table 1</w:t>
      </w:r>
      <w:r>
        <w:rPr>
          <w:rFonts w:ascii="Times New Roman"/>
          <w:sz w:val="20"/>
        </w:rPr>
        <w:t>. Chemical composition of safflower seed fractions</w:t>
      </w:r>
    </w:p>
    <w:p>
      <w:pPr>
        <w:pStyle w:val="BodyText"/>
        <w:spacing w:before="1"/>
        <w:rPr>
          <w:rFonts w:ascii="Times New Roman"/>
          <w:sz w:val="20"/>
        </w:rPr>
      </w:pPr>
    </w:p>
    <w:p>
      <w:pPr>
        <w:spacing w:before="0"/>
        <w:ind w:left="259" w:right="1397" w:firstLine="0"/>
        <w:jc w:val="left"/>
        <w:rPr>
          <w:rFonts w:ascii="Times New Roman"/>
          <w:sz w:val="20"/>
        </w:rPr>
      </w:pPr>
      <w:r>
        <w:rPr>
          <w:rFonts w:ascii="Times New Roman"/>
          <w:b/>
          <w:sz w:val="20"/>
        </w:rPr>
        <w:t>Table 2</w:t>
      </w:r>
      <w:r>
        <w:rPr>
          <w:rFonts w:ascii="Times New Roman"/>
          <w:sz w:val="20"/>
        </w:rPr>
        <w:t>. Gas production characteristics of </w:t>
      </w:r>
      <w:r>
        <w:rPr>
          <w:rFonts w:ascii="Times New Roman"/>
          <w:i/>
          <w:sz w:val="20"/>
        </w:rPr>
        <w:t>in vitro </w:t>
      </w:r>
      <w:r>
        <w:rPr>
          <w:rFonts w:ascii="Times New Roman"/>
          <w:sz w:val="20"/>
        </w:rPr>
        <w:t>gas production of safflower seed fractions</w:t>
      </w:r>
    </w:p>
    <w:p>
      <w:pPr>
        <w:pStyle w:val="BodyText"/>
        <w:spacing w:before="7"/>
        <w:rPr>
          <w:rFonts w:ascii="Times New Roman"/>
          <w:sz w:val="19"/>
        </w:rPr>
      </w:pPr>
    </w:p>
    <w:p>
      <w:pPr>
        <w:spacing w:line="480" w:lineRule="auto" w:before="0"/>
        <w:ind w:left="259" w:right="1397" w:firstLine="0"/>
        <w:jc w:val="left"/>
        <w:rPr>
          <w:rFonts w:ascii="Times New Roman"/>
          <w:i/>
          <w:sz w:val="20"/>
        </w:rPr>
      </w:pPr>
      <w:r>
        <w:rPr>
          <w:rFonts w:ascii="Times New Roman"/>
          <w:b/>
          <w:sz w:val="20"/>
        </w:rPr>
        <w:t>Table 3</w:t>
      </w:r>
      <w:r>
        <w:rPr>
          <w:rFonts w:ascii="Times New Roman"/>
          <w:sz w:val="20"/>
        </w:rPr>
        <w:t>. Gas production at specified times, metabolizable energy and organic matter digestibility of safflower seed fractions </w:t>
      </w:r>
      <w:r>
        <w:rPr>
          <w:rFonts w:ascii="Times New Roman"/>
          <w:i/>
          <w:sz w:val="20"/>
        </w:rPr>
        <w:t>in vitro</w:t>
      </w:r>
    </w:p>
    <w:p>
      <w:pPr>
        <w:spacing w:before="10"/>
        <w:ind w:left="259" w:right="1397" w:firstLine="0"/>
        <w:jc w:val="left"/>
        <w:rPr>
          <w:rFonts w:ascii="Times New Roman"/>
          <w:sz w:val="20"/>
        </w:rPr>
      </w:pPr>
      <w:r>
        <w:rPr>
          <w:rFonts w:ascii="Times New Roman"/>
          <w:b/>
          <w:sz w:val="20"/>
        </w:rPr>
        <w:t>Table 4</w:t>
      </w:r>
      <w:r>
        <w:rPr>
          <w:rFonts w:ascii="Times New Roman"/>
          <w:sz w:val="20"/>
        </w:rPr>
        <w:t>. </w:t>
      </w:r>
      <w:r>
        <w:rPr>
          <w:rFonts w:ascii="Times New Roman"/>
          <w:i/>
          <w:sz w:val="20"/>
        </w:rPr>
        <w:t>In vitro </w:t>
      </w:r>
      <w:r>
        <w:rPr>
          <w:rFonts w:ascii="Times New Roman"/>
          <w:sz w:val="20"/>
        </w:rPr>
        <w:t>ruminal digestibility characteristics of safflower seed fractions (g/kg) at 48 h</w:t>
      </w:r>
    </w:p>
    <w:p>
      <w:pPr>
        <w:pStyle w:val="BodyText"/>
        <w:rPr>
          <w:rFonts w:ascii="Times New Roman"/>
          <w:sz w:val="20"/>
        </w:rPr>
      </w:pPr>
    </w:p>
    <w:p>
      <w:pPr>
        <w:pStyle w:val="BodyText"/>
        <w:spacing w:before="3"/>
        <w:rPr>
          <w:rFonts w:ascii="Times New Roman"/>
        </w:rPr>
      </w:pPr>
    </w:p>
    <w:p>
      <w:pPr>
        <w:spacing w:before="0"/>
        <w:ind w:left="259" w:right="1397" w:firstLine="0"/>
        <w:jc w:val="left"/>
        <w:rPr>
          <w:rFonts w:ascii="Times New Roman"/>
          <w:b/>
          <w:sz w:val="20"/>
        </w:rPr>
      </w:pPr>
      <w:r>
        <w:rPr>
          <w:rFonts w:ascii="Times New Roman"/>
          <w:b/>
          <w:sz w:val="20"/>
        </w:rPr>
        <w:t>TABLES LISTS</w:t>
      </w:r>
    </w:p>
    <w:p>
      <w:pPr>
        <w:pStyle w:val="BodyText"/>
        <w:spacing w:before="8"/>
        <w:rPr>
          <w:rFonts w:ascii="Times New Roman"/>
          <w:b/>
          <w:sz w:val="19"/>
        </w:rPr>
      </w:pPr>
    </w:p>
    <w:p>
      <w:pPr>
        <w:spacing w:before="0"/>
        <w:ind w:left="0" w:right="1450" w:firstLine="0"/>
        <w:jc w:val="center"/>
        <w:rPr>
          <w:rFonts w:ascii="Times New Roman"/>
          <w:sz w:val="22"/>
        </w:rPr>
      </w:pPr>
      <w:r>
        <w:rPr>
          <w:rFonts w:ascii="Times New Roman"/>
          <w:b/>
          <w:sz w:val="22"/>
        </w:rPr>
        <w:t>Table 1</w:t>
      </w:r>
      <w:r>
        <w:rPr>
          <w:rFonts w:ascii="Times New Roman"/>
          <w:sz w:val="22"/>
        </w:rPr>
        <w:t>. Chemical composition of safflower seed fractions</w:t>
      </w:r>
    </w:p>
    <w:p>
      <w:pPr>
        <w:pStyle w:val="BodyText"/>
        <w:spacing w:before="6"/>
        <w:rPr>
          <w:rFonts w:ascii="Times New Roman"/>
          <w:sz w:val="19"/>
        </w:rPr>
      </w:pPr>
      <w:r>
        <w:rPr/>
        <w:pict>
          <v:group style="position:absolute;margin-left:78.738998pt;margin-top:13.215611pt;width:423.8pt;height:1.45pt;mso-position-horizontal-relative:page;mso-position-vertical-relative:paragraph;z-index:3448;mso-wrap-distance-left:0;mso-wrap-distance-right:0" coordorigin="1575,264" coordsize="8476,29">
            <v:line style="position:absolute" from="1589,279" to="2997,279" stroked="true" strokeweight="1.44pt" strokecolor="#000000"/>
            <v:line style="position:absolute" from="2997,279" to="3025,279" stroked="true" strokeweight="1.44pt" strokecolor="#000000"/>
            <v:line style="position:absolute" from="3025,279" to="10036,279" stroked="true" strokeweight="1.44pt" strokecolor="#000000"/>
            <w10:wrap type="topAndBottom"/>
          </v:group>
        </w:pict>
      </w:r>
    </w:p>
    <w:p>
      <w:pPr>
        <w:spacing w:line="192" w:lineRule="exact" w:before="0"/>
        <w:ind w:left="2699" w:right="1397" w:firstLine="0"/>
        <w:jc w:val="left"/>
        <w:rPr>
          <w:rFonts w:ascii="Times New Roman"/>
          <w:i/>
          <w:sz w:val="13"/>
        </w:rPr>
      </w:pPr>
      <w:r>
        <w:rPr>
          <w:rFonts w:ascii="Times New Roman"/>
          <w:b/>
          <w:sz w:val="20"/>
        </w:rPr>
        <w:t>Chemical compositions of safflower seed fractions (%) </w:t>
      </w:r>
      <w:r>
        <w:rPr>
          <w:rFonts w:ascii="Times New Roman"/>
          <w:i/>
          <w:position w:val="7"/>
          <w:sz w:val="13"/>
        </w:rPr>
        <w:t>ii</w:t>
      </w:r>
    </w:p>
    <w:p>
      <w:pPr>
        <w:tabs>
          <w:tab w:pos="1556" w:val="left" w:leader="none"/>
          <w:tab w:pos="8623" w:val="left" w:leader="none"/>
        </w:tabs>
        <w:spacing w:before="5" w:after="30"/>
        <w:ind w:left="259" w:right="1397" w:firstLine="0"/>
        <w:jc w:val="left"/>
        <w:rPr>
          <w:rFonts w:ascii="Times New Roman"/>
          <w:b/>
          <w:i/>
          <w:sz w:val="13"/>
        </w:rPr>
      </w:pPr>
      <w:r>
        <w:rPr>
          <w:rFonts w:ascii="Times New Roman"/>
          <w:b/>
          <w:sz w:val="20"/>
        </w:rPr>
        <w:t>Items</w:t>
      </w:r>
      <w:r>
        <w:rPr>
          <w:rFonts w:ascii="Times New Roman"/>
          <w:b/>
          <w:spacing w:val="-2"/>
          <w:sz w:val="20"/>
        </w:rPr>
        <w:t> </w:t>
      </w:r>
      <w:r>
        <w:rPr>
          <w:rFonts w:ascii="Times New Roman"/>
          <w:b/>
          <w:i/>
          <w:position w:val="7"/>
          <w:sz w:val="13"/>
        </w:rPr>
        <w:t>i</w:t>
        <w:tab/>
      </w:r>
      <w:r>
        <w:rPr>
          <w:rFonts w:ascii="Times New Roman"/>
          <w:b/>
          <w:i/>
          <w:w w:val="99"/>
          <w:position w:val="7"/>
          <w:sz w:val="13"/>
          <w:u w:val="dotted"/>
        </w:rPr>
        <w:t> </w:t>
      </w:r>
      <w:r>
        <w:rPr>
          <w:rFonts w:ascii="Times New Roman"/>
          <w:b/>
          <w:i/>
          <w:position w:val="7"/>
          <w:sz w:val="13"/>
          <w:u w:val="dotted"/>
        </w:rPr>
        <w:tab/>
      </w:r>
    </w:p>
    <w:tbl>
      <w:tblPr>
        <w:tblW w:w="0" w:type="auto"/>
        <w:jc w:val="left"/>
        <w:tblInd w:w="1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1"/>
        <w:gridCol w:w="1639"/>
        <w:gridCol w:w="1448"/>
        <w:gridCol w:w="1445"/>
        <w:gridCol w:w="1402"/>
        <w:gridCol w:w="1403"/>
      </w:tblGrid>
      <w:tr>
        <w:trPr>
          <w:trHeight w:val="445" w:hRule="exact"/>
        </w:trPr>
        <w:tc>
          <w:tcPr>
            <w:tcW w:w="1111" w:type="dxa"/>
            <w:tcBorders>
              <w:bottom w:val="dotted" w:sz="4" w:space="0" w:color="000000"/>
            </w:tcBorders>
          </w:tcPr>
          <w:p>
            <w:pPr/>
          </w:p>
        </w:tc>
        <w:tc>
          <w:tcPr>
            <w:tcW w:w="1639" w:type="dxa"/>
            <w:tcBorders>
              <w:bottom w:val="dotted" w:sz="4" w:space="0" w:color="000000"/>
            </w:tcBorders>
          </w:tcPr>
          <w:p>
            <w:pPr>
              <w:pStyle w:val="TableParagraph"/>
              <w:spacing w:line="205" w:lineRule="exact"/>
              <w:ind w:left="407"/>
              <w:rPr>
                <w:b/>
                <w:sz w:val="20"/>
              </w:rPr>
            </w:pPr>
            <w:r>
              <w:rPr>
                <w:b/>
                <w:sz w:val="20"/>
              </w:rPr>
              <w:t>Protein</w:t>
            </w:r>
          </w:p>
        </w:tc>
        <w:tc>
          <w:tcPr>
            <w:tcW w:w="1448" w:type="dxa"/>
            <w:tcBorders>
              <w:bottom w:val="dotted" w:sz="4" w:space="0" w:color="000000"/>
            </w:tcBorders>
          </w:tcPr>
          <w:p>
            <w:pPr>
              <w:pStyle w:val="TableParagraph"/>
              <w:spacing w:line="205" w:lineRule="exact"/>
              <w:ind w:left="218"/>
              <w:rPr>
                <w:b/>
                <w:sz w:val="20"/>
              </w:rPr>
            </w:pPr>
            <w:r>
              <w:rPr>
                <w:b/>
                <w:sz w:val="20"/>
              </w:rPr>
              <w:t>Crude fat</w:t>
            </w:r>
          </w:p>
        </w:tc>
        <w:tc>
          <w:tcPr>
            <w:tcW w:w="1445" w:type="dxa"/>
            <w:tcBorders>
              <w:bottom w:val="dotted" w:sz="4" w:space="0" w:color="000000"/>
            </w:tcBorders>
          </w:tcPr>
          <w:p>
            <w:pPr>
              <w:pStyle w:val="TableParagraph"/>
              <w:spacing w:line="205" w:lineRule="exact"/>
              <w:ind w:left="216"/>
              <w:rPr>
                <w:b/>
                <w:sz w:val="20"/>
              </w:rPr>
            </w:pPr>
            <w:r>
              <w:rPr>
                <w:b/>
                <w:sz w:val="20"/>
              </w:rPr>
              <w:t>NDF</w:t>
            </w:r>
          </w:p>
        </w:tc>
        <w:tc>
          <w:tcPr>
            <w:tcW w:w="1402" w:type="dxa"/>
            <w:tcBorders>
              <w:bottom w:val="dotted" w:sz="4" w:space="0" w:color="000000"/>
            </w:tcBorders>
          </w:tcPr>
          <w:p>
            <w:pPr>
              <w:pStyle w:val="TableParagraph"/>
              <w:spacing w:line="205" w:lineRule="exact"/>
              <w:ind w:left="216"/>
              <w:rPr>
                <w:b/>
                <w:sz w:val="20"/>
              </w:rPr>
            </w:pPr>
            <w:r>
              <w:rPr>
                <w:b/>
                <w:sz w:val="20"/>
              </w:rPr>
              <w:t>ADF</w:t>
            </w:r>
          </w:p>
        </w:tc>
        <w:tc>
          <w:tcPr>
            <w:tcW w:w="1403" w:type="dxa"/>
            <w:tcBorders>
              <w:bottom w:val="dotted" w:sz="4" w:space="0" w:color="000000"/>
            </w:tcBorders>
          </w:tcPr>
          <w:p>
            <w:pPr>
              <w:pStyle w:val="TableParagraph"/>
              <w:spacing w:line="205" w:lineRule="exact"/>
              <w:ind w:left="172"/>
              <w:rPr>
                <w:b/>
                <w:sz w:val="20"/>
              </w:rPr>
            </w:pPr>
            <w:r>
              <w:rPr>
                <w:b/>
                <w:sz w:val="20"/>
              </w:rPr>
              <w:t>Ashes</w:t>
            </w:r>
          </w:p>
        </w:tc>
      </w:tr>
      <w:tr>
        <w:trPr>
          <w:trHeight w:val="354" w:hRule="exact"/>
        </w:trPr>
        <w:tc>
          <w:tcPr>
            <w:tcW w:w="1111" w:type="dxa"/>
            <w:tcBorders>
              <w:top w:val="dotted" w:sz="4" w:space="0" w:color="000000"/>
            </w:tcBorders>
          </w:tcPr>
          <w:p>
            <w:pPr>
              <w:pStyle w:val="TableParagraph"/>
              <w:spacing w:line="226" w:lineRule="exact"/>
              <w:ind w:left="110"/>
              <w:rPr>
                <w:b/>
                <w:sz w:val="20"/>
              </w:rPr>
            </w:pPr>
            <w:r>
              <w:rPr>
                <w:b/>
                <w:sz w:val="20"/>
              </w:rPr>
              <w:t>Hull</w:t>
            </w:r>
          </w:p>
        </w:tc>
        <w:tc>
          <w:tcPr>
            <w:tcW w:w="1639" w:type="dxa"/>
            <w:tcBorders>
              <w:top w:val="dotted" w:sz="4" w:space="0" w:color="000000"/>
            </w:tcBorders>
          </w:tcPr>
          <w:p>
            <w:pPr>
              <w:pStyle w:val="TableParagraph"/>
              <w:spacing w:line="221" w:lineRule="exact"/>
              <w:ind w:left="407"/>
              <w:rPr>
                <w:sz w:val="20"/>
              </w:rPr>
            </w:pPr>
            <w:r>
              <w:rPr>
                <w:sz w:val="20"/>
              </w:rPr>
              <w:t>3.72 ± 0.40</w:t>
            </w:r>
          </w:p>
        </w:tc>
        <w:tc>
          <w:tcPr>
            <w:tcW w:w="1448" w:type="dxa"/>
            <w:tcBorders>
              <w:top w:val="dotted" w:sz="4" w:space="0" w:color="000000"/>
            </w:tcBorders>
          </w:tcPr>
          <w:p>
            <w:pPr>
              <w:pStyle w:val="TableParagraph"/>
              <w:spacing w:line="221" w:lineRule="exact"/>
              <w:ind w:left="218"/>
              <w:rPr>
                <w:sz w:val="20"/>
              </w:rPr>
            </w:pPr>
            <w:r>
              <w:rPr>
                <w:sz w:val="20"/>
              </w:rPr>
              <w:t>0.85 ± 0.30</w:t>
            </w:r>
          </w:p>
        </w:tc>
        <w:tc>
          <w:tcPr>
            <w:tcW w:w="1445" w:type="dxa"/>
            <w:tcBorders>
              <w:top w:val="dotted" w:sz="4" w:space="0" w:color="000000"/>
            </w:tcBorders>
          </w:tcPr>
          <w:p>
            <w:pPr>
              <w:pStyle w:val="TableParagraph"/>
              <w:spacing w:line="221" w:lineRule="exact"/>
              <w:ind w:left="216"/>
              <w:rPr>
                <w:sz w:val="20"/>
              </w:rPr>
            </w:pPr>
            <w:r>
              <w:rPr>
                <w:sz w:val="20"/>
              </w:rPr>
              <w:t>83.29 ± 1.90</w:t>
            </w:r>
          </w:p>
        </w:tc>
        <w:tc>
          <w:tcPr>
            <w:tcW w:w="1402" w:type="dxa"/>
            <w:tcBorders>
              <w:top w:val="dotted" w:sz="4" w:space="0" w:color="000000"/>
            </w:tcBorders>
          </w:tcPr>
          <w:p>
            <w:pPr>
              <w:pStyle w:val="TableParagraph"/>
              <w:spacing w:line="221" w:lineRule="exact"/>
              <w:ind w:left="216"/>
              <w:rPr>
                <w:sz w:val="20"/>
              </w:rPr>
            </w:pPr>
            <w:r>
              <w:rPr>
                <w:sz w:val="20"/>
              </w:rPr>
              <w:t>56.57 ± 1.17</w:t>
            </w:r>
          </w:p>
        </w:tc>
        <w:tc>
          <w:tcPr>
            <w:tcW w:w="1403" w:type="dxa"/>
            <w:tcBorders>
              <w:top w:val="dotted" w:sz="4" w:space="0" w:color="000000"/>
            </w:tcBorders>
          </w:tcPr>
          <w:p>
            <w:pPr>
              <w:pStyle w:val="TableParagraph"/>
              <w:spacing w:line="221" w:lineRule="exact"/>
              <w:ind w:left="172"/>
              <w:rPr>
                <w:sz w:val="20"/>
              </w:rPr>
            </w:pPr>
            <w:r>
              <w:rPr>
                <w:sz w:val="20"/>
              </w:rPr>
              <w:t>1.57 ± 0.03</w:t>
            </w:r>
          </w:p>
        </w:tc>
      </w:tr>
      <w:tr>
        <w:trPr>
          <w:trHeight w:val="434" w:hRule="exact"/>
        </w:trPr>
        <w:tc>
          <w:tcPr>
            <w:tcW w:w="1111" w:type="dxa"/>
          </w:tcPr>
          <w:p>
            <w:pPr>
              <w:pStyle w:val="TableParagraph"/>
              <w:spacing w:before="107"/>
              <w:ind w:left="110"/>
              <w:rPr>
                <w:b/>
                <w:sz w:val="20"/>
              </w:rPr>
            </w:pPr>
            <w:r>
              <w:rPr>
                <w:b/>
                <w:sz w:val="20"/>
              </w:rPr>
              <w:t>Kernel</w:t>
            </w:r>
          </w:p>
        </w:tc>
        <w:tc>
          <w:tcPr>
            <w:tcW w:w="1639" w:type="dxa"/>
          </w:tcPr>
          <w:p>
            <w:pPr>
              <w:pStyle w:val="TableParagraph"/>
              <w:spacing w:before="102"/>
              <w:ind w:left="407"/>
              <w:rPr>
                <w:sz w:val="20"/>
              </w:rPr>
            </w:pPr>
            <w:r>
              <w:rPr>
                <w:sz w:val="20"/>
              </w:rPr>
              <w:t>22.92 ± 2.15</w:t>
            </w:r>
          </w:p>
        </w:tc>
        <w:tc>
          <w:tcPr>
            <w:tcW w:w="1448" w:type="dxa"/>
          </w:tcPr>
          <w:p>
            <w:pPr>
              <w:pStyle w:val="TableParagraph"/>
              <w:spacing w:before="102"/>
              <w:ind w:left="218"/>
              <w:rPr>
                <w:sz w:val="20"/>
              </w:rPr>
            </w:pPr>
            <w:r>
              <w:rPr>
                <w:sz w:val="20"/>
              </w:rPr>
              <w:t>58.26 ± 0.85</w:t>
            </w:r>
          </w:p>
        </w:tc>
        <w:tc>
          <w:tcPr>
            <w:tcW w:w="1445" w:type="dxa"/>
          </w:tcPr>
          <w:p>
            <w:pPr>
              <w:pStyle w:val="TableParagraph"/>
              <w:spacing w:before="102"/>
              <w:ind w:left="216"/>
              <w:rPr>
                <w:sz w:val="20"/>
              </w:rPr>
            </w:pPr>
            <w:r>
              <w:rPr>
                <w:sz w:val="20"/>
              </w:rPr>
              <w:t>24.05 ± 4.70</w:t>
            </w:r>
          </w:p>
        </w:tc>
        <w:tc>
          <w:tcPr>
            <w:tcW w:w="1402" w:type="dxa"/>
          </w:tcPr>
          <w:p>
            <w:pPr>
              <w:pStyle w:val="TableParagraph"/>
              <w:spacing w:before="102"/>
              <w:ind w:left="216"/>
              <w:rPr>
                <w:sz w:val="20"/>
              </w:rPr>
            </w:pPr>
            <w:r>
              <w:rPr>
                <w:sz w:val="20"/>
              </w:rPr>
              <w:t>13.04 ± 2.10</w:t>
            </w:r>
          </w:p>
        </w:tc>
        <w:tc>
          <w:tcPr>
            <w:tcW w:w="1403" w:type="dxa"/>
          </w:tcPr>
          <w:p>
            <w:pPr>
              <w:pStyle w:val="TableParagraph"/>
              <w:spacing w:before="102"/>
              <w:ind w:left="172"/>
              <w:rPr>
                <w:sz w:val="20"/>
              </w:rPr>
            </w:pPr>
            <w:r>
              <w:rPr>
                <w:sz w:val="20"/>
              </w:rPr>
              <w:t>3.00 ± 0.12</w:t>
            </w:r>
          </w:p>
        </w:tc>
      </w:tr>
    </w:tbl>
    <w:p>
      <w:pPr>
        <w:pStyle w:val="BodyText"/>
        <w:spacing w:before="8"/>
        <w:rPr>
          <w:rFonts w:ascii="Times New Roman"/>
          <w:b/>
          <w:i/>
          <w:sz w:val="8"/>
        </w:rPr>
      </w:pPr>
      <w:r>
        <w:rPr/>
        <w:pict>
          <v:group style="position:absolute;margin-left:78.018997pt;margin-top:6.970111pt;width:424.55pt;height:1.45pt;mso-position-horizontal-relative:page;mso-position-vertical-relative:paragraph;z-index:3472;mso-wrap-distance-left:0;mso-wrap-distance-right:0" coordorigin="1560,139" coordsize="8491,29">
            <v:line style="position:absolute" from="1575,154" to="2997,154" stroked="true" strokeweight="1.44pt" strokecolor="#000000"/>
            <v:line style="position:absolute" from="2982,154" to="3011,154" stroked="true" strokeweight="1.44pt" strokecolor="#000000"/>
            <v:line style="position:absolute" from="3011,154" to="4447,154" stroked="true" strokeweight="1.44pt" strokecolor="#000000"/>
            <v:line style="position:absolute" from="4432,154" to="4461,154" stroked="true" strokeweight="1.44pt" strokecolor="#000000"/>
            <v:line style="position:absolute" from="4461,154" to="5892,154" stroked="true" strokeweight="1.44pt" strokecolor="#000000"/>
            <v:line style="position:absolute" from="5878,154" to="5906,154" stroked="true" strokeweight="1.44pt" strokecolor="#000000"/>
            <v:line style="position:absolute" from="5906,154" to="7337,154" stroked="true" strokeweight="1.44pt" strokecolor="#000000"/>
            <v:line style="position:absolute" from="7323,154" to="7352,154" stroked="true" strokeweight="1.44pt" strokecolor="#000000"/>
            <v:line style="position:absolute" from="7352,154" to="8696,154" stroked="true" strokeweight="1.44pt" strokecolor="#000000"/>
            <v:line style="position:absolute" from="8682,154" to="8711,154" stroked="true" strokeweight="1.44pt" strokecolor="#000000"/>
            <v:line style="position:absolute" from="8711,154" to="10036,154" stroked="true" strokeweight="1.44pt" strokecolor="#000000"/>
            <w10:wrap type="topAndBottom"/>
          </v:group>
        </w:pict>
      </w:r>
    </w:p>
    <w:p>
      <w:pPr>
        <w:spacing w:after="0"/>
        <w:rPr>
          <w:rFonts w:ascii="Times New Roman"/>
          <w:sz w:val="8"/>
        </w:rPr>
        <w:sectPr>
          <w:pgSz w:w="12240" w:h="15840"/>
          <w:pgMar w:header="684" w:footer="1172" w:top="1380" w:bottom="1380" w:left="1440" w:right="0"/>
        </w:sectPr>
      </w:pPr>
    </w:p>
    <w:p>
      <w:pPr>
        <w:pStyle w:val="BodyText"/>
        <w:spacing w:before="1" w:after="1"/>
        <w:rPr>
          <w:rFonts w:ascii="Times New Roman"/>
          <w:b/>
          <w:i/>
          <w:sz w:val="23"/>
        </w:rPr>
      </w:pPr>
    </w:p>
    <w:tbl>
      <w:tblPr>
        <w:tblW w:w="0" w:type="auto"/>
        <w:jc w:val="left"/>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02"/>
        <w:gridCol w:w="1447"/>
        <w:gridCol w:w="1448"/>
        <w:gridCol w:w="1445"/>
        <w:gridCol w:w="1402"/>
        <w:gridCol w:w="1403"/>
      </w:tblGrid>
      <w:tr>
        <w:trPr>
          <w:trHeight w:val="824" w:hRule="exact"/>
        </w:trPr>
        <w:tc>
          <w:tcPr>
            <w:tcW w:w="1302" w:type="dxa"/>
            <w:tcBorders>
              <w:left w:val="nil"/>
              <w:bottom w:val="nil"/>
              <w:right w:val="nil"/>
            </w:tcBorders>
          </w:tcPr>
          <w:p>
            <w:pPr>
              <w:pStyle w:val="TableParagraph"/>
              <w:spacing w:line="226" w:lineRule="exact"/>
              <w:ind w:left="110"/>
              <w:rPr>
                <w:b/>
                <w:sz w:val="20"/>
              </w:rPr>
            </w:pPr>
            <w:r>
              <w:rPr>
                <w:b/>
                <w:sz w:val="20"/>
              </w:rPr>
              <w:t>Whole seed</w:t>
            </w:r>
          </w:p>
          <w:p>
            <w:pPr>
              <w:pStyle w:val="TableParagraph"/>
              <w:rPr>
                <w:b/>
                <w:i/>
                <w:sz w:val="20"/>
              </w:rPr>
            </w:pPr>
          </w:p>
          <w:p>
            <w:pPr>
              <w:pStyle w:val="TableParagraph"/>
              <w:spacing w:before="1"/>
              <w:ind w:left="110"/>
              <w:rPr>
                <w:b/>
                <w:sz w:val="20"/>
              </w:rPr>
            </w:pPr>
            <w:r>
              <w:rPr>
                <w:b/>
                <w:sz w:val="20"/>
              </w:rPr>
              <w:t>SMH</w:t>
            </w:r>
          </w:p>
        </w:tc>
        <w:tc>
          <w:tcPr>
            <w:tcW w:w="1447" w:type="dxa"/>
            <w:tcBorders>
              <w:left w:val="nil"/>
              <w:bottom w:val="nil"/>
              <w:right w:val="nil"/>
            </w:tcBorders>
          </w:tcPr>
          <w:p>
            <w:pPr>
              <w:pStyle w:val="TableParagraph"/>
              <w:spacing w:line="221" w:lineRule="exact"/>
              <w:ind w:left="215"/>
              <w:rPr>
                <w:sz w:val="20"/>
              </w:rPr>
            </w:pPr>
            <w:r>
              <w:rPr>
                <w:sz w:val="20"/>
              </w:rPr>
              <w:t>14.25 ± 1.32</w:t>
            </w:r>
          </w:p>
          <w:p>
            <w:pPr>
              <w:pStyle w:val="TableParagraph"/>
              <w:rPr>
                <w:b/>
                <w:i/>
                <w:sz w:val="20"/>
              </w:rPr>
            </w:pPr>
          </w:p>
          <w:p>
            <w:pPr>
              <w:pStyle w:val="TableParagraph"/>
              <w:spacing w:before="1"/>
              <w:ind w:left="215"/>
              <w:rPr>
                <w:sz w:val="20"/>
              </w:rPr>
            </w:pPr>
            <w:r>
              <w:rPr>
                <w:sz w:val="20"/>
              </w:rPr>
              <w:t>20.15 ± 0.93</w:t>
            </w:r>
          </w:p>
        </w:tc>
        <w:tc>
          <w:tcPr>
            <w:tcW w:w="1448" w:type="dxa"/>
            <w:tcBorders>
              <w:left w:val="nil"/>
              <w:bottom w:val="nil"/>
              <w:right w:val="nil"/>
            </w:tcBorders>
          </w:tcPr>
          <w:p>
            <w:pPr>
              <w:pStyle w:val="TableParagraph"/>
              <w:spacing w:line="221" w:lineRule="exact"/>
              <w:ind w:left="218"/>
              <w:rPr>
                <w:sz w:val="20"/>
              </w:rPr>
            </w:pPr>
            <w:r>
              <w:rPr>
                <w:sz w:val="20"/>
              </w:rPr>
              <w:t>35.19 ± 0.28</w:t>
            </w:r>
          </w:p>
          <w:p>
            <w:pPr>
              <w:pStyle w:val="TableParagraph"/>
              <w:rPr>
                <w:b/>
                <w:i/>
                <w:sz w:val="20"/>
              </w:rPr>
            </w:pPr>
          </w:p>
          <w:p>
            <w:pPr>
              <w:pStyle w:val="TableParagraph"/>
              <w:spacing w:before="1"/>
              <w:ind w:left="218"/>
              <w:rPr>
                <w:sz w:val="20"/>
              </w:rPr>
            </w:pPr>
            <w:r>
              <w:rPr>
                <w:sz w:val="20"/>
              </w:rPr>
              <w:t>0.36 ± 0.08</w:t>
            </w:r>
          </w:p>
        </w:tc>
        <w:tc>
          <w:tcPr>
            <w:tcW w:w="1445" w:type="dxa"/>
            <w:tcBorders>
              <w:left w:val="nil"/>
              <w:bottom w:val="nil"/>
              <w:right w:val="nil"/>
            </w:tcBorders>
          </w:tcPr>
          <w:p>
            <w:pPr>
              <w:pStyle w:val="TableParagraph"/>
              <w:spacing w:line="221" w:lineRule="exact"/>
              <w:ind w:left="216"/>
              <w:rPr>
                <w:sz w:val="20"/>
              </w:rPr>
            </w:pPr>
            <w:r>
              <w:rPr>
                <w:sz w:val="20"/>
              </w:rPr>
              <w:t>53.91 ± 5.12</w:t>
            </w:r>
          </w:p>
          <w:p>
            <w:pPr>
              <w:pStyle w:val="TableParagraph"/>
              <w:rPr>
                <w:b/>
                <w:i/>
                <w:sz w:val="20"/>
              </w:rPr>
            </w:pPr>
          </w:p>
          <w:p>
            <w:pPr>
              <w:pStyle w:val="TableParagraph"/>
              <w:spacing w:before="1"/>
              <w:ind w:left="216"/>
              <w:rPr>
                <w:sz w:val="20"/>
              </w:rPr>
            </w:pPr>
            <w:r>
              <w:rPr>
                <w:sz w:val="20"/>
              </w:rPr>
              <w:t>63.67 ± 5.00</w:t>
            </w:r>
          </w:p>
        </w:tc>
        <w:tc>
          <w:tcPr>
            <w:tcW w:w="1402" w:type="dxa"/>
            <w:tcBorders>
              <w:left w:val="nil"/>
              <w:bottom w:val="nil"/>
              <w:right w:val="nil"/>
            </w:tcBorders>
          </w:tcPr>
          <w:p>
            <w:pPr>
              <w:pStyle w:val="TableParagraph"/>
              <w:spacing w:line="221" w:lineRule="exact"/>
              <w:ind w:left="216"/>
              <w:rPr>
                <w:sz w:val="20"/>
              </w:rPr>
            </w:pPr>
            <w:r>
              <w:rPr>
                <w:sz w:val="20"/>
              </w:rPr>
              <w:t>36.25 ± 2.67</w:t>
            </w:r>
          </w:p>
          <w:p>
            <w:pPr>
              <w:pStyle w:val="TableParagraph"/>
              <w:rPr>
                <w:b/>
                <w:i/>
                <w:sz w:val="20"/>
              </w:rPr>
            </w:pPr>
          </w:p>
          <w:p>
            <w:pPr>
              <w:pStyle w:val="TableParagraph"/>
              <w:spacing w:before="1"/>
              <w:ind w:left="216"/>
              <w:rPr>
                <w:sz w:val="20"/>
              </w:rPr>
            </w:pPr>
            <w:r>
              <w:rPr>
                <w:sz w:val="20"/>
              </w:rPr>
              <w:t>42.05 ± 1.71</w:t>
            </w:r>
          </w:p>
        </w:tc>
        <w:tc>
          <w:tcPr>
            <w:tcW w:w="1403" w:type="dxa"/>
            <w:tcBorders>
              <w:left w:val="nil"/>
              <w:bottom w:val="nil"/>
              <w:right w:val="nil"/>
            </w:tcBorders>
          </w:tcPr>
          <w:p>
            <w:pPr>
              <w:pStyle w:val="TableParagraph"/>
              <w:spacing w:line="221" w:lineRule="exact"/>
              <w:ind w:left="172"/>
              <w:rPr>
                <w:sz w:val="20"/>
              </w:rPr>
            </w:pPr>
            <w:r>
              <w:rPr>
                <w:sz w:val="20"/>
              </w:rPr>
              <w:t>2.32 ± 0.09</w:t>
            </w:r>
          </w:p>
          <w:p>
            <w:pPr>
              <w:pStyle w:val="TableParagraph"/>
              <w:rPr>
                <w:b/>
                <w:i/>
                <w:sz w:val="20"/>
              </w:rPr>
            </w:pPr>
          </w:p>
          <w:p>
            <w:pPr>
              <w:pStyle w:val="TableParagraph"/>
              <w:spacing w:before="1"/>
              <w:ind w:left="172"/>
              <w:rPr>
                <w:sz w:val="20"/>
              </w:rPr>
            </w:pPr>
            <w:r>
              <w:rPr>
                <w:sz w:val="20"/>
              </w:rPr>
              <w:t>3.38 ± 0.27</w:t>
            </w:r>
          </w:p>
        </w:tc>
      </w:tr>
      <w:tr>
        <w:trPr>
          <w:trHeight w:val="434" w:hRule="exact"/>
        </w:trPr>
        <w:tc>
          <w:tcPr>
            <w:tcW w:w="1302" w:type="dxa"/>
            <w:tcBorders>
              <w:top w:val="nil"/>
              <w:left w:val="nil"/>
              <w:bottom w:val="nil"/>
              <w:right w:val="nil"/>
            </w:tcBorders>
          </w:tcPr>
          <w:p>
            <w:pPr>
              <w:pStyle w:val="TableParagraph"/>
              <w:spacing w:before="108"/>
              <w:ind w:left="110"/>
              <w:rPr>
                <w:b/>
                <w:sz w:val="20"/>
              </w:rPr>
            </w:pPr>
            <w:r>
              <w:rPr>
                <w:b/>
                <w:sz w:val="20"/>
              </w:rPr>
              <w:t>SMP</w:t>
            </w:r>
          </w:p>
        </w:tc>
        <w:tc>
          <w:tcPr>
            <w:tcW w:w="1447" w:type="dxa"/>
            <w:tcBorders>
              <w:top w:val="nil"/>
              <w:left w:val="nil"/>
              <w:bottom w:val="nil"/>
              <w:right w:val="nil"/>
            </w:tcBorders>
          </w:tcPr>
          <w:p>
            <w:pPr>
              <w:pStyle w:val="TableParagraph"/>
              <w:spacing w:before="103"/>
              <w:ind w:left="215"/>
              <w:rPr>
                <w:sz w:val="20"/>
              </w:rPr>
            </w:pPr>
            <w:r>
              <w:rPr>
                <w:sz w:val="20"/>
              </w:rPr>
              <w:t>19.44 ± 1.17</w:t>
            </w:r>
          </w:p>
        </w:tc>
        <w:tc>
          <w:tcPr>
            <w:tcW w:w="1448" w:type="dxa"/>
            <w:tcBorders>
              <w:top w:val="nil"/>
              <w:left w:val="nil"/>
              <w:bottom w:val="nil"/>
              <w:right w:val="nil"/>
            </w:tcBorders>
          </w:tcPr>
          <w:p>
            <w:pPr>
              <w:pStyle w:val="TableParagraph"/>
              <w:spacing w:before="103"/>
              <w:ind w:left="218"/>
              <w:rPr>
                <w:sz w:val="20"/>
              </w:rPr>
            </w:pPr>
            <w:r>
              <w:rPr>
                <w:sz w:val="20"/>
              </w:rPr>
              <w:t>3.23 ± 0.48</w:t>
            </w:r>
          </w:p>
        </w:tc>
        <w:tc>
          <w:tcPr>
            <w:tcW w:w="1445" w:type="dxa"/>
            <w:tcBorders>
              <w:top w:val="nil"/>
              <w:left w:val="nil"/>
              <w:bottom w:val="nil"/>
              <w:right w:val="nil"/>
            </w:tcBorders>
          </w:tcPr>
          <w:p>
            <w:pPr>
              <w:pStyle w:val="TableParagraph"/>
              <w:spacing w:before="103"/>
              <w:ind w:left="216"/>
              <w:rPr>
                <w:sz w:val="20"/>
              </w:rPr>
            </w:pPr>
            <w:r>
              <w:rPr>
                <w:sz w:val="20"/>
              </w:rPr>
              <w:t>64.63 ± 0.20</w:t>
            </w:r>
          </w:p>
        </w:tc>
        <w:tc>
          <w:tcPr>
            <w:tcW w:w="1402" w:type="dxa"/>
            <w:tcBorders>
              <w:top w:val="nil"/>
              <w:left w:val="nil"/>
              <w:bottom w:val="nil"/>
              <w:right w:val="nil"/>
            </w:tcBorders>
          </w:tcPr>
          <w:p>
            <w:pPr>
              <w:pStyle w:val="TableParagraph"/>
              <w:spacing w:before="103"/>
              <w:ind w:left="216"/>
              <w:rPr>
                <w:sz w:val="20"/>
              </w:rPr>
            </w:pPr>
            <w:r>
              <w:rPr>
                <w:sz w:val="20"/>
              </w:rPr>
              <w:t>44.57 ± 0.05</w:t>
            </w:r>
          </w:p>
        </w:tc>
        <w:tc>
          <w:tcPr>
            <w:tcW w:w="1403" w:type="dxa"/>
            <w:tcBorders>
              <w:top w:val="nil"/>
              <w:left w:val="nil"/>
              <w:bottom w:val="nil"/>
              <w:right w:val="nil"/>
            </w:tcBorders>
          </w:tcPr>
          <w:p>
            <w:pPr>
              <w:pStyle w:val="TableParagraph"/>
              <w:spacing w:before="103"/>
              <w:ind w:left="172"/>
              <w:rPr>
                <w:sz w:val="20"/>
              </w:rPr>
            </w:pPr>
            <w:r>
              <w:rPr>
                <w:sz w:val="20"/>
              </w:rPr>
              <w:t>3.60 ± 0.02</w:t>
            </w:r>
          </w:p>
        </w:tc>
      </w:tr>
    </w:tbl>
    <w:p>
      <w:pPr>
        <w:pStyle w:val="BodyText"/>
        <w:spacing w:before="7"/>
        <w:rPr>
          <w:rFonts w:ascii="Times New Roman"/>
          <w:b/>
          <w:i/>
          <w:sz w:val="8"/>
        </w:rPr>
      </w:pPr>
      <w:r>
        <w:rPr/>
        <w:pict>
          <v:group style="position:absolute;margin-left:78.018997pt;margin-top:6.946111pt;width:424.55pt;height:1.45pt;mso-position-horizontal-relative:page;mso-position-vertical-relative:paragraph;z-index:3568;mso-wrap-distance-left:0;mso-wrap-distance-right:0" coordorigin="1560,139" coordsize="8491,29">
            <v:line style="position:absolute" from="1575,153" to="2997,153" stroked="true" strokeweight="1.44pt" strokecolor="#000000"/>
            <v:line style="position:absolute" from="2982,153" to="3011,153" stroked="true" strokeweight="1.44pt" strokecolor="#000000"/>
            <v:line style="position:absolute" from="3011,153" to="4447,153" stroked="true" strokeweight="1.44pt" strokecolor="#000000"/>
            <v:line style="position:absolute" from="4432,153" to="4461,153" stroked="true" strokeweight="1.44pt" strokecolor="#000000"/>
            <v:line style="position:absolute" from="4461,153" to="5892,153" stroked="true" strokeweight="1.44pt" strokecolor="#000000"/>
            <v:line style="position:absolute" from="5878,153" to="5906,153" stroked="true" strokeweight="1.44pt" strokecolor="#000000"/>
            <v:line style="position:absolute" from="5906,153" to="7337,153" stroked="true" strokeweight="1.44pt" strokecolor="#000000"/>
            <v:line style="position:absolute" from="7323,153" to="7352,153" stroked="true" strokeweight="1.44pt" strokecolor="#000000"/>
            <v:line style="position:absolute" from="7352,153" to="8696,153" stroked="true" strokeweight="1.44pt" strokecolor="#000000"/>
            <v:line style="position:absolute" from="8682,153" to="8711,153" stroked="true" strokeweight="1.44pt" strokecolor="#000000"/>
            <v:line style="position:absolute" from="8711,153" to="10036,153" stroked="true" strokeweight="1.44pt" strokecolor="#000000"/>
            <w10:wrap type="topAndBottom"/>
          </v:group>
        </w:pict>
      </w:r>
    </w:p>
    <w:p>
      <w:pPr>
        <w:spacing w:line="173" w:lineRule="exact" w:before="0"/>
        <w:ind w:left="259" w:right="0" w:firstLine="0"/>
        <w:jc w:val="left"/>
        <w:rPr>
          <w:rFonts w:ascii="Times New Roman"/>
          <w:sz w:val="18"/>
        </w:rPr>
      </w:pPr>
      <w:r>
        <w:rPr>
          <w:rFonts w:ascii="Times New Roman"/>
          <w:sz w:val="18"/>
        </w:rPr>
        <w:t>Note: </w:t>
      </w:r>
      <w:r>
        <w:rPr>
          <w:rFonts w:ascii="Times New Roman"/>
          <w:i/>
          <w:position w:val="7"/>
          <w:sz w:val="12"/>
        </w:rPr>
        <w:t>i  </w:t>
      </w:r>
      <w:r>
        <w:rPr>
          <w:rFonts w:ascii="Times New Roman"/>
          <w:sz w:val="18"/>
        </w:rPr>
        <w:t>SMH, safflower meal extracted with hexane; SMP, safflower meal extracted with petroleum ether; </w:t>
      </w:r>
      <w:r>
        <w:rPr>
          <w:rFonts w:ascii="Times New Roman"/>
          <w:i/>
          <w:position w:val="7"/>
          <w:sz w:val="12"/>
        </w:rPr>
        <w:t>ii </w:t>
      </w:r>
      <w:r>
        <w:rPr>
          <w:rFonts w:ascii="Times New Roman"/>
          <w:sz w:val="18"/>
        </w:rPr>
        <w:t>NDF is neutral</w:t>
      </w:r>
    </w:p>
    <w:p>
      <w:pPr>
        <w:pStyle w:val="BodyText"/>
        <w:spacing w:before="10"/>
        <w:rPr>
          <w:rFonts w:ascii="Times New Roman"/>
          <w:sz w:val="17"/>
        </w:rPr>
      </w:pPr>
    </w:p>
    <w:p>
      <w:pPr>
        <w:spacing w:before="0"/>
        <w:ind w:left="259" w:right="0" w:firstLine="0"/>
        <w:jc w:val="left"/>
        <w:rPr>
          <w:rFonts w:ascii="Times New Roman"/>
          <w:sz w:val="18"/>
        </w:rPr>
      </w:pPr>
      <w:r>
        <w:rPr>
          <w:rFonts w:ascii="Times New Roman"/>
          <w:sz w:val="18"/>
        </w:rPr>
        <w:t>detergent fiber; ADF is acid detergent fiber.</w:t>
      </w:r>
    </w:p>
    <w:p>
      <w:pPr>
        <w:pStyle w:val="BodyText"/>
        <w:spacing w:before="11"/>
        <w:rPr>
          <w:rFonts w:ascii="Times New Roman"/>
          <w:sz w:val="17"/>
        </w:rPr>
      </w:pPr>
    </w:p>
    <w:p>
      <w:pPr>
        <w:spacing w:before="0"/>
        <w:ind w:left="596" w:right="0" w:firstLine="0"/>
        <w:jc w:val="left"/>
        <w:rPr>
          <w:rFonts w:ascii="Times New Roman"/>
          <w:sz w:val="22"/>
        </w:rPr>
      </w:pPr>
      <w:r>
        <w:rPr>
          <w:rFonts w:ascii="Times New Roman"/>
          <w:b/>
          <w:sz w:val="22"/>
        </w:rPr>
        <w:t>Table 2</w:t>
      </w:r>
      <w:r>
        <w:rPr>
          <w:rFonts w:ascii="Times New Roman"/>
          <w:sz w:val="22"/>
        </w:rPr>
        <w:t>. Gas production characteristics of </w:t>
      </w:r>
      <w:r>
        <w:rPr>
          <w:rFonts w:ascii="Times New Roman"/>
          <w:i/>
          <w:sz w:val="22"/>
        </w:rPr>
        <w:t>in vitro </w:t>
      </w:r>
      <w:r>
        <w:rPr>
          <w:rFonts w:ascii="Times New Roman"/>
          <w:sz w:val="22"/>
        </w:rPr>
        <w:t>gas production of safflower seed fractions</w:t>
      </w:r>
    </w:p>
    <w:p>
      <w:pPr>
        <w:pStyle w:val="BodyText"/>
        <w:spacing w:before="2"/>
        <w:rPr>
          <w:rFonts w:ascii="Times New Roman"/>
          <w:sz w:val="19"/>
        </w:rPr>
      </w:pPr>
      <w:r>
        <w:rPr/>
        <w:pict>
          <v:group style="position:absolute;margin-left:88.843002pt;margin-top:12.995596pt;width:434.35pt;height:1.45pt;mso-position-horizontal-relative:page;mso-position-vertical-relative:paragraph;z-index:3592;mso-wrap-distance-left:0;mso-wrap-distance-right:0" coordorigin="1777,260" coordsize="8687,29">
            <v:line style="position:absolute" from="1791,274" to="3030,274" stroked="true" strokeweight="1.44pt" strokecolor="#000000"/>
            <v:line style="position:absolute" from="3030,274" to="3059,274" stroked="true" strokeweight="1.44pt" strokecolor="#000000"/>
            <v:line style="position:absolute" from="3059,274" to="10449,274" stroked="true" strokeweight="1.44pt" strokecolor="#000000"/>
            <w10:wrap type="topAndBottom"/>
          </v:group>
        </w:pict>
      </w:r>
    </w:p>
    <w:p>
      <w:pPr>
        <w:spacing w:line="192" w:lineRule="exact" w:before="0"/>
        <w:ind w:left="4029" w:right="0" w:firstLine="0"/>
        <w:jc w:val="left"/>
        <w:rPr>
          <w:rFonts w:ascii="Times New Roman"/>
          <w:b/>
          <w:i/>
          <w:sz w:val="13"/>
        </w:rPr>
      </w:pPr>
      <w:r>
        <w:rPr>
          <w:rFonts w:ascii="Times New Roman"/>
          <w:sz w:val="20"/>
        </w:rPr>
        <w:t>Gas production characteristics </w:t>
      </w:r>
      <w:r>
        <w:rPr>
          <w:rFonts w:ascii="Times New Roman"/>
          <w:b/>
          <w:i/>
          <w:position w:val="7"/>
          <w:sz w:val="13"/>
        </w:rPr>
        <w:t>ii</w:t>
      </w:r>
    </w:p>
    <w:p>
      <w:pPr>
        <w:tabs>
          <w:tab w:pos="1590" w:val="left" w:leader="none"/>
          <w:tab w:pos="9036" w:val="left" w:leader="none"/>
        </w:tabs>
        <w:spacing w:before="5" w:after="35"/>
        <w:ind w:left="461" w:right="0" w:firstLine="0"/>
        <w:jc w:val="left"/>
        <w:rPr>
          <w:rFonts w:ascii="Times New Roman"/>
          <w:b/>
          <w:i/>
          <w:sz w:val="13"/>
        </w:rPr>
      </w:pPr>
      <w:r>
        <w:rPr>
          <w:rFonts w:ascii="Times New Roman"/>
          <w:sz w:val="20"/>
        </w:rPr>
        <w:t>Items</w:t>
      </w:r>
      <w:r>
        <w:rPr>
          <w:rFonts w:ascii="Times New Roman"/>
          <w:spacing w:val="-2"/>
          <w:sz w:val="20"/>
        </w:rPr>
        <w:t> </w:t>
      </w:r>
      <w:r>
        <w:rPr>
          <w:rFonts w:ascii="Times New Roman"/>
          <w:b/>
          <w:i/>
          <w:position w:val="7"/>
          <w:sz w:val="13"/>
        </w:rPr>
        <w:t>i</w:t>
        <w:tab/>
      </w:r>
      <w:r>
        <w:rPr>
          <w:rFonts w:ascii="Times New Roman"/>
          <w:b/>
          <w:i/>
          <w:w w:val="99"/>
          <w:position w:val="7"/>
          <w:sz w:val="13"/>
          <w:u w:val="dotted"/>
        </w:rPr>
        <w:t> </w:t>
      </w:r>
      <w:r>
        <w:rPr>
          <w:rFonts w:ascii="Times New Roman"/>
          <w:b/>
          <w:i/>
          <w:position w:val="7"/>
          <w:sz w:val="13"/>
          <w:u w:val="dotted"/>
        </w:rPr>
        <w:tab/>
      </w:r>
    </w:p>
    <w:tbl>
      <w:tblPr>
        <w:tblW w:w="0" w:type="auto"/>
        <w:jc w:val="left"/>
        <w:tblInd w:w="3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1"/>
        <w:gridCol w:w="1351"/>
        <w:gridCol w:w="1293"/>
        <w:gridCol w:w="1211"/>
        <w:gridCol w:w="1213"/>
        <w:gridCol w:w="1276"/>
        <w:gridCol w:w="1083"/>
      </w:tblGrid>
      <w:tr>
        <w:trPr>
          <w:trHeight w:val="450" w:hRule="exact"/>
        </w:trPr>
        <w:tc>
          <w:tcPr>
            <w:tcW w:w="1231" w:type="dxa"/>
            <w:tcBorders>
              <w:bottom w:val="single" w:sz="4" w:space="0" w:color="000000"/>
            </w:tcBorders>
          </w:tcPr>
          <w:p>
            <w:pPr/>
          </w:p>
        </w:tc>
        <w:tc>
          <w:tcPr>
            <w:tcW w:w="1351" w:type="dxa"/>
            <w:tcBorders>
              <w:bottom w:val="single" w:sz="4" w:space="0" w:color="000000"/>
            </w:tcBorders>
          </w:tcPr>
          <w:p>
            <w:pPr>
              <w:pStyle w:val="TableParagraph"/>
              <w:spacing w:line="205" w:lineRule="exact"/>
              <w:ind w:left="157" w:right="121"/>
              <w:jc w:val="center"/>
              <w:rPr>
                <w:i/>
                <w:sz w:val="20"/>
              </w:rPr>
            </w:pPr>
            <w:r>
              <w:rPr>
                <w:b/>
                <w:i/>
                <w:position w:val="1"/>
                <w:sz w:val="20"/>
              </w:rPr>
              <w:t>V</w:t>
            </w:r>
            <w:r>
              <w:rPr>
                <w:b/>
                <w:i/>
                <w:sz w:val="13"/>
              </w:rPr>
              <w:t>F </w:t>
            </w:r>
            <w:r>
              <w:rPr>
                <w:i/>
                <w:position w:val="1"/>
                <w:sz w:val="20"/>
              </w:rPr>
              <w:t>(mL/g)</w:t>
            </w:r>
          </w:p>
        </w:tc>
        <w:tc>
          <w:tcPr>
            <w:tcW w:w="1293" w:type="dxa"/>
            <w:tcBorders>
              <w:bottom w:val="single" w:sz="4" w:space="0" w:color="000000"/>
            </w:tcBorders>
          </w:tcPr>
          <w:p>
            <w:pPr>
              <w:pStyle w:val="TableParagraph"/>
              <w:spacing w:line="205" w:lineRule="exact"/>
              <w:ind w:left="122" w:right="112"/>
              <w:jc w:val="center"/>
              <w:rPr>
                <w:sz w:val="20"/>
              </w:rPr>
            </w:pPr>
            <w:r>
              <w:rPr>
                <w:b/>
                <w:i/>
                <w:sz w:val="20"/>
              </w:rPr>
              <w:t>k </w:t>
            </w:r>
            <w:r>
              <w:rPr>
                <w:sz w:val="20"/>
              </w:rPr>
              <w:t>(%)</w:t>
            </w:r>
          </w:p>
        </w:tc>
        <w:tc>
          <w:tcPr>
            <w:tcW w:w="1211" w:type="dxa"/>
            <w:tcBorders>
              <w:bottom w:val="single" w:sz="4" w:space="0" w:color="000000"/>
            </w:tcBorders>
          </w:tcPr>
          <w:p>
            <w:pPr>
              <w:pStyle w:val="TableParagraph"/>
              <w:spacing w:line="205" w:lineRule="exact"/>
              <w:ind w:left="177"/>
              <w:rPr>
                <w:sz w:val="20"/>
              </w:rPr>
            </w:pPr>
            <w:r>
              <w:rPr>
                <w:b/>
                <w:i/>
                <w:position w:val="1"/>
                <w:sz w:val="20"/>
              </w:rPr>
              <w:t>FRD</w:t>
            </w:r>
            <w:r>
              <w:rPr>
                <w:b/>
                <w:i/>
                <w:sz w:val="13"/>
              </w:rPr>
              <w:t>0 </w:t>
            </w:r>
            <w:r>
              <w:rPr>
                <w:position w:val="1"/>
                <w:sz w:val="20"/>
              </w:rPr>
              <w:t>(%)</w:t>
            </w:r>
          </w:p>
        </w:tc>
        <w:tc>
          <w:tcPr>
            <w:tcW w:w="1213" w:type="dxa"/>
            <w:tcBorders>
              <w:bottom w:val="single" w:sz="4" w:space="0" w:color="000000"/>
            </w:tcBorders>
          </w:tcPr>
          <w:p>
            <w:pPr>
              <w:pStyle w:val="TableParagraph"/>
              <w:spacing w:line="210" w:lineRule="exact"/>
              <w:ind w:left="129" w:right="113"/>
              <w:jc w:val="center"/>
              <w:rPr>
                <w:b/>
                <w:i/>
                <w:sz w:val="13"/>
              </w:rPr>
            </w:pPr>
            <w:r>
              <w:rPr>
                <w:b/>
                <w:position w:val="1"/>
                <w:sz w:val="20"/>
              </w:rPr>
              <w:t>RG</w:t>
            </w:r>
            <w:r>
              <w:rPr>
                <w:b/>
                <w:i/>
                <w:sz w:val="13"/>
              </w:rPr>
              <w:t>t</w:t>
            </w:r>
          </w:p>
        </w:tc>
        <w:tc>
          <w:tcPr>
            <w:tcW w:w="1276" w:type="dxa"/>
            <w:tcBorders>
              <w:bottom w:val="single" w:sz="4" w:space="0" w:color="000000"/>
            </w:tcBorders>
          </w:tcPr>
          <w:p>
            <w:pPr>
              <w:pStyle w:val="TableParagraph"/>
              <w:spacing w:line="210" w:lineRule="exact"/>
              <w:ind w:left="513" w:right="503"/>
              <w:jc w:val="center"/>
              <w:rPr>
                <w:b/>
                <w:i/>
                <w:sz w:val="13"/>
              </w:rPr>
            </w:pPr>
            <w:r>
              <w:rPr>
                <w:b/>
                <w:i/>
                <w:position w:val="1"/>
                <w:sz w:val="20"/>
              </w:rPr>
              <w:t>t</w:t>
            </w:r>
            <w:r>
              <w:rPr>
                <w:b/>
                <w:i/>
                <w:sz w:val="13"/>
              </w:rPr>
              <w:t>0.5</w:t>
            </w:r>
          </w:p>
        </w:tc>
        <w:tc>
          <w:tcPr>
            <w:tcW w:w="1083" w:type="dxa"/>
            <w:tcBorders>
              <w:bottom w:val="single" w:sz="4" w:space="0" w:color="000000"/>
            </w:tcBorders>
          </w:tcPr>
          <w:p>
            <w:pPr>
              <w:pStyle w:val="TableParagraph"/>
              <w:spacing w:line="205" w:lineRule="exact"/>
              <w:ind w:left="106" w:right="121"/>
              <w:jc w:val="center"/>
              <w:rPr>
                <w:sz w:val="20"/>
              </w:rPr>
            </w:pPr>
            <w:r>
              <w:rPr>
                <w:b/>
                <w:i/>
                <w:position w:val="1"/>
                <w:sz w:val="20"/>
              </w:rPr>
              <w:t>u</w:t>
            </w:r>
            <w:r>
              <w:rPr>
                <w:b/>
                <w:i/>
                <w:sz w:val="13"/>
              </w:rPr>
              <w:t>0.5 </w:t>
            </w:r>
            <w:r>
              <w:rPr>
                <w:position w:val="1"/>
                <w:sz w:val="20"/>
              </w:rPr>
              <w:t>(%)</w:t>
            </w:r>
          </w:p>
        </w:tc>
      </w:tr>
      <w:tr>
        <w:trPr>
          <w:trHeight w:val="345" w:hRule="exact"/>
        </w:trPr>
        <w:tc>
          <w:tcPr>
            <w:tcW w:w="1231" w:type="dxa"/>
            <w:tcBorders>
              <w:top w:val="single" w:sz="4" w:space="0" w:color="000000"/>
            </w:tcBorders>
          </w:tcPr>
          <w:p>
            <w:pPr>
              <w:pStyle w:val="TableParagraph"/>
              <w:spacing w:line="221" w:lineRule="exact"/>
              <w:ind w:left="110"/>
              <w:rPr>
                <w:sz w:val="20"/>
              </w:rPr>
            </w:pPr>
            <w:r>
              <w:rPr>
                <w:sz w:val="20"/>
              </w:rPr>
              <w:t>Hull</w:t>
            </w:r>
          </w:p>
        </w:tc>
        <w:tc>
          <w:tcPr>
            <w:tcW w:w="1351" w:type="dxa"/>
            <w:tcBorders>
              <w:top w:val="single" w:sz="4" w:space="0" w:color="000000"/>
            </w:tcBorders>
          </w:tcPr>
          <w:p>
            <w:pPr>
              <w:pStyle w:val="TableParagraph"/>
              <w:spacing w:line="221" w:lineRule="exact"/>
              <w:ind w:left="163" w:right="121"/>
              <w:jc w:val="center"/>
              <w:rPr>
                <w:sz w:val="13"/>
              </w:rPr>
            </w:pPr>
            <w:r>
              <w:rPr>
                <w:sz w:val="20"/>
              </w:rPr>
              <w:t>35.9 ± 2.60 </w:t>
            </w:r>
            <w:r>
              <w:rPr>
                <w:position w:val="7"/>
                <w:sz w:val="13"/>
              </w:rPr>
              <w:t>c</w:t>
            </w:r>
          </w:p>
        </w:tc>
        <w:tc>
          <w:tcPr>
            <w:tcW w:w="1293" w:type="dxa"/>
            <w:tcBorders>
              <w:top w:val="single" w:sz="4" w:space="0" w:color="000000"/>
            </w:tcBorders>
          </w:tcPr>
          <w:p>
            <w:pPr>
              <w:pStyle w:val="TableParagraph"/>
              <w:spacing w:line="221" w:lineRule="exact"/>
              <w:ind w:left="122" w:right="112"/>
              <w:jc w:val="center"/>
              <w:rPr>
                <w:sz w:val="13"/>
              </w:rPr>
            </w:pPr>
            <w:r>
              <w:rPr>
                <w:sz w:val="20"/>
              </w:rPr>
              <w:t>11.7 ± 2.35 </w:t>
            </w:r>
            <w:r>
              <w:rPr>
                <w:position w:val="7"/>
                <w:sz w:val="13"/>
              </w:rPr>
              <w:t>a</w:t>
            </w:r>
          </w:p>
        </w:tc>
        <w:tc>
          <w:tcPr>
            <w:tcW w:w="1211" w:type="dxa"/>
            <w:tcBorders>
              <w:top w:val="single" w:sz="4" w:space="0" w:color="000000"/>
            </w:tcBorders>
          </w:tcPr>
          <w:p>
            <w:pPr>
              <w:pStyle w:val="TableParagraph"/>
              <w:spacing w:line="221" w:lineRule="exact"/>
              <w:ind w:right="152"/>
              <w:jc w:val="right"/>
              <w:rPr>
                <w:sz w:val="13"/>
              </w:rPr>
            </w:pPr>
            <w:r>
              <w:rPr>
                <w:sz w:val="20"/>
              </w:rPr>
              <w:t>3.3 ± 0.93 </w:t>
            </w:r>
            <w:r>
              <w:rPr>
                <w:position w:val="7"/>
                <w:sz w:val="13"/>
              </w:rPr>
              <w:t>c</w:t>
            </w:r>
          </w:p>
        </w:tc>
        <w:tc>
          <w:tcPr>
            <w:tcW w:w="1213" w:type="dxa"/>
            <w:tcBorders>
              <w:top w:val="single" w:sz="4" w:space="0" w:color="000000"/>
            </w:tcBorders>
          </w:tcPr>
          <w:p>
            <w:pPr>
              <w:pStyle w:val="TableParagraph"/>
              <w:spacing w:line="221" w:lineRule="exact"/>
              <w:ind w:left="134" w:right="111"/>
              <w:jc w:val="center"/>
              <w:rPr>
                <w:sz w:val="13"/>
              </w:rPr>
            </w:pPr>
            <w:r>
              <w:rPr>
                <w:sz w:val="20"/>
              </w:rPr>
              <w:t>1.3 ± 0.39 </w:t>
            </w:r>
            <w:r>
              <w:rPr>
                <w:position w:val="7"/>
                <w:sz w:val="13"/>
              </w:rPr>
              <w:t>c</w:t>
            </w:r>
          </w:p>
        </w:tc>
        <w:tc>
          <w:tcPr>
            <w:tcW w:w="1276" w:type="dxa"/>
            <w:tcBorders>
              <w:top w:val="single" w:sz="4" w:space="0" w:color="000000"/>
            </w:tcBorders>
          </w:tcPr>
          <w:p>
            <w:pPr>
              <w:pStyle w:val="TableParagraph"/>
              <w:spacing w:line="221" w:lineRule="exact"/>
              <w:ind w:left="130"/>
              <w:rPr>
                <w:sz w:val="13"/>
              </w:rPr>
            </w:pPr>
            <w:r>
              <w:rPr>
                <w:sz w:val="20"/>
              </w:rPr>
              <w:t>13.0 ± 0.62 </w:t>
            </w:r>
            <w:r>
              <w:rPr>
                <w:position w:val="7"/>
                <w:sz w:val="13"/>
              </w:rPr>
              <w:t>a</w:t>
            </w:r>
          </w:p>
        </w:tc>
        <w:tc>
          <w:tcPr>
            <w:tcW w:w="1083" w:type="dxa"/>
            <w:tcBorders>
              <w:top w:val="single" w:sz="4" w:space="0" w:color="000000"/>
            </w:tcBorders>
          </w:tcPr>
          <w:p>
            <w:pPr>
              <w:pStyle w:val="TableParagraph"/>
              <w:spacing w:line="221" w:lineRule="exact"/>
              <w:ind w:left="106" w:right="126"/>
              <w:jc w:val="center"/>
              <w:rPr>
                <w:sz w:val="20"/>
              </w:rPr>
            </w:pPr>
            <w:r>
              <w:rPr>
                <w:sz w:val="20"/>
              </w:rPr>
              <w:t>8.5 ± 0.03</w:t>
            </w:r>
          </w:p>
        </w:tc>
      </w:tr>
      <w:tr>
        <w:trPr>
          <w:trHeight w:val="461" w:hRule="exact"/>
        </w:trPr>
        <w:tc>
          <w:tcPr>
            <w:tcW w:w="1231" w:type="dxa"/>
          </w:tcPr>
          <w:p>
            <w:pPr>
              <w:pStyle w:val="TableParagraph"/>
              <w:spacing w:before="112"/>
              <w:ind w:left="110"/>
              <w:rPr>
                <w:sz w:val="20"/>
              </w:rPr>
            </w:pPr>
            <w:r>
              <w:rPr>
                <w:sz w:val="20"/>
              </w:rPr>
              <w:t>Kernel</w:t>
            </w:r>
          </w:p>
        </w:tc>
        <w:tc>
          <w:tcPr>
            <w:tcW w:w="1351" w:type="dxa"/>
          </w:tcPr>
          <w:p>
            <w:pPr>
              <w:pStyle w:val="TableParagraph"/>
              <w:spacing w:before="107"/>
              <w:ind w:left="165" w:right="121"/>
              <w:jc w:val="center"/>
              <w:rPr>
                <w:sz w:val="13"/>
              </w:rPr>
            </w:pPr>
            <w:r>
              <w:rPr>
                <w:sz w:val="20"/>
              </w:rPr>
              <w:t>48.0 ± 4.37 </w:t>
            </w:r>
            <w:r>
              <w:rPr>
                <w:position w:val="7"/>
                <w:sz w:val="13"/>
              </w:rPr>
              <w:t>b</w:t>
            </w:r>
          </w:p>
        </w:tc>
        <w:tc>
          <w:tcPr>
            <w:tcW w:w="1293" w:type="dxa"/>
          </w:tcPr>
          <w:p>
            <w:pPr>
              <w:pStyle w:val="TableParagraph"/>
              <w:spacing w:before="107"/>
              <w:ind w:left="122" w:right="112"/>
              <w:jc w:val="center"/>
              <w:rPr>
                <w:sz w:val="13"/>
              </w:rPr>
            </w:pPr>
            <w:r>
              <w:rPr>
                <w:sz w:val="20"/>
              </w:rPr>
              <w:t>13.3 ± 1.72 </w:t>
            </w:r>
            <w:r>
              <w:rPr>
                <w:position w:val="7"/>
                <w:sz w:val="13"/>
              </w:rPr>
              <w:t>a</w:t>
            </w:r>
          </w:p>
        </w:tc>
        <w:tc>
          <w:tcPr>
            <w:tcW w:w="1211" w:type="dxa"/>
          </w:tcPr>
          <w:p>
            <w:pPr>
              <w:pStyle w:val="TableParagraph"/>
              <w:spacing w:before="107"/>
              <w:ind w:right="150"/>
              <w:jc w:val="right"/>
              <w:rPr>
                <w:sz w:val="13"/>
              </w:rPr>
            </w:pPr>
            <w:r>
              <w:rPr>
                <w:sz w:val="20"/>
              </w:rPr>
              <w:t>6.1 ± 0.26 </w:t>
            </w:r>
            <w:r>
              <w:rPr>
                <w:position w:val="7"/>
                <w:sz w:val="13"/>
              </w:rPr>
              <w:t>b</w:t>
            </w:r>
          </w:p>
        </w:tc>
        <w:tc>
          <w:tcPr>
            <w:tcW w:w="1213" w:type="dxa"/>
          </w:tcPr>
          <w:p>
            <w:pPr>
              <w:pStyle w:val="TableParagraph"/>
              <w:spacing w:before="107"/>
              <w:ind w:left="134" w:right="113"/>
              <w:jc w:val="center"/>
              <w:rPr>
                <w:sz w:val="13"/>
              </w:rPr>
            </w:pPr>
            <w:r>
              <w:rPr>
                <w:sz w:val="20"/>
              </w:rPr>
              <w:t>2.9 ± 0.33 </w:t>
            </w:r>
            <w:r>
              <w:rPr>
                <w:position w:val="7"/>
                <w:sz w:val="13"/>
              </w:rPr>
              <w:t>b</w:t>
            </w:r>
          </w:p>
        </w:tc>
        <w:tc>
          <w:tcPr>
            <w:tcW w:w="1276" w:type="dxa"/>
          </w:tcPr>
          <w:p>
            <w:pPr>
              <w:pStyle w:val="TableParagraph"/>
              <w:spacing w:before="107"/>
              <w:ind w:left="178"/>
              <w:rPr>
                <w:sz w:val="13"/>
              </w:rPr>
            </w:pPr>
            <w:r>
              <w:rPr>
                <w:sz w:val="20"/>
              </w:rPr>
              <w:t>8.7 ± 0.24 </w:t>
            </w:r>
            <w:r>
              <w:rPr>
                <w:position w:val="7"/>
                <w:sz w:val="13"/>
              </w:rPr>
              <w:t>b</w:t>
            </w:r>
          </w:p>
        </w:tc>
        <w:tc>
          <w:tcPr>
            <w:tcW w:w="1083" w:type="dxa"/>
          </w:tcPr>
          <w:p>
            <w:pPr>
              <w:pStyle w:val="TableParagraph"/>
              <w:spacing w:before="112"/>
              <w:ind w:left="106" w:right="126"/>
              <w:jc w:val="center"/>
              <w:rPr>
                <w:sz w:val="20"/>
              </w:rPr>
            </w:pPr>
            <w:r>
              <w:rPr>
                <w:sz w:val="20"/>
              </w:rPr>
              <w:t>7.3 ± 0.03</w:t>
            </w:r>
          </w:p>
        </w:tc>
      </w:tr>
      <w:tr>
        <w:trPr>
          <w:trHeight w:val="461" w:hRule="exact"/>
        </w:trPr>
        <w:tc>
          <w:tcPr>
            <w:tcW w:w="1231" w:type="dxa"/>
          </w:tcPr>
          <w:p>
            <w:pPr>
              <w:pStyle w:val="TableParagraph"/>
              <w:spacing w:before="112"/>
              <w:ind w:left="110"/>
              <w:rPr>
                <w:sz w:val="20"/>
              </w:rPr>
            </w:pPr>
            <w:r>
              <w:rPr>
                <w:sz w:val="20"/>
              </w:rPr>
              <w:t>Whole seed</w:t>
            </w:r>
          </w:p>
        </w:tc>
        <w:tc>
          <w:tcPr>
            <w:tcW w:w="1351" w:type="dxa"/>
          </w:tcPr>
          <w:p>
            <w:pPr>
              <w:pStyle w:val="TableParagraph"/>
              <w:spacing w:before="107"/>
              <w:ind w:left="165" w:right="121"/>
              <w:jc w:val="center"/>
              <w:rPr>
                <w:sz w:val="13"/>
              </w:rPr>
            </w:pPr>
            <w:r>
              <w:rPr>
                <w:sz w:val="20"/>
              </w:rPr>
              <w:t>46.4 ± 3.32 </w:t>
            </w:r>
            <w:r>
              <w:rPr>
                <w:position w:val="7"/>
                <w:sz w:val="13"/>
              </w:rPr>
              <w:t>b</w:t>
            </w:r>
          </w:p>
        </w:tc>
        <w:tc>
          <w:tcPr>
            <w:tcW w:w="1293" w:type="dxa"/>
          </w:tcPr>
          <w:p>
            <w:pPr>
              <w:pStyle w:val="TableParagraph"/>
              <w:spacing w:before="107"/>
              <w:ind w:left="122" w:right="112"/>
              <w:jc w:val="center"/>
              <w:rPr>
                <w:sz w:val="13"/>
              </w:rPr>
            </w:pPr>
            <w:r>
              <w:rPr>
                <w:sz w:val="20"/>
              </w:rPr>
              <w:t>11.7 ± 0.62 </w:t>
            </w:r>
            <w:r>
              <w:rPr>
                <w:position w:val="7"/>
                <w:sz w:val="13"/>
              </w:rPr>
              <w:t>a</w:t>
            </w:r>
          </w:p>
        </w:tc>
        <w:tc>
          <w:tcPr>
            <w:tcW w:w="1211" w:type="dxa"/>
          </w:tcPr>
          <w:p>
            <w:pPr>
              <w:pStyle w:val="TableParagraph"/>
              <w:spacing w:before="107"/>
              <w:ind w:right="152"/>
              <w:jc w:val="right"/>
              <w:rPr>
                <w:sz w:val="13"/>
              </w:rPr>
            </w:pPr>
            <w:r>
              <w:rPr>
                <w:sz w:val="20"/>
              </w:rPr>
              <w:t>7.7 ± 1.45 </w:t>
            </w:r>
            <w:r>
              <w:rPr>
                <w:position w:val="7"/>
                <w:sz w:val="13"/>
              </w:rPr>
              <w:t>a</w:t>
            </w:r>
          </w:p>
        </w:tc>
        <w:tc>
          <w:tcPr>
            <w:tcW w:w="1213" w:type="dxa"/>
          </w:tcPr>
          <w:p>
            <w:pPr>
              <w:pStyle w:val="TableParagraph"/>
              <w:spacing w:before="107"/>
              <w:ind w:left="134" w:right="113"/>
              <w:jc w:val="center"/>
              <w:rPr>
                <w:sz w:val="13"/>
              </w:rPr>
            </w:pPr>
            <w:r>
              <w:rPr>
                <w:sz w:val="20"/>
              </w:rPr>
              <w:t>3.5 ± 0.77 </w:t>
            </w:r>
            <w:r>
              <w:rPr>
                <w:position w:val="7"/>
                <w:sz w:val="13"/>
              </w:rPr>
              <w:t>b</w:t>
            </w:r>
          </w:p>
        </w:tc>
        <w:tc>
          <w:tcPr>
            <w:tcW w:w="1276" w:type="dxa"/>
          </w:tcPr>
          <w:p>
            <w:pPr>
              <w:pStyle w:val="TableParagraph"/>
              <w:spacing w:before="107"/>
              <w:ind w:left="178"/>
              <w:rPr>
                <w:sz w:val="13"/>
              </w:rPr>
            </w:pPr>
            <w:r>
              <w:rPr>
                <w:sz w:val="20"/>
              </w:rPr>
              <w:t>7.9 ± 0.83 </w:t>
            </w:r>
            <w:r>
              <w:rPr>
                <w:position w:val="7"/>
                <w:sz w:val="13"/>
              </w:rPr>
              <w:t>b</w:t>
            </w:r>
          </w:p>
        </w:tc>
        <w:tc>
          <w:tcPr>
            <w:tcW w:w="1083" w:type="dxa"/>
          </w:tcPr>
          <w:p>
            <w:pPr>
              <w:pStyle w:val="TableParagraph"/>
              <w:spacing w:before="112"/>
              <w:ind w:left="106" w:right="126"/>
              <w:jc w:val="center"/>
              <w:rPr>
                <w:sz w:val="20"/>
              </w:rPr>
            </w:pPr>
            <w:r>
              <w:rPr>
                <w:sz w:val="20"/>
              </w:rPr>
              <w:t>6.7 ± 0.13</w:t>
            </w:r>
          </w:p>
        </w:tc>
      </w:tr>
      <w:tr>
        <w:trPr>
          <w:trHeight w:val="461" w:hRule="exact"/>
        </w:trPr>
        <w:tc>
          <w:tcPr>
            <w:tcW w:w="1231" w:type="dxa"/>
          </w:tcPr>
          <w:p>
            <w:pPr>
              <w:pStyle w:val="TableParagraph"/>
              <w:spacing w:before="112"/>
              <w:ind w:left="110"/>
              <w:rPr>
                <w:sz w:val="20"/>
              </w:rPr>
            </w:pPr>
            <w:r>
              <w:rPr>
                <w:sz w:val="20"/>
              </w:rPr>
              <w:t>SMH</w:t>
            </w:r>
          </w:p>
        </w:tc>
        <w:tc>
          <w:tcPr>
            <w:tcW w:w="1351" w:type="dxa"/>
          </w:tcPr>
          <w:p>
            <w:pPr>
              <w:pStyle w:val="TableParagraph"/>
              <w:spacing w:before="107"/>
              <w:ind w:left="163" w:right="121"/>
              <w:jc w:val="center"/>
              <w:rPr>
                <w:sz w:val="13"/>
              </w:rPr>
            </w:pPr>
            <w:r>
              <w:rPr>
                <w:sz w:val="20"/>
              </w:rPr>
              <w:t>69.5 ± 1.59 </w:t>
            </w:r>
            <w:r>
              <w:rPr>
                <w:position w:val="7"/>
                <w:sz w:val="13"/>
              </w:rPr>
              <w:t>a</w:t>
            </w:r>
          </w:p>
        </w:tc>
        <w:tc>
          <w:tcPr>
            <w:tcW w:w="1293" w:type="dxa"/>
          </w:tcPr>
          <w:p>
            <w:pPr>
              <w:pStyle w:val="TableParagraph"/>
              <w:spacing w:before="107"/>
              <w:ind w:left="115" w:right="112"/>
              <w:jc w:val="center"/>
              <w:rPr>
                <w:sz w:val="13"/>
              </w:rPr>
            </w:pPr>
            <w:r>
              <w:rPr>
                <w:sz w:val="20"/>
              </w:rPr>
              <w:t>7.8 ± 0.81 </w:t>
            </w:r>
            <w:r>
              <w:rPr>
                <w:position w:val="7"/>
                <w:sz w:val="13"/>
              </w:rPr>
              <w:t>b</w:t>
            </w:r>
          </w:p>
        </w:tc>
        <w:tc>
          <w:tcPr>
            <w:tcW w:w="1211" w:type="dxa"/>
          </w:tcPr>
          <w:p>
            <w:pPr>
              <w:pStyle w:val="TableParagraph"/>
              <w:spacing w:before="107"/>
              <w:ind w:right="152"/>
              <w:jc w:val="right"/>
              <w:rPr>
                <w:sz w:val="13"/>
              </w:rPr>
            </w:pPr>
            <w:r>
              <w:rPr>
                <w:sz w:val="20"/>
              </w:rPr>
              <w:t>7.8 ± 0.75 </w:t>
            </w:r>
            <w:r>
              <w:rPr>
                <w:position w:val="7"/>
                <w:sz w:val="13"/>
              </w:rPr>
              <w:t>a</w:t>
            </w:r>
          </w:p>
        </w:tc>
        <w:tc>
          <w:tcPr>
            <w:tcW w:w="1213" w:type="dxa"/>
          </w:tcPr>
          <w:p>
            <w:pPr>
              <w:pStyle w:val="TableParagraph"/>
              <w:spacing w:before="107"/>
              <w:ind w:left="134" w:right="111"/>
              <w:jc w:val="center"/>
              <w:rPr>
                <w:sz w:val="13"/>
              </w:rPr>
            </w:pPr>
            <w:r>
              <w:rPr>
                <w:sz w:val="20"/>
              </w:rPr>
              <w:t>5.0 ± 0.34 </w:t>
            </w:r>
            <w:r>
              <w:rPr>
                <w:position w:val="7"/>
                <w:sz w:val="13"/>
              </w:rPr>
              <w:t>a</w:t>
            </w:r>
          </w:p>
        </w:tc>
        <w:tc>
          <w:tcPr>
            <w:tcW w:w="1276" w:type="dxa"/>
          </w:tcPr>
          <w:p>
            <w:pPr>
              <w:pStyle w:val="TableParagraph"/>
              <w:spacing w:before="107"/>
              <w:ind w:left="188"/>
              <w:rPr>
                <w:sz w:val="13"/>
              </w:rPr>
            </w:pPr>
            <w:r>
              <w:rPr>
                <w:sz w:val="20"/>
              </w:rPr>
              <w:t>8.9 ± 0.86 </w:t>
            </w:r>
            <w:r>
              <w:rPr>
                <w:position w:val="7"/>
                <w:sz w:val="13"/>
              </w:rPr>
              <w:t>b</w:t>
            </w:r>
          </w:p>
        </w:tc>
        <w:tc>
          <w:tcPr>
            <w:tcW w:w="1083" w:type="dxa"/>
          </w:tcPr>
          <w:p>
            <w:pPr>
              <w:pStyle w:val="TableParagraph"/>
              <w:spacing w:before="112"/>
              <w:ind w:left="106" w:right="126"/>
              <w:jc w:val="center"/>
              <w:rPr>
                <w:sz w:val="20"/>
              </w:rPr>
            </w:pPr>
            <w:r>
              <w:rPr>
                <w:sz w:val="20"/>
              </w:rPr>
              <w:t>8.4 ± 0.01</w:t>
            </w:r>
          </w:p>
        </w:tc>
      </w:tr>
      <w:tr>
        <w:trPr>
          <w:trHeight w:val="438" w:hRule="exact"/>
        </w:trPr>
        <w:tc>
          <w:tcPr>
            <w:tcW w:w="1231" w:type="dxa"/>
          </w:tcPr>
          <w:p>
            <w:pPr>
              <w:pStyle w:val="TableParagraph"/>
              <w:spacing w:before="112"/>
              <w:ind w:left="110"/>
              <w:rPr>
                <w:sz w:val="20"/>
              </w:rPr>
            </w:pPr>
            <w:r>
              <w:rPr>
                <w:sz w:val="20"/>
              </w:rPr>
              <w:t>SMP</w:t>
            </w:r>
          </w:p>
        </w:tc>
        <w:tc>
          <w:tcPr>
            <w:tcW w:w="1351" w:type="dxa"/>
          </w:tcPr>
          <w:p>
            <w:pPr>
              <w:pStyle w:val="TableParagraph"/>
              <w:spacing w:before="107"/>
              <w:ind w:left="163" w:right="121"/>
              <w:jc w:val="center"/>
              <w:rPr>
                <w:sz w:val="13"/>
              </w:rPr>
            </w:pPr>
            <w:r>
              <w:rPr>
                <w:sz w:val="20"/>
              </w:rPr>
              <w:t>70.1 ± 1.10 </w:t>
            </w:r>
            <w:r>
              <w:rPr>
                <w:position w:val="7"/>
                <w:sz w:val="13"/>
              </w:rPr>
              <w:t>a</w:t>
            </w:r>
          </w:p>
        </w:tc>
        <w:tc>
          <w:tcPr>
            <w:tcW w:w="1293" w:type="dxa"/>
          </w:tcPr>
          <w:p>
            <w:pPr>
              <w:pStyle w:val="TableParagraph"/>
              <w:spacing w:before="107"/>
              <w:ind w:left="115" w:right="112"/>
              <w:jc w:val="center"/>
              <w:rPr>
                <w:sz w:val="13"/>
              </w:rPr>
            </w:pPr>
            <w:r>
              <w:rPr>
                <w:sz w:val="20"/>
              </w:rPr>
              <w:t>8.0 ± 0.07 </w:t>
            </w:r>
            <w:r>
              <w:rPr>
                <w:position w:val="7"/>
                <w:sz w:val="13"/>
              </w:rPr>
              <w:t>b</w:t>
            </w:r>
          </w:p>
        </w:tc>
        <w:tc>
          <w:tcPr>
            <w:tcW w:w="1211" w:type="dxa"/>
          </w:tcPr>
          <w:p>
            <w:pPr>
              <w:pStyle w:val="TableParagraph"/>
              <w:spacing w:before="107"/>
              <w:ind w:right="152"/>
              <w:jc w:val="right"/>
              <w:rPr>
                <w:sz w:val="13"/>
              </w:rPr>
            </w:pPr>
            <w:r>
              <w:rPr>
                <w:sz w:val="20"/>
              </w:rPr>
              <w:t>8.0 ± 0.07 </w:t>
            </w:r>
            <w:r>
              <w:rPr>
                <w:position w:val="7"/>
                <w:sz w:val="13"/>
              </w:rPr>
              <w:t>a</w:t>
            </w:r>
          </w:p>
        </w:tc>
        <w:tc>
          <w:tcPr>
            <w:tcW w:w="1213" w:type="dxa"/>
          </w:tcPr>
          <w:p>
            <w:pPr>
              <w:pStyle w:val="TableParagraph"/>
              <w:spacing w:before="107"/>
              <w:ind w:left="134" w:right="111"/>
              <w:jc w:val="center"/>
              <w:rPr>
                <w:sz w:val="13"/>
              </w:rPr>
            </w:pPr>
            <w:r>
              <w:rPr>
                <w:sz w:val="20"/>
              </w:rPr>
              <w:t>5.2 ± 0.12 </w:t>
            </w:r>
            <w:r>
              <w:rPr>
                <w:position w:val="7"/>
                <w:sz w:val="13"/>
              </w:rPr>
              <w:t>a</w:t>
            </w:r>
          </w:p>
        </w:tc>
        <w:tc>
          <w:tcPr>
            <w:tcW w:w="1276" w:type="dxa"/>
          </w:tcPr>
          <w:p>
            <w:pPr>
              <w:pStyle w:val="TableParagraph"/>
              <w:spacing w:before="107"/>
              <w:ind w:left="188"/>
              <w:rPr>
                <w:sz w:val="13"/>
              </w:rPr>
            </w:pPr>
            <w:r>
              <w:rPr>
                <w:sz w:val="20"/>
              </w:rPr>
              <w:t>8.6 ± 0.08 </w:t>
            </w:r>
            <w:r>
              <w:rPr>
                <w:position w:val="7"/>
                <w:sz w:val="13"/>
              </w:rPr>
              <w:t>b</w:t>
            </w:r>
          </w:p>
        </w:tc>
        <w:tc>
          <w:tcPr>
            <w:tcW w:w="1083" w:type="dxa"/>
          </w:tcPr>
          <w:p>
            <w:pPr>
              <w:pStyle w:val="TableParagraph"/>
              <w:spacing w:before="112"/>
              <w:ind w:left="106" w:right="126"/>
              <w:jc w:val="center"/>
              <w:rPr>
                <w:sz w:val="20"/>
              </w:rPr>
            </w:pPr>
            <w:r>
              <w:rPr>
                <w:sz w:val="20"/>
              </w:rPr>
              <w:t>8.2 ± 0.00</w:t>
            </w:r>
          </w:p>
        </w:tc>
      </w:tr>
    </w:tbl>
    <w:p>
      <w:pPr>
        <w:pStyle w:val="BodyText"/>
        <w:spacing w:before="1"/>
        <w:rPr>
          <w:rFonts w:ascii="Times New Roman"/>
          <w:b/>
          <w:i/>
          <w:sz w:val="9"/>
        </w:rPr>
      </w:pPr>
      <w:r>
        <w:rPr/>
        <w:pict>
          <v:group style="position:absolute;margin-left:88.123001pt;margin-top:7.206111pt;width:435.1pt;height:1.45pt;mso-position-horizontal-relative:page;mso-position-vertical-relative:paragraph;z-index:3616;mso-wrap-distance-left:0;mso-wrap-distance-right:0" coordorigin="1762,144" coordsize="8702,29">
            <v:line style="position:absolute" from="1777,159" to="3030,159" stroked="true" strokeweight="1.44pt" strokecolor="#000000"/>
            <v:line style="position:absolute" from="3016,159" to="3045,159" stroked="true" strokeweight="1.44pt" strokecolor="#000000"/>
            <v:line style="position:absolute" from="3045,159" to="4403,159" stroked="true" strokeweight="1.44pt" strokecolor="#000000"/>
            <v:line style="position:absolute" from="4389,159" to="4418,159" stroked="true" strokeweight="1.44pt" strokecolor="#000000"/>
            <v:line style="position:absolute" from="4418,159" to="5638,159" stroked="true" strokeweight="1.44pt" strokecolor="#000000"/>
            <v:line style="position:absolute" from="5623,159" to="5652,159" stroked="true" strokeweight="1.44pt" strokecolor="#000000"/>
            <v:line style="position:absolute" from="5652,159" to="6876,159" stroked="true" strokeweight="1.44pt" strokecolor="#000000"/>
            <v:line style="position:absolute" from="6862,159" to="6891,159" stroked="true" strokeweight="1.44pt" strokecolor="#000000"/>
            <v:line style="position:absolute" from="6891,159" to="8110,159" stroked="true" strokeweight="1.44pt" strokecolor="#000000"/>
            <v:line style="position:absolute" from="8096,159" to="8125,159" stroked="true" strokeweight="1.44pt" strokecolor="#000000"/>
            <v:line style="position:absolute" from="8125,159" to="9349,159" stroked="true" strokeweight="1.44pt" strokecolor="#000000"/>
            <v:line style="position:absolute" from="9335,159" to="9364,159" stroked="true" strokeweight="1.44pt" strokecolor="#000000"/>
            <v:line style="position:absolute" from="9364,159" to="10449,159" stroked="true" strokeweight="1.44pt" strokecolor="#000000"/>
            <w10:wrap type="topAndBottom"/>
          </v:group>
        </w:pict>
      </w:r>
    </w:p>
    <w:p>
      <w:pPr>
        <w:spacing w:line="173" w:lineRule="exact" w:before="0"/>
        <w:ind w:left="259" w:right="0" w:firstLine="0"/>
        <w:jc w:val="both"/>
        <w:rPr>
          <w:rFonts w:ascii="Times New Roman"/>
          <w:sz w:val="18"/>
        </w:rPr>
      </w:pPr>
      <w:r>
        <w:rPr>
          <w:rFonts w:ascii="Times New Roman"/>
          <w:position w:val="1"/>
          <w:sz w:val="18"/>
        </w:rPr>
        <w:t>Note: </w:t>
      </w:r>
      <w:r>
        <w:rPr>
          <w:rFonts w:ascii="Times New Roman"/>
          <w:i/>
          <w:position w:val="8"/>
          <w:sz w:val="12"/>
        </w:rPr>
        <w:t>i  </w:t>
      </w:r>
      <w:r>
        <w:rPr>
          <w:rFonts w:ascii="Times New Roman"/>
          <w:position w:val="1"/>
          <w:sz w:val="18"/>
        </w:rPr>
        <w:t>SMH, safflower meal extracted with hexane; SMP, safflower meal extracted with petroleum ether; </w:t>
      </w:r>
      <w:r>
        <w:rPr>
          <w:rFonts w:ascii="Times New Roman"/>
          <w:i/>
          <w:position w:val="8"/>
          <w:sz w:val="12"/>
        </w:rPr>
        <w:t>ii </w:t>
      </w:r>
      <w:r>
        <w:rPr>
          <w:rFonts w:ascii="Times New Roman"/>
          <w:i/>
          <w:position w:val="1"/>
          <w:sz w:val="18"/>
        </w:rPr>
        <w:t>V</w:t>
      </w:r>
      <w:r>
        <w:rPr>
          <w:rFonts w:ascii="Times New Roman"/>
          <w:i/>
          <w:sz w:val="12"/>
        </w:rPr>
        <w:t>F </w:t>
      </w:r>
      <w:r>
        <w:rPr>
          <w:rFonts w:ascii="Times New Roman"/>
          <w:position w:val="1"/>
          <w:sz w:val="18"/>
        </w:rPr>
        <w:t>is the final</w:t>
      </w:r>
    </w:p>
    <w:p>
      <w:pPr>
        <w:pStyle w:val="BodyText"/>
        <w:spacing w:before="10"/>
        <w:rPr>
          <w:rFonts w:ascii="Times New Roman"/>
          <w:sz w:val="17"/>
        </w:rPr>
      </w:pPr>
    </w:p>
    <w:p>
      <w:pPr>
        <w:spacing w:line="477" w:lineRule="auto" w:before="0"/>
        <w:ind w:left="259" w:right="316" w:firstLine="0"/>
        <w:jc w:val="both"/>
        <w:rPr>
          <w:rFonts w:ascii="Times New Roman" w:hAnsi="Times New Roman"/>
          <w:sz w:val="18"/>
        </w:rPr>
      </w:pPr>
      <w:r>
        <w:rPr>
          <w:rFonts w:ascii="Times New Roman" w:hAnsi="Times New Roman"/>
          <w:position w:val="1"/>
          <w:sz w:val="18"/>
        </w:rPr>
        <w:t>asymptotic gas volume with dimension of ‘mL’, </w:t>
      </w:r>
      <w:r>
        <w:rPr>
          <w:rFonts w:ascii="Times New Roman" w:hAnsi="Times New Roman"/>
          <w:i/>
          <w:position w:val="1"/>
          <w:sz w:val="18"/>
        </w:rPr>
        <w:t>k </w:t>
      </w:r>
      <w:r>
        <w:rPr>
          <w:rFonts w:ascii="Times New Roman" w:hAnsi="Times New Roman"/>
          <w:position w:val="1"/>
          <w:sz w:val="18"/>
        </w:rPr>
        <w:t>is the fractional rate of gas production with dimension of ‘/h’; </w:t>
      </w:r>
      <w:r>
        <w:rPr>
          <w:rFonts w:ascii="Times New Roman" w:hAnsi="Times New Roman"/>
          <w:i/>
          <w:position w:val="1"/>
          <w:sz w:val="18"/>
        </w:rPr>
        <w:t>FRD</w:t>
      </w:r>
      <w:r>
        <w:rPr>
          <w:rFonts w:ascii="Times New Roman" w:hAnsi="Times New Roman"/>
          <w:i/>
          <w:sz w:val="12"/>
        </w:rPr>
        <w:t>0 </w:t>
      </w:r>
      <w:r>
        <w:rPr>
          <w:rFonts w:ascii="Times New Roman" w:hAnsi="Times New Roman"/>
          <w:position w:val="1"/>
          <w:sz w:val="18"/>
        </w:rPr>
        <w:t>is the initial fractional rate of degradation; </w:t>
      </w:r>
      <w:r>
        <w:rPr>
          <w:rFonts w:ascii="Times New Roman" w:hAnsi="Times New Roman"/>
          <w:i/>
          <w:position w:val="1"/>
          <w:sz w:val="18"/>
        </w:rPr>
        <w:t>RG</w:t>
      </w:r>
      <w:r>
        <w:rPr>
          <w:rFonts w:ascii="Times New Roman" w:hAnsi="Times New Roman"/>
          <w:i/>
          <w:sz w:val="12"/>
        </w:rPr>
        <w:t>t </w:t>
      </w:r>
      <w:r>
        <w:rPr>
          <w:rFonts w:ascii="Times New Roman" w:hAnsi="Times New Roman"/>
          <w:position w:val="1"/>
          <w:sz w:val="18"/>
        </w:rPr>
        <w:t>is the rate of gas production; </w:t>
      </w:r>
      <w:r>
        <w:rPr>
          <w:rFonts w:ascii="Times New Roman" w:hAnsi="Times New Roman"/>
          <w:i/>
          <w:position w:val="1"/>
          <w:sz w:val="18"/>
        </w:rPr>
        <w:t>t</w:t>
      </w:r>
      <w:r>
        <w:rPr>
          <w:rFonts w:ascii="Times New Roman" w:hAnsi="Times New Roman"/>
          <w:i/>
          <w:sz w:val="12"/>
        </w:rPr>
        <w:t>0.5 </w:t>
      </w:r>
      <w:r>
        <w:rPr>
          <w:rFonts w:ascii="Times New Roman" w:hAnsi="Times New Roman"/>
          <w:position w:val="1"/>
          <w:sz w:val="18"/>
        </w:rPr>
        <w:t>is the half time at which half of the final gas production; </w:t>
      </w:r>
      <w:r>
        <w:rPr>
          <w:rFonts w:ascii="Times New Roman" w:hAnsi="Times New Roman"/>
          <w:i/>
          <w:position w:val="1"/>
          <w:sz w:val="18"/>
        </w:rPr>
        <w:t>µ</w:t>
      </w:r>
      <w:r>
        <w:rPr>
          <w:rFonts w:ascii="Times New Roman" w:hAnsi="Times New Roman"/>
          <w:i/>
          <w:sz w:val="12"/>
        </w:rPr>
        <w:t>0.5  </w:t>
      </w:r>
      <w:r>
        <w:rPr>
          <w:rFonts w:ascii="Times New Roman" w:hAnsi="Times New Roman"/>
          <w:position w:val="1"/>
          <w:sz w:val="18"/>
        </w:rPr>
        <w:t>is fractional rate of gas production at half-life.</w:t>
      </w:r>
    </w:p>
    <w:p>
      <w:pPr>
        <w:pStyle w:val="BodyText"/>
        <w:rPr>
          <w:rFonts w:ascii="Times New Roman"/>
          <w:sz w:val="18"/>
        </w:rPr>
      </w:pPr>
    </w:p>
    <w:p>
      <w:pPr>
        <w:pStyle w:val="BodyText"/>
        <w:spacing w:before="8"/>
        <w:rPr>
          <w:rFonts w:ascii="Times New Roman"/>
          <w:sz w:val="26"/>
        </w:rPr>
      </w:pPr>
    </w:p>
    <w:p>
      <w:pPr>
        <w:spacing w:line="477" w:lineRule="auto" w:before="0"/>
        <w:ind w:left="3280" w:right="238" w:hanging="3002"/>
        <w:jc w:val="left"/>
        <w:rPr>
          <w:rFonts w:ascii="Times New Roman"/>
          <w:i/>
          <w:sz w:val="22"/>
        </w:rPr>
      </w:pPr>
      <w:r>
        <w:rPr/>
        <w:pict>
          <v:group style="position:absolute;margin-left:88.843002pt;margin-top:51.094536pt;width:434.35pt;height:1.45pt;mso-position-horizontal-relative:page;mso-position-vertical-relative:paragraph;z-index:-328600" coordorigin="1777,1022" coordsize="8687,29">
            <v:line style="position:absolute" from="1791,1036" to="2771,1036" stroked="true" strokeweight="1.44pt" strokecolor="#000000"/>
            <v:line style="position:absolute" from="2771,1036" to="2799,1036" stroked="true" strokeweight="1.44pt" strokecolor="#000000"/>
            <v:line style="position:absolute" from="2799,1036" to="7174,1036" stroked="true" strokeweight="1.44pt" strokecolor="#000000"/>
            <v:line style="position:absolute" from="7174,1036" to="7203,1036" stroked="true" strokeweight="1.44pt" strokecolor="#000000"/>
            <v:line style="position:absolute" from="7203,1036" to="8115,1036" stroked="true" strokeweight="1.44pt" strokecolor="#000000"/>
            <v:line style="position:absolute" from="8115,1036" to="8144,1036" stroked="true" strokeweight="1.44pt" strokecolor="#000000"/>
            <v:line style="position:absolute" from="8144,1036" to="9258,1036" stroked="true" strokeweight="1.44pt" strokecolor="#000000"/>
            <v:line style="position:absolute" from="9258,1036" to="9287,1036" stroked="true" strokeweight="1.44pt" strokecolor="#000000"/>
            <v:line style="position:absolute" from="9287,1036" to="10449,1036" stroked="true" strokeweight="1.44pt" strokecolor="#000000"/>
            <w10:wrap type="none"/>
          </v:group>
        </w:pict>
      </w:r>
      <w:r>
        <w:rPr>
          <w:rFonts w:ascii="Times New Roman"/>
          <w:b/>
          <w:sz w:val="22"/>
        </w:rPr>
        <w:t>Table 3</w:t>
      </w:r>
      <w:r>
        <w:rPr>
          <w:rFonts w:ascii="Times New Roman"/>
          <w:sz w:val="22"/>
        </w:rPr>
        <w:t>. Gas production at specified times, metabolizable energy and organic matter digestibility of safflower seed fractions </w:t>
      </w:r>
      <w:r>
        <w:rPr>
          <w:rFonts w:ascii="Times New Roman"/>
          <w:i/>
          <w:sz w:val="22"/>
        </w:rPr>
        <w:t>in vitro</w:t>
      </w:r>
    </w:p>
    <w:p>
      <w:pPr>
        <w:spacing w:after="0" w:line="477" w:lineRule="auto"/>
        <w:jc w:val="left"/>
        <w:rPr>
          <w:rFonts w:ascii="Times New Roman"/>
          <w:sz w:val="22"/>
        </w:rPr>
        <w:sectPr>
          <w:pgSz w:w="12240" w:h="15840"/>
          <w:pgMar w:header="684" w:footer="1172" w:top="1380" w:bottom="1380" w:left="1440" w:right="1460"/>
        </w:sectPr>
      </w:pPr>
    </w:p>
    <w:p>
      <w:pPr>
        <w:tabs>
          <w:tab w:pos="5921" w:val="left" w:leader="none"/>
        </w:tabs>
        <w:spacing w:line="238" w:lineRule="exact" w:before="43"/>
        <w:ind w:left="2180" w:right="0" w:firstLine="0"/>
        <w:jc w:val="left"/>
        <w:rPr>
          <w:rFonts w:ascii="Times New Roman"/>
          <w:b/>
          <w:sz w:val="20"/>
        </w:rPr>
      </w:pPr>
      <w:r>
        <w:rPr>
          <w:rFonts w:ascii="Times New Roman"/>
          <w:position w:val="1"/>
          <w:sz w:val="20"/>
        </w:rPr>
        <w:t>Gas production</w:t>
      </w:r>
      <w:r>
        <w:rPr>
          <w:rFonts w:ascii="Times New Roman"/>
          <w:spacing w:val="2"/>
          <w:position w:val="1"/>
          <w:sz w:val="20"/>
        </w:rPr>
        <w:t> </w:t>
      </w:r>
      <w:r>
        <w:rPr>
          <w:rFonts w:ascii="Times New Roman"/>
          <w:b/>
          <w:position w:val="1"/>
          <w:sz w:val="20"/>
        </w:rPr>
        <w:t>(mL/g</w:t>
      </w:r>
      <w:r>
        <w:rPr>
          <w:rFonts w:ascii="Times New Roman"/>
          <w:b/>
          <w:spacing w:val="-5"/>
          <w:position w:val="1"/>
          <w:sz w:val="20"/>
        </w:rPr>
        <w:t> </w:t>
      </w:r>
      <w:r>
        <w:rPr>
          <w:rFonts w:ascii="Times New Roman"/>
          <w:b/>
          <w:position w:val="1"/>
          <w:sz w:val="20"/>
        </w:rPr>
        <w:t>substrate)</w:t>
        <w:tab/>
      </w:r>
      <w:r>
        <w:rPr>
          <w:rFonts w:ascii="Times New Roman"/>
          <w:sz w:val="20"/>
        </w:rPr>
        <w:t>pH</w:t>
      </w:r>
      <w:r>
        <w:rPr>
          <w:rFonts w:ascii="Times New Roman"/>
          <w:spacing w:val="1"/>
          <w:sz w:val="20"/>
        </w:rPr>
        <w:t> </w:t>
      </w:r>
      <w:r>
        <w:rPr>
          <w:rFonts w:ascii="Times New Roman"/>
          <w:b/>
          <w:sz w:val="20"/>
        </w:rPr>
        <w:t>(48</w:t>
      </w:r>
    </w:p>
    <w:p>
      <w:pPr>
        <w:tabs>
          <w:tab w:pos="1330" w:val="left" w:leader="none"/>
          <w:tab w:pos="5761" w:val="left" w:leader="none"/>
        </w:tabs>
        <w:spacing w:line="233" w:lineRule="exact" w:before="0"/>
        <w:ind w:left="576" w:right="0" w:firstLine="0"/>
        <w:jc w:val="left"/>
        <w:rPr>
          <w:rFonts w:ascii="Times New Roman"/>
          <w:i/>
          <w:sz w:val="13"/>
        </w:rPr>
      </w:pPr>
      <w:r>
        <w:rPr>
          <w:rFonts w:ascii="Times New Roman"/>
          <w:sz w:val="20"/>
        </w:rPr>
        <w:t>Items</w:t>
      </w:r>
      <w:r>
        <w:rPr>
          <w:rFonts w:ascii="Times New Roman"/>
          <w:spacing w:val="-2"/>
          <w:sz w:val="20"/>
        </w:rPr>
        <w:t> </w:t>
      </w:r>
      <w:r>
        <w:rPr>
          <w:rFonts w:ascii="Times New Roman"/>
          <w:i/>
          <w:position w:val="7"/>
          <w:sz w:val="13"/>
        </w:rPr>
        <w:t>i</w:t>
        <w:tab/>
      </w:r>
      <w:r>
        <w:rPr>
          <w:rFonts w:ascii="Times New Roman"/>
          <w:i/>
          <w:w w:val="99"/>
          <w:position w:val="7"/>
          <w:sz w:val="13"/>
          <w:u w:val="dotted"/>
        </w:rPr>
        <w:t> </w:t>
      </w:r>
      <w:r>
        <w:rPr>
          <w:rFonts w:ascii="Times New Roman"/>
          <w:i/>
          <w:position w:val="7"/>
          <w:sz w:val="13"/>
          <w:u w:val="dotted"/>
        </w:rPr>
        <w:tab/>
      </w:r>
    </w:p>
    <w:p>
      <w:pPr>
        <w:spacing w:before="46"/>
        <w:ind w:left="511" w:right="-14" w:firstLine="0"/>
        <w:jc w:val="left"/>
        <w:rPr>
          <w:rFonts w:ascii="Times New Roman"/>
          <w:b/>
          <w:i/>
          <w:sz w:val="13"/>
        </w:rPr>
      </w:pPr>
      <w:r>
        <w:rPr/>
        <w:br w:type="column"/>
      </w:r>
      <w:r>
        <w:rPr>
          <w:rFonts w:ascii="Times New Roman"/>
          <w:position w:val="-6"/>
          <w:sz w:val="20"/>
        </w:rPr>
        <w:t>ME </w:t>
      </w:r>
      <w:r>
        <w:rPr>
          <w:rFonts w:ascii="Times New Roman"/>
          <w:b/>
          <w:i/>
          <w:sz w:val="13"/>
        </w:rPr>
        <w:t>ii</w:t>
      </w:r>
    </w:p>
    <w:p>
      <w:pPr>
        <w:spacing w:before="53"/>
        <w:ind w:left="577" w:right="0" w:firstLine="0"/>
        <w:jc w:val="left"/>
        <w:rPr>
          <w:rFonts w:ascii="Times New Roman"/>
          <w:sz w:val="20"/>
        </w:rPr>
      </w:pPr>
      <w:r>
        <w:rPr/>
        <w:br w:type="column"/>
      </w:r>
      <w:r>
        <w:rPr>
          <w:rFonts w:ascii="Times New Roman"/>
          <w:sz w:val="20"/>
        </w:rPr>
        <w:t>OMD</w:t>
      </w:r>
    </w:p>
    <w:p>
      <w:pPr>
        <w:spacing w:after="0"/>
        <w:jc w:val="left"/>
        <w:rPr>
          <w:rFonts w:ascii="Times New Roman"/>
          <w:sz w:val="20"/>
        </w:rPr>
        <w:sectPr>
          <w:type w:val="continuous"/>
          <w:pgSz w:w="12240" w:h="15840"/>
          <w:pgMar w:top="3080" w:bottom="2780" w:left="1440" w:right="1460"/>
          <w:cols w:num="3" w:equalWidth="0">
            <w:col w:w="6484" w:space="40"/>
            <w:col w:w="940" w:space="143"/>
            <w:col w:w="1733"/>
          </w:cols>
        </w:sectPr>
      </w:pPr>
    </w:p>
    <w:p>
      <w:pPr>
        <w:tabs>
          <w:tab w:pos="2473" w:val="left" w:leader="none"/>
          <w:tab w:pos="3347" w:val="left" w:leader="none"/>
          <w:tab w:pos="4221" w:val="left" w:leader="none"/>
          <w:tab w:pos="5105" w:val="left" w:leader="none"/>
        </w:tabs>
        <w:spacing w:before="10"/>
        <w:ind w:left="1647" w:right="0" w:firstLine="0"/>
        <w:jc w:val="left"/>
        <w:rPr>
          <w:rFonts w:ascii="Times New Roman"/>
          <w:sz w:val="20"/>
        </w:rPr>
      </w:pPr>
      <w:r>
        <w:rPr>
          <w:rFonts w:ascii="Times New Roman"/>
          <w:sz w:val="20"/>
        </w:rPr>
        <w:t>6</w:t>
      </w:r>
      <w:r>
        <w:rPr>
          <w:rFonts w:ascii="Times New Roman"/>
          <w:spacing w:val="-2"/>
          <w:sz w:val="20"/>
        </w:rPr>
        <w:t> </w:t>
      </w:r>
      <w:r>
        <w:rPr>
          <w:rFonts w:ascii="Times New Roman"/>
          <w:sz w:val="20"/>
        </w:rPr>
        <w:t>h</w:t>
        <w:tab/>
        <w:t>12</w:t>
      </w:r>
      <w:r>
        <w:rPr>
          <w:rFonts w:ascii="Times New Roman"/>
          <w:spacing w:val="-2"/>
          <w:sz w:val="20"/>
        </w:rPr>
        <w:t> </w:t>
      </w:r>
      <w:r>
        <w:rPr>
          <w:rFonts w:ascii="Times New Roman"/>
          <w:sz w:val="20"/>
        </w:rPr>
        <w:t>h</w:t>
        <w:tab/>
        <w:t>24</w:t>
      </w:r>
      <w:r>
        <w:rPr>
          <w:rFonts w:ascii="Times New Roman"/>
          <w:spacing w:val="-2"/>
          <w:sz w:val="20"/>
        </w:rPr>
        <w:t> </w:t>
      </w:r>
      <w:r>
        <w:rPr>
          <w:rFonts w:ascii="Times New Roman"/>
          <w:sz w:val="20"/>
        </w:rPr>
        <w:t>h</w:t>
        <w:tab/>
        <w:t>36</w:t>
      </w:r>
      <w:r>
        <w:rPr>
          <w:rFonts w:ascii="Times New Roman"/>
          <w:spacing w:val="-2"/>
          <w:sz w:val="20"/>
        </w:rPr>
        <w:t> </w:t>
      </w:r>
      <w:r>
        <w:rPr>
          <w:rFonts w:ascii="Times New Roman"/>
          <w:sz w:val="20"/>
        </w:rPr>
        <w:t>h</w:t>
        <w:tab/>
        <w:t>48 h</w:t>
      </w:r>
    </w:p>
    <w:p>
      <w:pPr>
        <w:tabs>
          <w:tab w:pos="1410" w:val="left" w:leader="none"/>
        </w:tabs>
        <w:spacing w:before="5"/>
        <w:ind w:left="617" w:right="0" w:firstLine="0"/>
        <w:jc w:val="left"/>
        <w:rPr>
          <w:rFonts w:ascii="Times New Roman"/>
          <w:b/>
          <w:sz w:val="20"/>
        </w:rPr>
      </w:pPr>
      <w:r>
        <w:rPr/>
        <w:br w:type="column"/>
      </w:r>
      <w:r>
        <w:rPr>
          <w:rFonts w:ascii="Times New Roman"/>
          <w:b/>
          <w:sz w:val="20"/>
        </w:rPr>
        <w:t>h)</w:t>
        <w:tab/>
      </w:r>
      <w:r>
        <w:rPr>
          <w:rFonts w:ascii="Times New Roman"/>
          <w:b/>
          <w:spacing w:val="-1"/>
          <w:sz w:val="20"/>
        </w:rPr>
        <w:t>(MJ/kg)</w:t>
      </w:r>
    </w:p>
    <w:p>
      <w:pPr>
        <w:spacing w:before="5"/>
        <w:ind w:left="527" w:right="0" w:firstLine="0"/>
        <w:jc w:val="left"/>
        <w:rPr>
          <w:rFonts w:ascii="Times New Roman"/>
          <w:b/>
          <w:sz w:val="20"/>
        </w:rPr>
      </w:pPr>
      <w:r>
        <w:rPr/>
        <w:br w:type="column"/>
      </w:r>
      <w:r>
        <w:rPr>
          <w:rFonts w:ascii="Times New Roman"/>
          <w:b/>
          <w:sz w:val="20"/>
        </w:rPr>
        <w:t>(g/kg)</w:t>
      </w:r>
    </w:p>
    <w:p>
      <w:pPr>
        <w:spacing w:after="0"/>
        <w:jc w:val="left"/>
        <w:rPr>
          <w:rFonts w:ascii="Times New Roman"/>
          <w:sz w:val="20"/>
        </w:rPr>
        <w:sectPr>
          <w:type w:val="continuous"/>
          <w:pgSz w:w="12240" w:h="15840"/>
          <w:pgMar w:top="3080" w:bottom="2780" w:left="1440" w:right="1460"/>
          <w:cols w:num="3" w:equalWidth="0">
            <w:col w:w="5456" w:space="40"/>
            <w:col w:w="2101" w:space="40"/>
            <w:col w:w="1703"/>
          </w:cols>
        </w:sectPr>
      </w:pPr>
    </w:p>
    <w:p>
      <w:pPr>
        <w:pStyle w:val="BodyText"/>
        <w:spacing w:before="9"/>
        <w:rPr>
          <w:rFonts w:ascii="Times New Roman"/>
          <w:b/>
          <w:sz w:val="20"/>
        </w:rPr>
      </w:pPr>
    </w:p>
    <w:p>
      <w:pPr>
        <w:pStyle w:val="BodyText"/>
        <w:spacing w:line="20" w:lineRule="exact"/>
        <w:ind w:left="346"/>
        <w:rPr>
          <w:rFonts w:ascii="Times New Roman"/>
          <w:sz w:val="2"/>
        </w:rPr>
      </w:pPr>
      <w:r>
        <w:rPr>
          <w:rFonts w:ascii="Times New Roman"/>
          <w:sz w:val="2"/>
        </w:rPr>
        <w:pict>
          <v:group style="width:433.4pt;height:.5pt;mso-position-horizontal-relative:char;mso-position-vertical-relative:line" coordorigin="0,0" coordsize="8668,10">
            <v:line style="position:absolute" from="5,5" to="984,5" stroked="true" strokeweight=".47998pt" strokecolor="#000000"/>
            <v:line style="position:absolute" from="984,5" to="994,5" stroked="true" strokeweight=".47998pt" strokecolor="#000000"/>
            <v:line style="position:absolute" from="994,5" to="1863,5" stroked="true" strokeweight=".47998pt" strokecolor="#000000"/>
            <v:line style="position:absolute" from="1863,5" to="1873,5" stroked="true" strokeweight=".47998pt" strokecolor="#000000"/>
            <v:line style="position:absolute" from="1873,5" to="2737,5" stroked="true" strokeweight=".47998pt" strokecolor="#000000"/>
            <v:line style="position:absolute" from="2737,5" to="2747,5" stroked="true" strokeweight=".47998pt" strokecolor="#000000"/>
            <v:line style="position:absolute" from="2747,5" to="3611,5" stroked="true" strokeweight=".47998pt" strokecolor="#000000"/>
            <v:line style="position:absolute" from="3611,5" to="3621,5" stroked="true" strokeweight=".47998pt" strokecolor="#000000"/>
            <v:line style="position:absolute" from="3621,5" to="4485,5" stroked="true" strokeweight=".47998pt" strokecolor="#000000"/>
            <v:line style="position:absolute" from="4485,5" to="4494,5" stroked="true" strokeweight=".47998pt" strokecolor="#000000"/>
            <v:line style="position:absolute" from="4494,5" to="5388,5" stroked="true" strokeweight=".47998pt" strokecolor="#000000"/>
            <v:line style="position:absolute" from="5388,5" to="5397,5" stroked="true" strokeweight=".47998pt" strokecolor="#000000"/>
            <v:line style="position:absolute" from="5397,5" to="6329,5" stroked="true" strokeweight=".47998pt" strokecolor="#000000"/>
            <v:line style="position:absolute" from="6329,5" to="6339,5" stroked="true" strokeweight=".47998pt" strokecolor="#000000"/>
            <v:line style="position:absolute" from="6339,5" to="7472,5" stroked="true" strokeweight=".47998pt" strokecolor="#000000"/>
            <v:line style="position:absolute" from="7472,5" to="7481,5" stroked="true" strokeweight=".47998pt" strokecolor="#000000"/>
            <v:line style="position:absolute" from="7481,5" to="8663,5" stroked="true" strokeweight=".47998pt" strokecolor="#000000"/>
          </v:group>
        </w:pict>
      </w:r>
      <w:r>
        <w:rPr>
          <w:rFonts w:ascii="Times New Roman"/>
          <w:sz w:val="2"/>
        </w:rPr>
      </w:r>
    </w:p>
    <w:p>
      <w:pPr>
        <w:spacing w:after="0" w:line="20" w:lineRule="exact"/>
        <w:rPr>
          <w:rFonts w:ascii="Times New Roman"/>
          <w:sz w:val="2"/>
        </w:rPr>
        <w:sectPr>
          <w:type w:val="continuous"/>
          <w:pgSz w:w="12240" w:h="15840"/>
          <w:pgMar w:top="3080" w:bottom="2780" w:left="1440" w:right="1460"/>
        </w:sectPr>
      </w:pPr>
    </w:p>
    <w:p>
      <w:pPr>
        <w:pStyle w:val="BodyText"/>
        <w:spacing w:before="4"/>
        <w:rPr>
          <w:rFonts w:ascii="Times New Roman"/>
          <w:b/>
          <w:sz w:val="18"/>
        </w:rPr>
      </w:pPr>
    </w:p>
    <w:p>
      <w:pPr>
        <w:spacing w:before="0"/>
        <w:ind w:left="461" w:right="-13" w:firstLine="0"/>
        <w:jc w:val="left"/>
        <w:rPr>
          <w:rFonts w:ascii="Times New Roman"/>
          <w:sz w:val="20"/>
        </w:rPr>
      </w:pPr>
      <w:r>
        <w:rPr>
          <w:rFonts w:ascii="Times New Roman"/>
          <w:spacing w:val="-2"/>
          <w:sz w:val="20"/>
        </w:rPr>
        <w:t>Hull</w:t>
      </w:r>
    </w:p>
    <w:p>
      <w:pPr>
        <w:spacing w:line="211" w:lineRule="exact" w:before="0"/>
        <w:ind w:left="461" w:right="-15" w:firstLine="0"/>
        <w:jc w:val="left"/>
        <w:rPr>
          <w:rFonts w:ascii="Times New Roman" w:hAnsi="Times New Roman"/>
          <w:sz w:val="20"/>
        </w:rPr>
      </w:pPr>
      <w:r>
        <w:rPr/>
        <w:br w:type="column"/>
      </w:r>
      <w:r>
        <w:rPr>
          <w:rFonts w:ascii="Times New Roman" w:hAnsi="Times New Roman"/>
          <w:sz w:val="20"/>
        </w:rPr>
        <w:t>8.2 ±</w:t>
      </w:r>
    </w:p>
    <w:p>
      <w:pPr>
        <w:pStyle w:val="BodyText"/>
        <w:rPr>
          <w:rFonts w:ascii="Times New Roman"/>
          <w:sz w:val="20"/>
        </w:rPr>
      </w:pPr>
    </w:p>
    <w:p>
      <w:pPr>
        <w:spacing w:before="1"/>
        <w:ind w:left="461" w:right="-15" w:firstLine="0"/>
        <w:jc w:val="left"/>
        <w:rPr>
          <w:rFonts w:ascii="Times New Roman"/>
          <w:sz w:val="20"/>
        </w:rPr>
      </w:pPr>
      <w:r>
        <w:rPr>
          <w:rFonts w:ascii="Times New Roman"/>
          <w:sz w:val="20"/>
        </w:rPr>
        <w:t>1.82</w:t>
      </w:r>
    </w:p>
    <w:p>
      <w:pPr>
        <w:spacing w:line="211" w:lineRule="exact" w:before="0"/>
        <w:ind w:left="425" w:right="-15" w:firstLine="0"/>
        <w:jc w:val="left"/>
        <w:rPr>
          <w:rFonts w:ascii="Times New Roman" w:hAnsi="Times New Roman"/>
          <w:sz w:val="20"/>
        </w:rPr>
      </w:pPr>
      <w:r>
        <w:rPr/>
        <w:br w:type="column"/>
      </w:r>
      <w:r>
        <w:rPr>
          <w:rFonts w:ascii="Times New Roman" w:hAnsi="Times New Roman"/>
          <w:sz w:val="20"/>
        </w:rPr>
        <w:t>15.5 ±</w:t>
      </w:r>
    </w:p>
    <w:p>
      <w:pPr>
        <w:pStyle w:val="BodyText"/>
        <w:rPr>
          <w:rFonts w:ascii="Times New Roman"/>
          <w:sz w:val="20"/>
        </w:rPr>
      </w:pPr>
    </w:p>
    <w:p>
      <w:pPr>
        <w:spacing w:before="1"/>
        <w:ind w:left="425" w:right="-14" w:firstLine="0"/>
        <w:jc w:val="left"/>
        <w:rPr>
          <w:rFonts w:ascii="Times New Roman"/>
          <w:sz w:val="20"/>
        </w:rPr>
      </w:pPr>
      <w:r>
        <w:rPr>
          <w:rFonts w:ascii="Times New Roman"/>
          <w:sz w:val="20"/>
        </w:rPr>
        <w:t>2.05</w:t>
      </w:r>
    </w:p>
    <w:p>
      <w:pPr>
        <w:spacing w:line="211" w:lineRule="exact" w:before="0"/>
        <w:ind w:left="319" w:right="-15" w:firstLine="0"/>
        <w:jc w:val="left"/>
        <w:rPr>
          <w:rFonts w:ascii="Times New Roman" w:hAnsi="Times New Roman"/>
          <w:sz w:val="20"/>
        </w:rPr>
      </w:pPr>
      <w:r>
        <w:rPr/>
        <w:br w:type="column"/>
      </w:r>
      <w:r>
        <w:rPr>
          <w:rFonts w:ascii="Times New Roman" w:hAnsi="Times New Roman"/>
          <w:sz w:val="20"/>
        </w:rPr>
        <w:t>29.9 ±</w:t>
      </w:r>
    </w:p>
    <w:p>
      <w:pPr>
        <w:pStyle w:val="BodyText"/>
        <w:rPr>
          <w:rFonts w:ascii="Times New Roman"/>
          <w:sz w:val="20"/>
        </w:rPr>
      </w:pPr>
    </w:p>
    <w:p>
      <w:pPr>
        <w:spacing w:before="1"/>
        <w:ind w:left="319" w:right="-15" w:firstLine="0"/>
        <w:jc w:val="left"/>
        <w:rPr>
          <w:rFonts w:ascii="Times New Roman"/>
          <w:sz w:val="20"/>
        </w:rPr>
      </w:pPr>
      <w:r>
        <w:rPr>
          <w:rFonts w:ascii="Times New Roman"/>
          <w:sz w:val="20"/>
        </w:rPr>
        <w:t>1.67</w:t>
      </w:r>
    </w:p>
    <w:p>
      <w:pPr>
        <w:spacing w:line="211" w:lineRule="exact" w:before="0"/>
        <w:ind w:left="320" w:right="-16" w:firstLine="0"/>
        <w:jc w:val="left"/>
        <w:rPr>
          <w:rFonts w:ascii="Times New Roman" w:hAnsi="Times New Roman"/>
          <w:sz w:val="20"/>
        </w:rPr>
      </w:pPr>
      <w:r>
        <w:rPr/>
        <w:br w:type="column"/>
      </w:r>
      <w:r>
        <w:rPr>
          <w:rFonts w:ascii="Times New Roman" w:hAnsi="Times New Roman"/>
          <w:sz w:val="20"/>
        </w:rPr>
        <w:t>33.0 ±</w:t>
      </w:r>
    </w:p>
    <w:p>
      <w:pPr>
        <w:pStyle w:val="BodyText"/>
        <w:rPr>
          <w:rFonts w:ascii="Times New Roman"/>
          <w:sz w:val="20"/>
        </w:rPr>
      </w:pPr>
    </w:p>
    <w:p>
      <w:pPr>
        <w:spacing w:before="1"/>
        <w:ind w:left="320" w:right="-15" w:firstLine="0"/>
        <w:jc w:val="left"/>
        <w:rPr>
          <w:rFonts w:ascii="Times New Roman"/>
          <w:sz w:val="20"/>
        </w:rPr>
      </w:pPr>
      <w:r>
        <w:rPr>
          <w:rFonts w:ascii="Times New Roman"/>
          <w:sz w:val="20"/>
        </w:rPr>
        <w:t>1.59</w:t>
      </w:r>
    </w:p>
    <w:p>
      <w:pPr>
        <w:spacing w:line="211" w:lineRule="exact" w:before="0"/>
        <w:ind w:left="319" w:right="-15" w:firstLine="0"/>
        <w:jc w:val="left"/>
        <w:rPr>
          <w:rFonts w:ascii="Times New Roman" w:hAnsi="Times New Roman"/>
          <w:sz w:val="20"/>
        </w:rPr>
      </w:pPr>
      <w:r>
        <w:rPr/>
        <w:br w:type="column"/>
      </w:r>
      <w:r>
        <w:rPr>
          <w:rFonts w:ascii="Times New Roman" w:hAnsi="Times New Roman"/>
          <w:sz w:val="20"/>
        </w:rPr>
        <w:t>36.4 ±</w:t>
      </w:r>
    </w:p>
    <w:p>
      <w:pPr>
        <w:pStyle w:val="BodyText"/>
        <w:rPr>
          <w:rFonts w:ascii="Times New Roman"/>
          <w:sz w:val="20"/>
        </w:rPr>
      </w:pPr>
    </w:p>
    <w:p>
      <w:pPr>
        <w:spacing w:before="1"/>
        <w:ind w:left="319" w:right="-15" w:firstLine="0"/>
        <w:jc w:val="left"/>
        <w:rPr>
          <w:rFonts w:ascii="Times New Roman"/>
          <w:sz w:val="20"/>
        </w:rPr>
      </w:pPr>
      <w:r>
        <w:rPr>
          <w:rFonts w:ascii="Times New Roman"/>
          <w:sz w:val="20"/>
        </w:rPr>
        <w:t>1.93</w:t>
      </w:r>
    </w:p>
    <w:p>
      <w:pPr>
        <w:spacing w:line="211" w:lineRule="exact" w:before="0"/>
        <w:ind w:left="343" w:right="-14" w:firstLine="0"/>
        <w:jc w:val="left"/>
        <w:rPr>
          <w:rFonts w:ascii="Times New Roman" w:hAnsi="Times New Roman"/>
          <w:sz w:val="20"/>
        </w:rPr>
      </w:pPr>
      <w:r>
        <w:rPr/>
        <w:br w:type="column"/>
      </w:r>
      <w:r>
        <w:rPr>
          <w:rFonts w:ascii="Times New Roman" w:hAnsi="Times New Roman"/>
          <w:sz w:val="20"/>
        </w:rPr>
        <w:t>6.74 ±</w:t>
      </w:r>
    </w:p>
    <w:p>
      <w:pPr>
        <w:pStyle w:val="BodyText"/>
        <w:rPr>
          <w:rFonts w:ascii="Times New Roman"/>
          <w:sz w:val="20"/>
        </w:rPr>
      </w:pPr>
    </w:p>
    <w:p>
      <w:pPr>
        <w:spacing w:before="1"/>
        <w:ind w:left="343" w:right="-14" w:firstLine="0"/>
        <w:jc w:val="left"/>
        <w:rPr>
          <w:rFonts w:ascii="Times New Roman"/>
          <w:sz w:val="20"/>
        </w:rPr>
      </w:pPr>
      <w:r>
        <w:rPr>
          <w:rFonts w:ascii="Times New Roman"/>
          <w:sz w:val="20"/>
        </w:rPr>
        <w:t>0.02</w:t>
      </w:r>
    </w:p>
    <w:p>
      <w:pPr>
        <w:pStyle w:val="BodyText"/>
        <w:spacing w:before="10"/>
        <w:rPr>
          <w:rFonts w:ascii="Times New Roman"/>
          <w:sz w:val="17"/>
        </w:rPr>
      </w:pPr>
      <w:r>
        <w:rPr/>
        <w:br w:type="column"/>
      </w:r>
      <w:r>
        <w:rPr>
          <w:rFonts w:ascii="Times New Roman"/>
          <w:sz w:val="17"/>
        </w:rPr>
      </w:r>
    </w:p>
    <w:p>
      <w:pPr>
        <w:spacing w:before="1"/>
        <w:ind w:left="391" w:right="-15" w:firstLine="0"/>
        <w:jc w:val="left"/>
        <w:rPr>
          <w:rFonts w:ascii="Times New Roman" w:hAnsi="Times New Roman"/>
          <w:sz w:val="13"/>
        </w:rPr>
      </w:pPr>
      <w:r>
        <w:rPr>
          <w:rFonts w:ascii="Times New Roman" w:hAnsi="Times New Roman"/>
          <w:sz w:val="20"/>
        </w:rPr>
        <w:t>3.2 ± 0.05 </w:t>
      </w:r>
      <w:r>
        <w:rPr>
          <w:rFonts w:ascii="Times New Roman" w:hAnsi="Times New Roman"/>
          <w:position w:val="7"/>
          <w:sz w:val="13"/>
        </w:rPr>
        <w:t>d</w:t>
      </w:r>
    </w:p>
    <w:p>
      <w:pPr>
        <w:spacing w:line="211" w:lineRule="exact" w:before="0"/>
        <w:ind w:left="173" w:right="0" w:firstLine="0"/>
        <w:jc w:val="left"/>
        <w:rPr>
          <w:rFonts w:ascii="Times New Roman" w:hAnsi="Times New Roman"/>
          <w:sz w:val="20"/>
        </w:rPr>
      </w:pPr>
      <w:r>
        <w:rPr/>
        <w:br w:type="column"/>
      </w:r>
      <w:r>
        <w:rPr>
          <w:rFonts w:ascii="Times New Roman" w:hAnsi="Times New Roman"/>
          <w:sz w:val="20"/>
        </w:rPr>
        <w:t>218.2 ± 3.9</w:t>
      </w:r>
    </w:p>
    <w:p>
      <w:pPr>
        <w:pStyle w:val="BodyText"/>
        <w:spacing w:before="5"/>
        <w:rPr>
          <w:rFonts w:ascii="Times New Roman"/>
          <w:sz w:val="19"/>
        </w:rPr>
      </w:pPr>
    </w:p>
    <w:p>
      <w:pPr>
        <w:spacing w:before="0"/>
        <w:ind w:left="173" w:right="0" w:firstLine="0"/>
        <w:jc w:val="left"/>
        <w:rPr>
          <w:rFonts w:ascii="Times New Roman"/>
          <w:sz w:val="13"/>
        </w:rPr>
      </w:pPr>
      <w:r>
        <w:rPr>
          <w:rFonts w:ascii="Times New Roman"/>
          <w:w w:val="99"/>
          <w:sz w:val="13"/>
        </w:rPr>
        <w:t>d</w:t>
      </w:r>
    </w:p>
    <w:p>
      <w:pPr>
        <w:spacing w:after="0"/>
        <w:jc w:val="left"/>
        <w:rPr>
          <w:rFonts w:ascii="Times New Roman"/>
          <w:sz w:val="13"/>
        </w:rPr>
        <w:sectPr>
          <w:type w:val="continuous"/>
          <w:pgSz w:w="12240" w:h="15840"/>
          <w:pgMar w:top="3080" w:bottom="2780" w:left="1440" w:right="1460"/>
          <w:cols w:num="9" w:equalWidth="0">
            <w:col w:w="816" w:space="164"/>
            <w:col w:w="876" w:space="40"/>
            <w:col w:w="940" w:space="40"/>
            <w:col w:w="834" w:space="40"/>
            <w:col w:w="834" w:space="40"/>
            <w:col w:w="834" w:space="40"/>
            <w:col w:w="859" w:space="40"/>
            <w:col w:w="1321" w:space="40"/>
            <w:col w:w="1582"/>
          </w:cols>
        </w:sectPr>
      </w:pPr>
    </w:p>
    <w:p>
      <w:pPr>
        <w:pStyle w:val="BodyText"/>
        <w:spacing w:before="6"/>
        <w:rPr>
          <w:rFonts w:ascii="Times New Roman"/>
          <w:sz w:val="13"/>
        </w:rPr>
      </w:pPr>
    </w:p>
    <w:p>
      <w:pPr>
        <w:spacing w:after="0"/>
        <w:rPr>
          <w:rFonts w:ascii="Times New Roman"/>
          <w:sz w:val="13"/>
        </w:rPr>
        <w:sectPr>
          <w:type w:val="continuous"/>
          <w:pgSz w:w="12240" w:h="15840"/>
          <w:pgMar w:top="3080" w:bottom="2780" w:left="1440" w:right="1460"/>
        </w:sectPr>
      </w:pPr>
    </w:p>
    <w:p>
      <w:pPr>
        <w:pStyle w:val="BodyText"/>
        <w:spacing w:before="2"/>
        <w:rPr>
          <w:rFonts w:ascii="Times New Roman"/>
          <w:sz w:val="26"/>
        </w:rPr>
      </w:pPr>
    </w:p>
    <w:p>
      <w:pPr>
        <w:spacing w:before="0"/>
        <w:ind w:left="461" w:right="-15" w:firstLine="0"/>
        <w:jc w:val="left"/>
        <w:rPr>
          <w:rFonts w:ascii="Times New Roman"/>
          <w:sz w:val="20"/>
        </w:rPr>
      </w:pPr>
      <w:r>
        <w:rPr>
          <w:rFonts w:ascii="Times New Roman"/>
          <w:spacing w:val="-1"/>
          <w:sz w:val="20"/>
        </w:rPr>
        <w:t>Kernel</w:t>
      </w:r>
    </w:p>
    <w:p>
      <w:pPr>
        <w:spacing w:line="475" w:lineRule="auto" w:before="75"/>
        <w:ind w:left="396" w:right="-15" w:firstLine="0"/>
        <w:jc w:val="left"/>
        <w:rPr>
          <w:rFonts w:ascii="Times New Roman" w:hAnsi="Times New Roman"/>
          <w:sz w:val="20"/>
        </w:rPr>
      </w:pPr>
      <w:r>
        <w:rPr/>
        <w:br w:type="column"/>
      </w:r>
      <w:r>
        <w:rPr>
          <w:rFonts w:ascii="Times New Roman" w:hAnsi="Times New Roman"/>
          <w:sz w:val="20"/>
        </w:rPr>
        <w:t>18.4 ±</w:t>
      </w:r>
      <w:r>
        <w:rPr>
          <w:rFonts w:ascii="Times New Roman" w:hAnsi="Times New Roman"/>
          <w:w w:val="100"/>
          <w:sz w:val="20"/>
        </w:rPr>
        <w:t> </w:t>
      </w:r>
      <w:r>
        <w:rPr>
          <w:rFonts w:ascii="Times New Roman" w:hAnsi="Times New Roman"/>
          <w:sz w:val="20"/>
        </w:rPr>
        <w:t>2.05</w:t>
      </w:r>
    </w:p>
    <w:p>
      <w:pPr>
        <w:spacing w:line="475" w:lineRule="auto" w:before="75"/>
        <w:ind w:left="324" w:right="-14" w:firstLine="0"/>
        <w:jc w:val="left"/>
        <w:rPr>
          <w:rFonts w:ascii="Times New Roman" w:hAnsi="Times New Roman"/>
          <w:sz w:val="20"/>
        </w:rPr>
      </w:pPr>
      <w:r>
        <w:rPr/>
        <w:br w:type="column"/>
      </w:r>
      <w:r>
        <w:rPr>
          <w:rFonts w:ascii="Times New Roman" w:hAnsi="Times New Roman"/>
          <w:sz w:val="20"/>
        </w:rPr>
        <w:t>30.3 ± 1.82</w:t>
      </w:r>
    </w:p>
    <w:p>
      <w:pPr>
        <w:spacing w:line="475" w:lineRule="auto" w:before="75"/>
        <w:ind w:left="319" w:right="-15" w:firstLine="0"/>
        <w:jc w:val="left"/>
        <w:rPr>
          <w:rFonts w:ascii="Times New Roman" w:hAnsi="Times New Roman"/>
          <w:sz w:val="20"/>
        </w:rPr>
      </w:pPr>
      <w:r>
        <w:rPr/>
        <w:br w:type="column"/>
      </w:r>
      <w:r>
        <w:rPr>
          <w:rFonts w:ascii="Times New Roman" w:hAnsi="Times New Roman"/>
          <w:sz w:val="20"/>
        </w:rPr>
        <w:t>44.4 ±</w:t>
      </w:r>
      <w:r>
        <w:rPr>
          <w:rFonts w:ascii="Times New Roman" w:hAnsi="Times New Roman"/>
          <w:w w:val="100"/>
          <w:sz w:val="20"/>
        </w:rPr>
        <w:t> </w:t>
      </w:r>
      <w:r>
        <w:rPr>
          <w:rFonts w:ascii="Times New Roman" w:hAnsi="Times New Roman"/>
          <w:sz w:val="20"/>
        </w:rPr>
        <w:t>2.73</w:t>
      </w:r>
    </w:p>
    <w:p>
      <w:pPr>
        <w:spacing w:line="475" w:lineRule="auto" w:before="75"/>
        <w:ind w:left="320" w:right="-16" w:firstLine="0"/>
        <w:jc w:val="left"/>
        <w:rPr>
          <w:rFonts w:ascii="Times New Roman" w:hAnsi="Times New Roman"/>
          <w:sz w:val="20"/>
        </w:rPr>
      </w:pPr>
      <w:r>
        <w:rPr/>
        <w:br w:type="column"/>
      </w:r>
      <w:r>
        <w:rPr>
          <w:rFonts w:ascii="Times New Roman" w:hAnsi="Times New Roman"/>
          <w:sz w:val="20"/>
        </w:rPr>
        <w:t>47.3 ±</w:t>
      </w:r>
      <w:r>
        <w:rPr>
          <w:rFonts w:ascii="Times New Roman" w:hAnsi="Times New Roman"/>
          <w:w w:val="100"/>
          <w:sz w:val="20"/>
        </w:rPr>
        <w:t> </w:t>
      </w:r>
      <w:r>
        <w:rPr>
          <w:rFonts w:ascii="Times New Roman" w:hAnsi="Times New Roman"/>
          <w:sz w:val="20"/>
        </w:rPr>
        <w:t>3.87</w:t>
      </w:r>
    </w:p>
    <w:p>
      <w:pPr>
        <w:spacing w:line="475" w:lineRule="auto" w:before="75"/>
        <w:ind w:left="319" w:right="-15" w:firstLine="0"/>
        <w:jc w:val="left"/>
        <w:rPr>
          <w:rFonts w:ascii="Times New Roman" w:hAnsi="Times New Roman"/>
          <w:sz w:val="20"/>
        </w:rPr>
      </w:pPr>
      <w:r>
        <w:rPr/>
        <w:br w:type="column"/>
      </w:r>
      <w:r>
        <w:rPr>
          <w:rFonts w:ascii="Times New Roman" w:hAnsi="Times New Roman"/>
          <w:sz w:val="20"/>
        </w:rPr>
        <w:t>47.5 ±</w:t>
      </w:r>
      <w:r>
        <w:rPr>
          <w:rFonts w:ascii="Times New Roman" w:hAnsi="Times New Roman"/>
          <w:w w:val="100"/>
          <w:sz w:val="20"/>
        </w:rPr>
        <w:t> </w:t>
      </w:r>
      <w:r>
        <w:rPr>
          <w:rFonts w:ascii="Times New Roman" w:hAnsi="Times New Roman"/>
          <w:sz w:val="20"/>
        </w:rPr>
        <w:t>3.64</w:t>
      </w:r>
    </w:p>
    <w:p>
      <w:pPr>
        <w:spacing w:line="475" w:lineRule="auto" w:before="75"/>
        <w:ind w:left="343" w:right="-14" w:firstLine="0"/>
        <w:jc w:val="left"/>
        <w:rPr>
          <w:rFonts w:ascii="Times New Roman" w:hAnsi="Times New Roman"/>
          <w:sz w:val="20"/>
        </w:rPr>
      </w:pPr>
      <w:r>
        <w:rPr/>
        <w:br w:type="column"/>
      </w:r>
      <w:r>
        <w:rPr>
          <w:rFonts w:ascii="Times New Roman" w:hAnsi="Times New Roman"/>
          <w:sz w:val="20"/>
        </w:rPr>
        <w:t>6.75 ± 0.03</w:t>
      </w:r>
    </w:p>
    <w:p>
      <w:pPr>
        <w:spacing w:before="75"/>
        <w:ind w:left="391" w:right="-12" w:firstLine="0"/>
        <w:jc w:val="left"/>
        <w:rPr>
          <w:rFonts w:ascii="Times New Roman" w:hAnsi="Times New Roman"/>
          <w:sz w:val="20"/>
        </w:rPr>
      </w:pPr>
      <w:r>
        <w:rPr/>
        <w:br w:type="column"/>
      </w:r>
      <w:r>
        <w:rPr>
          <w:rFonts w:ascii="Times New Roman" w:hAnsi="Times New Roman"/>
          <w:sz w:val="20"/>
        </w:rPr>
        <w:t>14.5 ± 0.43</w:t>
      </w:r>
    </w:p>
    <w:p>
      <w:pPr>
        <w:pStyle w:val="BodyText"/>
        <w:rPr>
          <w:rFonts w:ascii="Times New Roman"/>
          <w:sz w:val="19"/>
        </w:rPr>
      </w:pPr>
    </w:p>
    <w:p>
      <w:pPr>
        <w:spacing w:before="1"/>
        <w:ind w:left="391" w:right="0" w:firstLine="0"/>
        <w:jc w:val="left"/>
        <w:rPr>
          <w:rFonts w:ascii="Times New Roman"/>
          <w:sz w:val="13"/>
        </w:rPr>
      </w:pPr>
      <w:r>
        <w:rPr>
          <w:rFonts w:ascii="Times New Roman"/>
          <w:w w:val="99"/>
          <w:sz w:val="13"/>
        </w:rPr>
        <w:t>a</w:t>
      </w:r>
    </w:p>
    <w:p>
      <w:pPr>
        <w:spacing w:before="75"/>
        <w:ind w:left="186" w:right="0" w:firstLine="0"/>
        <w:jc w:val="left"/>
        <w:rPr>
          <w:rFonts w:ascii="Times New Roman" w:hAnsi="Times New Roman"/>
          <w:sz w:val="20"/>
        </w:rPr>
      </w:pPr>
      <w:r>
        <w:rPr/>
        <w:br w:type="column"/>
      </w:r>
      <w:r>
        <w:rPr>
          <w:rFonts w:ascii="Times New Roman" w:hAnsi="Times New Roman"/>
          <w:sz w:val="20"/>
        </w:rPr>
        <w:t>331.6 ±</w:t>
      </w:r>
    </w:p>
    <w:p>
      <w:pPr>
        <w:pStyle w:val="BodyText"/>
        <w:spacing w:before="2"/>
        <w:rPr>
          <w:rFonts w:ascii="Times New Roman"/>
          <w:sz w:val="19"/>
        </w:rPr>
      </w:pPr>
    </w:p>
    <w:p>
      <w:pPr>
        <w:spacing w:before="1"/>
        <w:ind w:left="186" w:right="0" w:firstLine="0"/>
        <w:jc w:val="left"/>
        <w:rPr>
          <w:rFonts w:ascii="Times New Roman"/>
          <w:sz w:val="13"/>
        </w:rPr>
      </w:pPr>
      <w:r>
        <w:rPr>
          <w:rFonts w:ascii="Times New Roman"/>
          <w:sz w:val="20"/>
        </w:rPr>
        <w:t>11.32 </w:t>
      </w:r>
      <w:r>
        <w:rPr>
          <w:rFonts w:ascii="Times New Roman"/>
          <w:position w:val="7"/>
          <w:sz w:val="13"/>
        </w:rPr>
        <w:t>b</w:t>
      </w:r>
    </w:p>
    <w:p>
      <w:pPr>
        <w:spacing w:after="0"/>
        <w:jc w:val="left"/>
        <w:rPr>
          <w:rFonts w:ascii="Times New Roman"/>
          <w:sz w:val="13"/>
        </w:rPr>
        <w:sectPr>
          <w:type w:val="continuous"/>
          <w:pgSz w:w="12240" w:h="15840"/>
          <w:pgMar w:top="3080" w:bottom="2780" w:left="1440" w:right="1460"/>
          <w:cols w:num="9" w:equalWidth="0">
            <w:col w:w="1005" w:space="40"/>
            <w:col w:w="911" w:space="40"/>
            <w:col w:w="840" w:space="40"/>
            <w:col w:w="834" w:space="40"/>
            <w:col w:w="834" w:space="40"/>
            <w:col w:w="834" w:space="40"/>
            <w:col w:w="859" w:space="40"/>
            <w:col w:w="1309" w:space="40"/>
            <w:col w:w="1594"/>
          </w:cols>
        </w:sectPr>
      </w:pPr>
    </w:p>
    <w:p>
      <w:pPr>
        <w:tabs>
          <w:tab w:pos="1440" w:val="left" w:leader="none"/>
          <w:tab w:pos="2319" w:val="left" w:leader="none"/>
          <w:tab w:pos="3193" w:val="left" w:leader="none"/>
          <w:tab w:pos="4067" w:val="left" w:leader="none"/>
          <w:tab w:pos="4941" w:val="left" w:leader="none"/>
          <w:tab w:pos="5839" w:val="left" w:leader="none"/>
          <w:tab w:pos="6785" w:val="left" w:leader="none"/>
          <w:tab w:pos="7928" w:val="left" w:leader="none"/>
        </w:tabs>
        <w:spacing w:before="9"/>
        <w:ind w:left="461" w:right="0" w:firstLine="0"/>
        <w:jc w:val="left"/>
        <w:rPr>
          <w:rFonts w:ascii="Times New Roman" w:hAnsi="Times New Roman"/>
          <w:sz w:val="20"/>
        </w:rPr>
      </w:pPr>
      <w:r>
        <w:rPr>
          <w:rFonts w:ascii="Times New Roman" w:hAnsi="Times New Roman"/>
          <w:sz w:val="20"/>
        </w:rPr>
        <w:t>Whole</w:t>
        <w:tab/>
        <w:t>19.3</w:t>
      </w:r>
      <w:r>
        <w:rPr>
          <w:rFonts w:ascii="Times New Roman" w:hAnsi="Times New Roman"/>
          <w:spacing w:val="-1"/>
          <w:sz w:val="20"/>
        </w:rPr>
        <w:t> </w:t>
      </w:r>
      <w:r>
        <w:rPr>
          <w:rFonts w:ascii="Times New Roman" w:hAnsi="Times New Roman"/>
          <w:sz w:val="20"/>
        </w:rPr>
        <w:t>±</w:t>
        <w:tab/>
        <w:t>29.3</w:t>
      </w:r>
      <w:r>
        <w:rPr>
          <w:rFonts w:ascii="Times New Roman" w:hAnsi="Times New Roman"/>
          <w:spacing w:val="-1"/>
          <w:sz w:val="20"/>
        </w:rPr>
        <w:t> </w:t>
      </w:r>
      <w:r>
        <w:rPr>
          <w:rFonts w:ascii="Times New Roman" w:hAnsi="Times New Roman"/>
          <w:sz w:val="20"/>
        </w:rPr>
        <w:t>±</w:t>
        <w:tab/>
        <w:t>43.9</w:t>
      </w:r>
      <w:r>
        <w:rPr>
          <w:rFonts w:ascii="Times New Roman" w:hAnsi="Times New Roman"/>
          <w:spacing w:val="-1"/>
          <w:sz w:val="20"/>
        </w:rPr>
        <w:t> </w:t>
      </w:r>
      <w:r>
        <w:rPr>
          <w:rFonts w:ascii="Times New Roman" w:hAnsi="Times New Roman"/>
          <w:sz w:val="20"/>
        </w:rPr>
        <w:t>±</w:t>
        <w:tab/>
        <w:t>45.3</w:t>
      </w:r>
      <w:r>
        <w:rPr>
          <w:rFonts w:ascii="Times New Roman" w:hAnsi="Times New Roman"/>
          <w:spacing w:val="-1"/>
          <w:sz w:val="20"/>
        </w:rPr>
        <w:t> </w:t>
      </w:r>
      <w:r>
        <w:rPr>
          <w:rFonts w:ascii="Times New Roman" w:hAnsi="Times New Roman"/>
          <w:sz w:val="20"/>
        </w:rPr>
        <w:t>±</w:t>
        <w:tab/>
        <w:t>45.3</w:t>
      </w:r>
      <w:r>
        <w:rPr>
          <w:rFonts w:ascii="Times New Roman" w:hAnsi="Times New Roman"/>
          <w:spacing w:val="-1"/>
          <w:sz w:val="20"/>
        </w:rPr>
        <w:t> </w:t>
      </w:r>
      <w:r>
        <w:rPr>
          <w:rFonts w:ascii="Times New Roman" w:hAnsi="Times New Roman"/>
          <w:sz w:val="20"/>
        </w:rPr>
        <w:t>±</w:t>
        <w:tab/>
        <w:t>6.95</w:t>
      </w:r>
      <w:r>
        <w:rPr>
          <w:rFonts w:ascii="Times New Roman" w:hAnsi="Times New Roman"/>
          <w:spacing w:val="-1"/>
          <w:sz w:val="20"/>
        </w:rPr>
        <w:t> </w:t>
      </w:r>
      <w:r>
        <w:rPr>
          <w:rFonts w:ascii="Times New Roman" w:hAnsi="Times New Roman"/>
          <w:sz w:val="20"/>
        </w:rPr>
        <w:t>±</w:t>
        <w:tab/>
        <w:t>7.8 ±</w:t>
      </w:r>
      <w:r>
        <w:rPr>
          <w:rFonts w:ascii="Times New Roman" w:hAnsi="Times New Roman"/>
          <w:spacing w:val="1"/>
          <w:sz w:val="20"/>
        </w:rPr>
        <w:t> </w:t>
      </w:r>
      <w:r>
        <w:rPr>
          <w:rFonts w:ascii="Times New Roman" w:hAnsi="Times New Roman"/>
          <w:sz w:val="20"/>
        </w:rPr>
        <w:t>0.02</w:t>
      </w:r>
      <w:r>
        <w:rPr>
          <w:rFonts w:ascii="Times New Roman" w:hAnsi="Times New Roman"/>
          <w:spacing w:val="-2"/>
          <w:sz w:val="20"/>
        </w:rPr>
        <w:t> </w:t>
      </w:r>
      <w:r>
        <w:rPr>
          <w:rFonts w:ascii="Times New Roman" w:hAnsi="Times New Roman"/>
          <w:position w:val="7"/>
          <w:sz w:val="13"/>
        </w:rPr>
        <w:t>b</w:t>
        <w:tab/>
      </w:r>
      <w:r>
        <w:rPr>
          <w:rFonts w:ascii="Times New Roman" w:hAnsi="Times New Roman"/>
          <w:sz w:val="20"/>
        </w:rPr>
        <w:t>290.9</w:t>
      </w:r>
      <w:r>
        <w:rPr>
          <w:rFonts w:ascii="Times New Roman" w:hAnsi="Times New Roman"/>
          <w:spacing w:val="4"/>
          <w:sz w:val="20"/>
        </w:rPr>
        <w:t> </w:t>
      </w:r>
      <w:r>
        <w:rPr>
          <w:rFonts w:ascii="Times New Roman" w:hAnsi="Times New Roman"/>
          <w:sz w:val="20"/>
        </w:rPr>
        <w:t>±</w:t>
      </w:r>
    </w:p>
    <w:p>
      <w:pPr>
        <w:spacing w:after="0"/>
        <w:jc w:val="left"/>
        <w:rPr>
          <w:rFonts w:ascii="Times New Roman" w:hAnsi="Times New Roman"/>
          <w:sz w:val="20"/>
        </w:rPr>
        <w:sectPr>
          <w:type w:val="continuous"/>
          <w:pgSz w:w="12240" w:h="15840"/>
          <w:pgMar w:top="3080" w:bottom="2780" w:left="1440" w:right="1460"/>
        </w:sectPr>
      </w:pPr>
    </w:p>
    <w:p>
      <w:pPr>
        <w:pStyle w:val="BodyText"/>
        <w:spacing w:before="3" w:after="1"/>
        <w:rPr>
          <w:rFonts w:ascii="Times New Roman"/>
          <w:sz w:val="13"/>
        </w:rPr>
      </w:pPr>
    </w:p>
    <w:tbl>
      <w:tblPr>
        <w:tblW w:w="0" w:type="auto"/>
        <w:jc w:val="left"/>
        <w:tblInd w:w="4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1"/>
        <w:gridCol w:w="970"/>
        <w:gridCol w:w="877"/>
        <w:gridCol w:w="874"/>
        <w:gridCol w:w="874"/>
        <w:gridCol w:w="886"/>
        <w:gridCol w:w="922"/>
        <w:gridCol w:w="1248"/>
        <w:gridCol w:w="760"/>
      </w:tblGrid>
      <w:tr>
        <w:trPr>
          <w:trHeight w:val="784" w:hRule="exact"/>
        </w:trPr>
        <w:tc>
          <w:tcPr>
            <w:tcW w:w="741" w:type="dxa"/>
          </w:tcPr>
          <w:p>
            <w:pPr>
              <w:pStyle w:val="TableParagraph"/>
              <w:spacing w:before="89"/>
              <w:ind w:left="35"/>
              <w:rPr>
                <w:sz w:val="20"/>
              </w:rPr>
            </w:pPr>
            <w:r>
              <w:rPr>
                <w:sz w:val="20"/>
              </w:rPr>
              <w:t>seed</w:t>
            </w:r>
          </w:p>
        </w:tc>
        <w:tc>
          <w:tcPr>
            <w:tcW w:w="970" w:type="dxa"/>
          </w:tcPr>
          <w:p>
            <w:pPr>
              <w:pStyle w:val="TableParagraph"/>
              <w:spacing w:before="89"/>
              <w:ind w:left="273"/>
              <w:rPr>
                <w:sz w:val="20"/>
              </w:rPr>
            </w:pPr>
            <w:r>
              <w:rPr>
                <w:sz w:val="20"/>
              </w:rPr>
              <w:t>3.41</w:t>
            </w:r>
          </w:p>
          <w:p>
            <w:pPr>
              <w:pStyle w:val="TableParagraph"/>
              <w:rPr>
                <w:sz w:val="20"/>
              </w:rPr>
            </w:pPr>
          </w:p>
          <w:p>
            <w:pPr>
              <w:pStyle w:val="TableParagraph"/>
              <w:spacing w:before="1"/>
              <w:ind w:left="273"/>
              <w:rPr>
                <w:sz w:val="20"/>
              </w:rPr>
            </w:pPr>
            <w:r>
              <w:rPr>
                <w:sz w:val="20"/>
              </w:rPr>
              <w:t>26.4 ±</w:t>
            </w:r>
          </w:p>
        </w:tc>
        <w:tc>
          <w:tcPr>
            <w:tcW w:w="877" w:type="dxa"/>
          </w:tcPr>
          <w:p>
            <w:pPr>
              <w:pStyle w:val="TableParagraph"/>
              <w:spacing w:before="89"/>
              <w:ind w:left="182"/>
              <w:rPr>
                <w:sz w:val="20"/>
              </w:rPr>
            </w:pPr>
            <w:r>
              <w:rPr>
                <w:sz w:val="20"/>
              </w:rPr>
              <w:t>3.18</w:t>
            </w:r>
          </w:p>
          <w:p>
            <w:pPr>
              <w:pStyle w:val="TableParagraph"/>
              <w:rPr>
                <w:sz w:val="20"/>
              </w:rPr>
            </w:pPr>
          </w:p>
          <w:p>
            <w:pPr>
              <w:pStyle w:val="TableParagraph"/>
              <w:spacing w:before="1"/>
              <w:ind w:left="182"/>
              <w:rPr>
                <w:sz w:val="20"/>
              </w:rPr>
            </w:pPr>
            <w:r>
              <w:rPr>
                <w:sz w:val="20"/>
              </w:rPr>
              <w:t>41.0 ±</w:t>
            </w:r>
          </w:p>
        </w:tc>
        <w:tc>
          <w:tcPr>
            <w:tcW w:w="874" w:type="dxa"/>
          </w:tcPr>
          <w:p>
            <w:pPr>
              <w:pStyle w:val="TableParagraph"/>
              <w:spacing w:before="89"/>
              <w:ind w:left="179"/>
              <w:rPr>
                <w:sz w:val="20"/>
              </w:rPr>
            </w:pPr>
            <w:r>
              <w:rPr>
                <w:sz w:val="20"/>
              </w:rPr>
              <w:t>3.64</w:t>
            </w:r>
          </w:p>
          <w:p>
            <w:pPr>
              <w:pStyle w:val="TableParagraph"/>
              <w:rPr>
                <w:sz w:val="20"/>
              </w:rPr>
            </w:pPr>
          </w:p>
          <w:p>
            <w:pPr>
              <w:pStyle w:val="TableParagraph"/>
              <w:spacing w:before="1"/>
              <w:ind w:left="179"/>
              <w:rPr>
                <w:sz w:val="20"/>
              </w:rPr>
            </w:pPr>
            <w:r>
              <w:rPr>
                <w:sz w:val="20"/>
              </w:rPr>
              <w:t>59.5 ±</w:t>
            </w:r>
          </w:p>
        </w:tc>
        <w:tc>
          <w:tcPr>
            <w:tcW w:w="874" w:type="dxa"/>
          </w:tcPr>
          <w:p>
            <w:pPr>
              <w:pStyle w:val="TableParagraph"/>
              <w:spacing w:before="89"/>
              <w:ind w:left="180"/>
              <w:rPr>
                <w:sz w:val="20"/>
              </w:rPr>
            </w:pPr>
            <w:r>
              <w:rPr>
                <w:sz w:val="20"/>
              </w:rPr>
              <w:t>3.18</w:t>
            </w:r>
          </w:p>
          <w:p>
            <w:pPr>
              <w:pStyle w:val="TableParagraph"/>
              <w:rPr>
                <w:sz w:val="20"/>
              </w:rPr>
            </w:pPr>
          </w:p>
          <w:p>
            <w:pPr>
              <w:pStyle w:val="TableParagraph"/>
              <w:spacing w:before="1"/>
              <w:ind w:left="180"/>
              <w:rPr>
                <w:sz w:val="20"/>
              </w:rPr>
            </w:pPr>
            <w:r>
              <w:rPr>
                <w:sz w:val="20"/>
              </w:rPr>
              <w:t>65.5 ±</w:t>
            </w:r>
          </w:p>
        </w:tc>
        <w:tc>
          <w:tcPr>
            <w:tcW w:w="886" w:type="dxa"/>
          </w:tcPr>
          <w:p>
            <w:pPr>
              <w:pStyle w:val="TableParagraph"/>
              <w:spacing w:before="89"/>
              <w:ind w:left="179"/>
              <w:rPr>
                <w:sz w:val="20"/>
              </w:rPr>
            </w:pPr>
            <w:r>
              <w:rPr>
                <w:sz w:val="20"/>
              </w:rPr>
              <w:t>3.18</w:t>
            </w:r>
          </w:p>
          <w:p>
            <w:pPr>
              <w:pStyle w:val="TableParagraph"/>
              <w:rPr>
                <w:sz w:val="20"/>
              </w:rPr>
            </w:pPr>
          </w:p>
          <w:p>
            <w:pPr>
              <w:pStyle w:val="TableParagraph"/>
              <w:spacing w:before="1"/>
              <w:ind w:left="179"/>
              <w:rPr>
                <w:sz w:val="20"/>
              </w:rPr>
            </w:pPr>
            <w:r>
              <w:rPr>
                <w:sz w:val="20"/>
              </w:rPr>
              <w:t>68.2 ±</w:t>
            </w:r>
          </w:p>
        </w:tc>
        <w:tc>
          <w:tcPr>
            <w:tcW w:w="922" w:type="dxa"/>
          </w:tcPr>
          <w:p>
            <w:pPr>
              <w:pStyle w:val="TableParagraph"/>
              <w:spacing w:before="89"/>
              <w:ind w:left="191"/>
              <w:rPr>
                <w:sz w:val="20"/>
              </w:rPr>
            </w:pPr>
            <w:r>
              <w:rPr>
                <w:sz w:val="20"/>
              </w:rPr>
              <w:t>0.01</w:t>
            </w:r>
          </w:p>
          <w:p>
            <w:pPr>
              <w:pStyle w:val="TableParagraph"/>
              <w:rPr>
                <w:sz w:val="20"/>
              </w:rPr>
            </w:pPr>
          </w:p>
          <w:p>
            <w:pPr>
              <w:pStyle w:val="TableParagraph"/>
              <w:spacing w:before="1"/>
              <w:ind w:left="191"/>
              <w:rPr>
                <w:sz w:val="20"/>
              </w:rPr>
            </w:pPr>
            <w:r>
              <w:rPr>
                <w:sz w:val="20"/>
              </w:rPr>
              <w:t>6.83 ±</w:t>
            </w:r>
          </w:p>
        </w:tc>
        <w:tc>
          <w:tcPr>
            <w:tcW w:w="1248" w:type="dxa"/>
          </w:tcPr>
          <w:p>
            <w:pPr/>
          </w:p>
        </w:tc>
        <w:tc>
          <w:tcPr>
            <w:tcW w:w="760" w:type="dxa"/>
          </w:tcPr>
          <w:p>
            <w:pPr>
              <w:pStyle w:val="TableParagraph"/>
              <w:spacing w:before="85"/>
              <w:ind w:left="110"/>
              <w:rPr>
                <w:sz w:val="13"/>
              </w:rPr>
            </w:pPr>
            <w:r>
              <w:rPr>
                <w:sz w:val="20"/>
              </w:rPr>
              <w:t>3.73 </w:t>
            </w:r>
            <w:r>
              <w:rPr>
                <w:position w:val="7"/>
                <w:sz w:val="13"/>
              </w:rPr>
              <w:t>c</w:t>
            </w:r>
          </w:p>
          <w:p>
            <w:pPr>
              <w:pStyle w:val="TableParagraph"/>
              <w:rPr>
                <w:sz w:val="20"/>
              </w:rPr>
            </w:pPr>
          </w:p>
          <w:p>
            <w:pPr>
              <w:pStyle w:val="TableParagraph"/>
              <w:spacing w:before="1"/>
              <w:ind w:left="110"/>
              <w:rPr>
                <w:sz w:val="20"/>
              </w:rPr>
            </w:pPr>
            <w:r>
              <w:rPr>
                <w:sz w:val="20"/>
              </w:rPr>
              <w:t>347.0 ±</w:t>
            </w:r>
          </w:p>
        </w:tc>
      </w:tr>
      <w:tr>
        <w:trPr>
          <w:trHeight w:val="584" w:hRule="exact"/>
        </w:trPr>
        <w:tc>
          <w:tcPr>
            <w:tcW w:w="741" w:type="dxa"/>
          </w:tcPr>
          <w:p>
            <w:pPr>
              <w:pStyle w:val="TableParagraph"/>
              <w:spacing w:line="228" w:lineRule="exact"/>
              <w:ind w:left="35"/>
              <w:rPr>
                <w:sz w:val="20"/>
              </w:rPr>
            </w:pPr>
            <w:r>
              <w:rPr>
                <w:sz w:val="20"/>
              </w:rPr>
              <w:t>SMH</w:t>
            </w:r>
          </w:p>
        </w:tc>
        <w:tc>
          <w:tcPr>
            <w:tcW w:w="970" w:type="dxa"/>
          </w:tcPr>
          <w:p>
            <w:pPr>
              <w:pStyle w:val="TableParagraph"/>
              <w:spacing w:before="9"/>
              <w:rPr>
                <w:sz w:val="19"/>
              </w:rPr>
            </w:pPr>
          </w:p>
          <w:p>
            <w:pPr>
              <w:pStyle w:val="TableParagraph"/>
              <w:ind w:left="273"/>
              <w:rPr>
                <w:sz w:val="20"/>
              </w:rPr>
            </w:pPr>
            <w:r>
              <w:rPr>
                <w:sz w:val="20"/>
              </w:rPr>
              <w:t>0.91</w:t>
            </w:r>
          </w:p>
        </w:tc>
        <w:tc>
          <w:tcPr>
            <w:tcW w:w="877" w:type="dxa"/>
          </w:tcPr>
          <w:p>
            <w:pPr>
              <w:pStyle w:val="TableParagraph"/>
              <w:spacing w:before="9"/>
              <w:rPr>
                <w:sz w:val="19"/>
              </w:rPr>
            </w:pPr>
          </w:p>
          <w:p>
            <w:pPr>
              <w:pStyle w:val="TableParagraph"/>
              <w:ind w:left="182"/>
              <w:rPr>
                <w:sz w:val="20"/>
              </w:rPr>
            </w:pPr>
            <w:r>
              <w:rPr>
                <w:sz w:val="20"/>
              </w:rPr>
              <w:t>2.10</w:t>
            </w:r>
          </w:p>
        </w:tc>
        <w:tc>
          <w:tcPr>
            <w:tcW w:w="874" w:type="dxa"/>
          </w:tcPr>
          <w:p>
            <w:pPr>
              <w:pStyle w:val="TableParagraph"/>
              <w:spacing w:before="9"/>
              <w:rPr>
                <w:sz w:val="19"/>
              </w:rPr>
            </w:pPr>
          </w:p>
          <w:p>
            <w:pPr>
              <w:pStyle w:val="TableParagraph"/>
              <w:ind w:left="179"/>
              <w:rPr>
                <w:sz w:val="20"/>
              </w:rPr>
            </w:pPr>
            <w:r>
              <w:rPr>
                <w:sz w:val="20"/>
              </w:rPr>
              <w:t>1.46</w:t>
            </w:r>
          </w:p>
        </w:tc>
        <w:tc>
          <w:tcPr>
            <w:tcW w:w="874" w:type="dxa"/>
          </w:tcPr>
          <w:p>
            <w:pPr>
              <w:pStyle w:val="TableParagraph"/>
              <w:spacing w:before="9"/>
              <w:rPr>
                <w:sz w:val="19"/>
              </w:rPr>
            </w:pPr>
          </w:p>
          <w:p>
            <w:pPr>
              <w:pStyle w:val="TableParagraph"/>
              <w:ind w:left="180"/>
              <w:rPr>
                <w:sz w:val="20"/>
              </w:rPr>
            </w:pPr>
            <w:r>
              <w:rPr>
                <w:sz w:val="20"/>
              </w:rPr>
              <w:t>0.95</w:t>
            </w:r>
          </w:p>
        </w:tc>
        <w:tc>
          <w:tcPr>
            <w:tcW w:w="886" w:type="dxa"/>
          </w:tcPr>
          <w:p>
            <w:pPr>
              <w:pStyle w:val="TableParagraph"/>
              <w:spacing w:before="9"/>
              <w:rPr>
                <w:sz w:val="19"/>
              </w:rPr>
            </w:pPr>
          </w:p>
          <w:p>
            <w:pPr>
              <w:pStyle w:val="TableParagraph"/>
              <w:ind w:left="179"/>
              <w:rPr>
                <w:sz w:val="20"/>
              </w:rPr>
            </w:pPr>
            <w:r>
              <w:rPr>
                <w:sz w:val="20"/>
              </w:rPr>
              <w:t>1.14</w:t>
            </w:r>
          </w:p>
        </w:tc>
        <w:tc>
          <w:tcPr>
            <w:tcW w:w="922" w:type="dxa"/>
          </w:tcPr>
          <w:p>
            <w:pPr>
              <w:pStyle w:val="TableParagraph"/>
              <w:spacing w:before="9"/>
              <w:rPr>
                <w:sz w:val="19"/>
              </w:rPr>
            </w:pPr>
          </w:p>
          <w:p>
            <w:pPr>
              <w:pStyle w:val="TableParagraph"/>
              <w:ind w:left="191"/>
              <w:rPr>
                <w:sz w:val="20"/>
              </w:rPr>
            </w:pPr>
            <w:r>
              <w:rPr>
                <w:sz w:val="20"/>
              </w:rPr>
              <w:t>0.12</w:t>
            </w:r>
          </w:p>
        </w:tc>
        <w:tc>
          <w:tcPr>
            <w:tcW w:w="1248" w:type="dxa"/>
          </w:tcPr>
          <w:p>
            <w:pPr>
              <w:pStyle w:val="TableParagraph"/>
              <w:spacing w:line="228" w:lineRule="exact"/>
              <w:ind w:right="108"/>
              <w:jc w:val="right"/>
              <w:rPr>
                <w:sz w:val="13"/>
              </w:rPr>
            </w:pPr>
            <w:r>
              <w:rPr>
                <w:sz w:val="20"/>
              </w:rPr>
              <w:t>5.0 ± 0.04 </w:t>
            </w:r>
            <w:r>
              <w:rPr>
                <w:position w:val="7"/>
                <w:sz w:val="13"/>
              </w:rPr>
              <w:t>c</w:t>
            </w:r>
          </w:p>
        </w:tc>
        <w:tc>
          <w:tcPr>
            <w:tcW w:w="760" w:type="dxa"/>
          </w:tcPr>
          <w:p>
            <w:pPr>
              <w:pStyle w:val="TableParagraph"/>
              <w:spacing w:before="4"/>
              <w:rPr>
                <w:sz w:val="19"/>
              </w:rPr>
            </w:pPr>
          </w:p>
          <w:p>
            <w:pPr>
              <w:pStyle w:val="TableParagraph"/>
              <w:spacing w:before="1"/>
              <w:ind w:left="110"/>
              <w:rPr>
                <w:sz w:val="13"/>
              </w:rPr>
            </w:pPr>
            <w:r>
              <w:rPr>
                <w:sz w:val="20"/>
              </w:rPr>
              <w:t>3.25 </w:t>
            </w:r>
            <w:r>
              <w:rPr>
                <w:position w:val="7"/>
                <w:sz w:val="13"/>
              </w:rPr>
              <w:t>a</w:t>
            </w:r>
          </w:p>
        </w:tc>
      </w:tr>
      <w:tr>
        <w:trPr>
          <w:trHeight w:val="887" w:hRule="exact"/>
        </w:trPr>
        <w:tc>
          <w:tcPr>
            <w:tcW w:w="741" w:type="dxa"/>
          </w:tcPr>
          <w:p>
            <w:pPr>
              <w:pStyle w:val="TableParagraph"/>
              <w:spacing w:before="2"/>
              <w:rPr>
                <w:sz w:val="29"/>
              </w:rPr>
            </w:pPr>
          </w:p>
          <w:p>
            <w:pPr>
              <w:pStyle w:val="TableParagraph"/>
              <w:ind w:left="35"/>
              <w:rPr>
                <w:sz w:val="20"/>
              </w:rPr>
            </w:pPr>
            <w:r>
              <w:rPr>
                <w:sz w:val="20"/>
              </w:rPr>
              <w:t>SMP</w:t>
            </w:r>
          </w:p>
        </w:tc>
        <w:tc>
          <w:tcPr>
            <w:tcW w:w="970" w:type="dxa"/>
          </w:tcPr>
          <w:p>
            <w:pPr>
              <w:pStyle w:val="TableParagraph"/>
              <w:spacing w:before="105"/>
              <w:ind w:left="273"/>
              <w:rPr>
                <w:sz w:val="20"/>
              </w:rPr>
            </w:pPr>
            <w:r>
              <w:rPr>
                <w:sz w:val="20"/>
              </w:rPr>
              <w:t>28.4 ±</w:t>
            </w:r>
          </w:p>
          <w:p>
            <w:pPr>
              <w:pStyle w:val="TableParagraph"/>
              <w:spacing w:before="7"/>
              <w:rPr>
                <w:sz w:val="19"/>
              </w:rPr>
            </w:pPr>
          </w:p>
          <w:p>
            <w:pPr>
              <w:pStyle w:val="TableParagraph"/>
              <w:ind w:left="273"/>
              <w:rPr>
                <w:sz w:val="20"/>
              </w:rPr>
            </w:pPr>
            <w:r>
              <w:rPr>
                <w:sz w:val="20"/>
              </w:rPr>
              <w:t>0.68</w:t>
            </w:r>
          </w:p>
        </w:tc>
        <w:tc>
          <w:tcPr>
            <w:tcW w:w="877" w:type="dxa"/>
          </w:tcPr>
          <w:p>
            <w:pPr>
              <w:pStyle w:val="TableParagraph"/>
              <w:spacing w:before="105"/>
              <w:ind w:left="182"/>
              <w:rPr>
                <w:sz w:val="20"/>
              </w:rPr>
            </w:pPr>
            <w:r>
              <w:rPr>
                <w:sz w:val="20"/>
              </w:rPr>
              <w:t>42.5 ±</w:t>
            </w:r>
          </w:p>
          <w:p>
            <w:pPr>
              <w:pStyle w:val="TableParagraph"/>
              <w:spacing w:before="7"/>
              <w:rPr>
                <w:sz w:val="19"/>
              </w:rPr>
            </w:pPr>
          </w:p>
          <w:p>
            <w:pPr>
              <w:pStyle w:val="TableParagraph"/>
              <w:ind w:left="182"/>
              <w:rPr>
                <w:sz w:val="20"/>
              </w:rPr>
            </w:pPr>
            <w:r>
              <w:rPr>
                <w:sz w:val="20"/>
              </w:rPr>
              <w:t>0.91</w:t>
            </w:r>
          </w:p>
        </w:tc>
        <w:tc>
          <w:tcPr>
            <w:tcW w:w="874" w:type="dxa"/>
          </w:tcPr>
          <w:p>
            <w:pPr>
              <w:pStyle w:val="TableParagraph"/>
              <w:spacing w:before="105"/>
              <w:ind w:left="179"/>
              <w:rPr>
                <w:sz w:val="20"/>
              </w:rPr>
            </w:pPr>
            <w:r>
              <w:rPr>
                <w:sz w:val="20"/>
              </w:rPr>
              <w:t>60.3 ±</w:t>
            </w:r>
          </w:p>
          <w:p>
            <w:pPr>
              <w:pStyle w:val="TableParagraph"/>
              <w:spacing w:before="7"/>
              <w:rPr>
                <w:sz w:val="19"/>
              </w:rPr>
            </w:pPr>
          </w:p>
          <w:p>
            <w:pPr>
              <w:pStyle w:val="TableParagraph"/>
              <w:ind w:left="179"/>
              <w:rPr>
                <w:sz w:val="20"/>
              </w:rPr>
            </w:pPr>
            <w:r>
              <w:rPr>
                <w:sz w:val="20"/>
              </w:rPr>
              <w:t>0.91</w:t>
            </w:r>
          </w:p>
        </w:tc>
        <w:tc>
          <w:tcPr>
            <w:tcW w:w="874" w:type="dxa"/>
          </w:tcPr>
          <w:p>
            <w:pPr>
              <w:pStyle w:val="TableParagraph"/>
              <w:spacing w:before="105"/>
              <w:ind w:left="180"/>
              <w:rPr>
                <w:sz w:val="20"/>
              </w:rPr>
            </w:pPr>
            <w:r>
              <w:rPr>
                <w:sz w:val="20"/>
              </w:rPr>
              <w:t>66.9 ±</w:t>
            </w:r>
          </w:p>
          <w:p>
            <w:pPr>
              <w:pStyle w:val="TableParagraph"/>
              <w:spacing w:before="7"/>
              <w:rPr>
                <w:sz w:val="19"/>
              </w:rPr>
            </w:pPr>
          </w:p>
          <w:p>
            <w:pPr>
              <w:pStyle w:val="TableParagraph"/>
              <w:ind w:left="180"/>
              <w:rPr>
                <w:sz w:val="20"/>
              </w:rPr>
            </w:pPr>
            <w:r>
              <w:rPr>
                <w:sz w:val="20"/>
              </w:rPr>
              <w:t>1.14</w:t>
            </w:r>
          </w:p>
        </w:tc>
        <w:tc>
          <w:tcPr>
            <w:tcW w:w="886" w:type="dxa"/>
          </w:tcPr>
          <w:p>
            <w:pPr>
              <w:pStyle w:val="TableParagraph"/>
              <w:spacing w:before="105"/>
              <w:ind w:left="179"/>
              <w:rPr>
                <w:sz w:val="20"/>
              </w:rPr>
            </w:pPr>
            <w:r>
              <w:rPr>
                <w:sz w:val="20"/>
              </w:rPr>
              <w:t>68.7 ±</w:t>
            </w:r>
          </w:p>
          <w:p>
            <w:pPr>
              <w:pStyle w:val="TableParagraph"/>
              <w:spacing w:before="7"/>
              <w:rPr>
                <w:sz w:val="19"/>
              </w:rPr>
            </w:pPr>
          </w:p>
          <w:p>
            <w:pPr>
              <w:pStyle w:val="TableParagraph"/>
              <w:ind w:left="179"/>
              <w:rPr>
                <w:sz w:val="20"/>
              </w:rPr>
            </w:pPr>
            <w:r>
              <w:rPr>
                <w:sz w:val="20"/>
              </w:rPr>
              <w:t>1.14</w:t>
            </w:r>
          </w:p>
        </w:tc>
        <w:tc>
          <w:tcPr>
            <w:tcW w:w="922" w:type="dxa"/>
          </w:tcPr>
          <w:p>
            <w:pPr>
              <w:pStyle w:val="TableParagraph"/>
              <w:spacing w:before="105"/>
              <w:ind w:left="191"/>
              <w:rPr>
                <w:sz w:val="20"/>
              </w:rPr>
            </w:pPr>
            <w:r>
              <w:rPr>
                <w:sz w:val="20"/>
              </w:rPr>
              <w:t>6.87 ±</w:t>
            </w:r>
          </w:p>
          <w:p>
            <w:pPr>
              <w:pStyle w:val="TableParagraph"/>
              <w:spacing w:before="7"/>
              <w:rPr>
                <w:sz w:val="19"/>
              </w:rPr>
            </w:pPr>
          </w:p>
          <w:p>
            <w:pPr>
              <w:pStyle w:val="TableParagraph"/>
              <w:ind w:left="191"/>
              <w:rPr>
                <w:sz w:val="20"/>
              </w:rPr>
            </w:pPr>
            <w:r>
              <w:rPr>
                <w:sz w:val="20"/>
              </w:rPr>
              <w:t>0.04</w:t>
            </w:r>
          </w:p>
        </w:tc>
        <w:tc>
          <w:tcPr>
            <w:tcW w:w="1248" w:type="dxa"/>
          </w:tcPr>
          <w:p>
            <w:pPr>
              <w:pStyle w:val="TableParagraph"/>
              <w:spacing w:before="8"/>
              <w:rPr>
                <w:sz w:val="28"/>
              </w:rPr>
            </w:pPr>
          </w:p>
          <w:p>
            <w:pPr>
              <w:pStyle w:val="TableParagraph"/>
              <w:spacing w:before="1"/>
              <w:ind w:right="108"/>
              <w:jc w:val="right"/>
              <w:rPr>
                <w:sz w:val="13"/>
              </w:rPr>
            </w:pPr>
            <w:r>
              <w:rPr>
                <w:sz w:val="20"/>
              </w:rPr>
              <w:t>5.0 ± 0.07 </w:t>
            </w:r>
            <w:r>
              <w:rPr>
                <w:position w:val="7"/>
                <w:sz w:val="13"/>
              </w:rPr>
              <w:t>c</w:t>
            </w:r>
          </w:p>
        </w:tc>
        <w:tc>
          <w:tcPr>
            <w:tcW w:w="760" w:type="dxa"/>
          </w:tcPr>
          <w:p>
            <w:pPr>
              <w:pStyle w:val="TableParagraph"/>
              <w:spacing w:before="105"/>
              <w:ind w:left="110"/>
              <w:rPr>
                <w:sz w:val="20"/>
              </w:rPr>
            </w:pPr>
            <w:r>
              <w:rPr>
                <w:sz w:val="20"/>
              </w:rPr>
              <w:t>346.6 ±</w:t>
            </w:r>
          </w:p>
          <w:p>
            <w:pPr>
              <w:pStyle w:val="TableParagraph"/>
              <w:spacing w:before="2"/>
              <w:rPr>
                <w:sz w:val="19"/>
              </w:rPr>
            </w:pPr>
          </w:p>
          <w:p>
            <w:pPr>
              <w:pStyle w:val="TableParagraph"/>
              <w:spacing w:before="1"/>
              <w:ind w:left="110"/>
              <w:rPr>
                <w:sz w:val="13"/>
              </w:rPr>
            </w:pPr>
            <w:r>
              <w:rPr>
                <w:sz w:val="20"/>
              </w:rPr>
              <w:t>6.40 </w:t>
            </w:r>
            <w:r>
              <w:rPr>
                <w:position w:val="7"/>
                <w:sz w:val="13"/>
              </w:rPr>
              <w:t>a</w:t>
            </w:r>
          </w:p>
        </w:tc>
      </w:tr>
    </w:tbl>
    <w:p>
      <w:pPr>
        <w:pStyle w:val="BodyText"/>
        <w:spacing w:before="6"/>
        <w:rPr>
          <w:rFonts w:ascii="Times New Roman"/>
          <w:sz w:val="9"/>
        </w:rPr>
      </w:pPr>
      <w:r>
        <w:rPr/>
        <w:pict>
          <v:group style="position:absolute;margin-left:88.123001pt;margin-top:7.426111pt;width:435.1pt;height:1.45pt;mso-position-horizontal-relative:page;mso-position-vertical-relative:paragraph;z-index:3688;mso-wrap-distance-left:0;mso-wrap-distance-right:0" coordorigin="1762,149" coordsize="8702,29">
            <v:line style="position:absolute" from="1777,163" to="2771,163" stroked="true" strokeweight="1.44pt" strokecolor="#000000"/>
            <v:line style="position:absolute" from="2756,163" to="2785,163" stroked="true" strokeweight="1.44pt" strokecolor="#000000"/>
            <v:line style="position:absolute" from="2785,163" to="3649,163" stroked="true" strokeweight="1.44pt" strokecolor="#000000"/>
            <v:line style="position:absolute" from="3635,163" to="3664,163" stroked="true" strokeweight="1.44pt" strokecolor="#000000"/>
            <v:line style="position:absolute" from="3664,163" to="4523,163" stroked="true" strokeweight="1.44pt" strokecolor="#000000"/>
            <v:line style="position:absolute" from="4509,163" to="4538,163" stroked="true" strokeweight="1.44pt" strokecolor="#000000"/>
            <v:line style="position:absolute" from="4538,163" to="5398,163" stroked="true" strokeweight="1.44pt" strokecolor="#000000"/>
            <v:line style="position:absolute" from="5383,163" to="5412,163" stroked="true" strokeweight="1.44pt" strokecolor="#000000"/>
            <v:line style="position:absolute" from="5412,163" to="6271,163" stroked="true" strokeweight="1.44pt" strokecolor="#000000"/>
            <v:line style="position:absolute" from="6257,163" to="6286,163" stroked="true" strokeweight="1.44pt" strokecolor="#000000"/>
            <v:line style="position:absolute" from="6286,163" to="7174,163" stroked="true" strokeweight="1.44pt" strokecolor="#000000"/>
            <v:line style="position:absolute" from="7160,163" to="7188,163" stroked="true" strokeweight="1.44pt" strokecolor="#000000"/>
            <v:line style="position:absolute" from="7188,163" to="8115,163" stroked="true" strokeweight="1.44pt" strokecolor="#000000"/>
            <v:line style="position:absolute" from="8101,163" to="8130,163" stroked="true" strokeweight="1.44pt" strokecolor="#000000"/>
            <v:line style="position:absolute" from="8130,163" to="9258,163" stroked="true" strokeweight="1.44pt" strokecolor="#000000"/>
            <v:line style="position:absolute" from="9244,163" to="9273,163" stroked="true" strokeweight="1.44pt" strokecolor="#000000"/>
            <v:line style="position:absolute" from="9273,163" to="10449,163" stroked="true" strokeweight="1.44pt" strokecolor="#000000"/>
            <w10:wrap type="topAndBottom"/>
          </v:group>
        </w:pict>
      </w:r>
    </w:p>
    <w:p>
      <w:pPr>
        <w:spacing w:line="173" w:lineRule="exact" w:before="0"/>
        <w:ind w:left="299" w:right="0" w:firstLine="0"/>
        <w:jc w:val="left"/>
        <w:rPr>
          <w:rFonts w:ascii="Times New Roman"/>
          <w:sz w:val="18"/>
        </w:rPr>
      </w:pPr>
      <w:r>
        <w:rPr>
          <w:rFonts w:ascii="Times New Roman"/>
          <w:sz w:val="18"/>
        </w:rPr>
        <w:t>Note: </w:t>
      </w:r>
      <w:r>
        <w:rPr>
          <w:rFonts w:ascii="Times New Roman"/>
          <w:i/>
          <w:position w:val="7"/>
          <w:sz w:val="12"/>
        </w:rPr>
        <w:t>i  </w:t>
      </w:r>
      <w:r>
        <w:rPr>
          <w:rFonts w:ascii="Times New Roman"/>
          <w:sz w:val="18"/>
        </w:rPr>
        <w:t>SMH, safflower meal extracted with hexane; SMP, safflower meal extracted with petroleum ether; </w:t>
      </w:r>
      <w:r>
        <w:rPr>
          <w:rFonts w:ascii="Times New Roman"/>
          <w:i/>
          <w:position w:val="7"/>
          <w:sz w:val="12"/>
        </w:rPr>
        <w:t>ii </w:t>
      </w:r>
      <w:r>
        <w:rPr>
          <w:rFonts w:ascii="Times New Roman"/>
          <w:sz w:val="18"/>
        </w:rPr>
        <w:t>ME is</w:t>
      </w:r>
    </w:p>
    <w:p>
      <w:pPr>
        <w:pStyle w:val="BodyText"/>
        <w:spacing w:before="10"/>
        <w:rPr>
          <w:rFonts w:ascii="Times New Roman"/>
          <w:sz w:val="17"/>
        </w:rPr>
      </w:pPr>
    </w:p>
    <w:p>
      <w:pPr>
        <w:spacing w:before="0"/>
        <w:ind w:left="299" w:right="0" w:firstLine="0"/>
        <w:jc w:val="left"/>
        <w:rPr>
          <w:rFonts w:ascii="Times New Roman"/>
          <w:sz w:val="18"/>
        </w:rPr>
      </w:pPr>
      <w:r>
        <w:rPr>
          <w:rFonts w:ascii="Times New Roman"/>
          <w:sz w:val="18"/>
        </w:rPr>
        <w:t>metabolizable energy (MJ/kg); OMD is organic matter digestibility (g/kg).</w:t>
      </w:r>
    </w:p>
    <w:p>
      <w:pPr>
        <w:pStyle w:val="BodyText"/>
        <w:rPr>
          <w:rFonts w:ascii="Times New Roman"/>
          <w:sz w:val="18"/>
        </w:rPr>
      </w:pPr>
    </w:p>
    <w:p>
      <w:pPr>
        <w:pStyle w:val="BodyText"/>
        <w:rPr>
          <w:rFonts w:ascii="Times New Roman"/>
          <w:sz w:val="18"/>
        </w:rPr>
      </w:pPr>
    </w:p>
    <w:p>
      <w:pPr>
        <w:pStyle w:val="BodyText"/>
        <w:spacing w:before="4"/>
        <w:rPr>
          <w:rFonts w:ascii="Times New Roman"/>
          <w:sz w:val="25"/>
        </w:rPr>
      </w:pPr>
    </w:p>
    <w:p>
      <w:pPr>
        <w:spacing w:before="0"/>
        <w:ind w:left="583" w:right="0" w:firstLine="0"/>
        <w:jc w:val="left"/>
        <w:rPr>
          <w:rFonts w:ascii="Times New Roman"/>
          <w:sz w:val="22"/>
        </w:rPr>
      </w:pPr>
      <w:r>
        <w:rPr>
          <w:rFonts w:ascii="Times New Roman"/>
          <w:b/>
          <w:sz w:val="22"/>
        </w:rPr>
        <w:t>Table 4</w:t>
      </w:r>
      <w:r>
        <w:rPr>
          <w:rFonts w:ascii="Times New Roman"/>
          <w:sz w:val="22"/>
        </w:rPr>
        <w:t>. </w:t>
      </w:r>
      <w:r>
        <w:rPr>
          <w:rFonts w:ascii="Times New Roman"/>
          <w:i/>
          <w:sz w:val="22"/>
        </w:rPr>
        <w:t>In vitro </w:t>
      </w:r>
      <w:r>
        <w:rPr>
          <w:rFonts w:ascii="Times New Roman"/>
          <w:sz w:val="22"/>
        </w:rPr>
        <w:t>ruminal digestibility characteristics of safflower seed fractions (g/kg) at 48 h</w:t>
      </w:r>
    </w:p>
    <w:p>
      <w:pPr>
        <w:pStyle w:val="BodyText"/>
        <w:spacing w:before="6"/>
        <w:rPr>
          <w:rFonts w:ascii="Times New Roman"/>
          <w:sz w:val="19"/>
        </w:rPr>
      </w:pPr>
      <w:r>
        <w:rPr/>
        <w:pict>
          <v:group style="position:absolute;margin-left:75.834pt;margin-top:13.208601pt;width:460.35pt;height:1.5pt;mso-position-horizontal-relative:page;mso-position-vertical-relative:paragraph;z-index:3712;mso-wrap-distance-left:0;mso-wrap-distance-right:0" coordorigin="1517,264" coordsize="9207,30">
            <v:line style="position:absolute" from="1532,279" to="2838,279" stroked="true" strokeweight="1.464pt" strokecolor="#000000"/>
            <v:line style="position:absolute" from="2838,279" to="2867,279" stroked="true" strokeweight="1.464pt" strokecolor="#000000"/>
            <v:line style="position:absolute" from="2867,279" to="10708,279" stroked="true" strokeweight="1.464pt" strokecolor="#000000"/>
            <w10:wrap type="topAndBottom"/>
          </v:group>
        </w:pict>
      </w:r>
    </w:p>
    <w:p>
      <w:pPr>
        <w:spacing w:line="192" w:lineRule="exact" w:before="0"/>
        <w:ind w:left="3459" w:right="0" w:firstLine="0"/>
        <w:jc w:val="left"/>
        <w:rPr>
          <w:rFonts w:ascii="Times New Roman"/>
          <w:i/>
          <w:sz w:val="13"/>
        </w:rPr>
      </w:pPr>
      <w:r>
        <w:rPr>
          <w:rFonts w:ascii="Times New Roman"/>
          <w:b/>
          <w:i/>
          <w:sz w:val="20"/>
        </w:rPr>
        <w:t>In vitro </w:t>
      </w:r>
      <w:r>
        <w:rPr>
          <w:rFonts w:ascii="Times New Roman"/>
          <w:b/>
          <w:sz w:val="20"/>
        </w:rPr>
        <w:t>ruminal digestibility characteristics </w:t>
      </w:r>
      <w:r>
        <w:rPr>
          <w:rFonts w:ascii="Times New Roman"/>
          <w:i/>
          <w:position w:val="7"/>
          <w:sz w:val="13"/>
        </w:rPr>
        <w:t>ii</w:t>
      </w:r>
    </w:p>
    <w:p>
      <w:pPr>
        <w:tabs>
          <w:tab w:pos="1437" w:val="left" w:leader="none"/>
          <w:tab w:pos="9335" w:val="left" w:leader="none"/>
        </w:tabs>
        <w:spacing w:before="0" w:after="30"/>
        <w:ind w:left="242" w:right="0" w:firstLine="0"/>
        <w:jc w:val="left"/>
        <w:rPr>
          <w:rFonts w:ascii="Times New Roman"/>
          <w:i/>
          <w:sz w:val="13"/>
        </w:rPr>
      </w:pPr>
      <w:r>
        <w:rPr>
          <w:rFonts w:ascii="Times New Roman"/>
          <w:b/>
          <w:sz w:val="20"/>
        </w:rPr>
        <w:t>Items</w:t>
      </w:r>
      <w:r>
        <w:rPr>
          <w:rFonts w:ascii="Times New Roman"/>
          <w:b/>
          <w:spacing w:val="-7"/>
          <w:sz w:val="20"/>
        </w:rPr>
        <w:t> </w:t>
      </w:r>
      <w:r>
        <w:rPr>
          <w:rFonts w:ascii="Times New Roman"/>
          <w:i/>
          <w:position w:val="7"/>
          <w:sz w:val="13"/>
        </w:rPr>
        <w:t>i</w:t>
        <w:tab/>
      </w:r>
      <w:r>
        <w:rPr>
          <w:rFonts w:ascii="Times New Roman"/>
          <w:i/>
          <w:w w:val="99"/>
          <w:position w:val="7"/>
          <w:sz w:val="13"/>
          <w:u w:val="dotted"/>
        </w:rPr>
        <w:t> </w:t>
      </w:r>
      <w:r>
        <w:rPr>
          <w:rFonts w:ascii="Times New Roman"/>
          <w:i/>
          <w:position w:val="7"/>
          <w:sz w:val="13"/>
          <w:u w:val="dotted"/>
        </w:rPr>
        <w:tab/>
      </w: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1"/>
        <w:gridCol w:w="1615"/>
        <w:gridCol w:w="1584"/>
        <w:gridCol w:w="1645"/>
        <w:gridCol w:w="1503"/>
        <w:gridCol w:w="1578"/>
      </w:tblGrid>
      <w:tr>
        <w:trPr>
          <w:trHeight w:val="450" w:hRule="exact"/>
        </w:trPr>
        <w:tc>
          <w:tcPr>
            <w:tcW w:w="1251" w:type="dxa"/>
            <w:tcBorders>
              <w:bottom w:val="single" w:sz="4" w:space="0" w:color="000000"/>
            </w:tcBorders>
          </w:tcPr>
          <w:p>
            <w:pPr/>
          </w:p>
        </w:tc>
        <w:tc>
          <w:tcPr>
            <w:tcW w:w="1615" w:type="dxa"/>
            <w:tcBorders>
              <w:bottom w:val="single" w:sz="4" w:space="0" w:color="000000"/>
            </w:tcBorders>
          </w:tcPr>
          <w:p>
            <w:pPr>
              <w:pStyle w:val="TableParagraph"/>
              <w:spacing w:line="210" w:lineRule="exact"/>
              <w:ind w:left="144" w:right="102"/>
              <w:jc w:val="center"/>
              <w:rPr>
                <w:b/>
                <w:i/>
                <w:sz w:val="20"/>
              </w:rPr>
            </w:pPr>
            <w:r>
              <w:rPr>
                <w:b/>
                <w:i/>
                <w:sz w:val="20"/>
              </w:rPr>
              <w:t>IVDMD</w:t>
            </w:r>
          </w:p>
        </w:tc>
        <w:tc>
          <w:tcPr>
            <w:tcW w:w="1584" w:type="dxa"/>
            <w:tcBorders>
              <w:bottom w:val="single" w:sz="4" w:space="0" w:color="000000"/>
            </w:tcBorders>
          </w:tcPr>
          <w:p>
            <w:pPr>
              <w:pStyle w:val="TableParagraph"/>
              <w:spacing w:line="210" w:lineRule="exact"/>
              <w:ind w:left="103" w:right="108"/>
              <w:jc w:val="center"/>
              <w:rPr>
                <w:b/>
                <w:i/>
                <w:sz w:val="20"/>
              </w:rPr>
            </w:pPr>
            <w:r>
              <w:rPr>
                <w:b/>
                <w:sz w:val="20"/>
              </w:rPr>
              <w:t>Non-fiber_</w:t>
            </w:r>
            <w:r>
              <w:rPr>
                <w:b/>
                <w:i/>
                <w:sz w:val="20"/>
              </w:rPr>
              <w:t>d</w:t>
            </w:r>
          </w:p>
        </w:tc>
        <w:tc>
          <w:tcPr>
            <w:tcW w:w="1645" w:type="dxa"/>
            <w:tcBorders>
              <w:bottom w:val="single" w:sz="4" w:space="0" w:color="000000"/>
            </w:tcBorders>
          </w:tcPr>
          <w:p>
            <w:pPr>
              <w:pStyle w:val="TableParagraph"/>
              <w:spacing w:line="210" w:lineRule="exact"/>
              <w:ind w:left="115" w:right="161"/>
              <w:jc w:val="center"/>
              <w:rPr>
                <w:b/>
                <w:i/>
                <w:sz w:val="20"/>
              </w:rPr>
            </w:pPr>
            <w:r>
              <w:rPr>
                <w:b/>
                <w:sz w:val="20"/>
              </w:rPr>
              <w:t>Fiber_</w:t>
            </w:r>
            <w:r>
              <w:rPr>
                <w:b/>
                <w:i/>
                <w:sz w:val="20"/>
              </w:rPr>
              <w:t>d</w:t>
            </w:r>
          </w:p>
        </w:tc>
        <w:tc>
          <w:tcPr>
            <w:tcW w:w="1503" w:type="dxa"/>
            <w:tcBorders>
              <w:bottom w:val="single" w:sz="4" w:space="0" w:color="000000"/>
            </w:tcBorders>
          </w:tcPr>
          <w:p>
            <w:pPr>
              <w:pStyle w:val="TableParagraph"/>
              <w:spacing w:line="205" w:lineRule="exact"/>
              <w:ind w:left="161" w:right="175"/>
              <w:jc w:val="center"/>
              <w:rPr>
                <w:sz w:val="20"/>
              </w:rPr>
            </w:pPr>
            <w:r>
              <w:rPr>
                <w:b/>
                <w:sz w:val="20"/>
              </w:rPr>
              <w:t>NDF</w:t>
            </w:r>
            <w:r>
              <w:rPr>
                <w:b/>
                <w:i/>
                <w:sz w:val="20"/>
              </w:rPr>
              <w:t>d </w:t>
            </w:r>
            <w:r>
              <w:rPr>
                <w:sz w:val="20"/>
              </w:rPr>
              <w:t>(%)</w:t>
            </w:r>
          </w:p>
        </w:tc>
        <w:tc>
          <w:tcPr>
            <w:tcW w:w="1578" w:type="dxa"/>
            <w:tcBorders>
              <w:bottom w:val="single" w:sz="4" w:space="0" w:color="000000"/>
            </w:tcBorders>
          </w:tcPr>
          <w:p>
            <w:pPr>
              <w:pStyle w:val="TableParagraph"/>
              <w:spacing w:line="205" w:lineRule="exact"/>
              <w:ind w:left="221" w:right="189"/>
              <w:jc w:val="center"/>
              <w:rPr>
                <w:sz w:val="20"/>
              </w:rPr>
            </w:pPr>
            <w:r>
              <w:rPr>
                <w:b/>
                <w:sz w:val="20"/>
              </w:rPr>
              <w:t>ADF</w:t>
            </w:r>
            <w:r>
              <w:rPr>
                <w:b/>
                <w:i/>
                <w:sz w:val="20"/>
              </w:rPr>
              <w:t>d </w:t>
            </w:r>
            <w:r>
              <w:rPr>
                <w:sz w:val="20"/>
              </w:rPr>
              <w:t>(%)</w:t>
            </w:r>
          </w:p>
        </w:tc>
      </w:tr>
      <w:tr>
        <w:trPr>
          <w:trHeight w:val="347" w:hRule="exact"/>
        </w:trPr>
        <w:tc>
          <w:tcPr>
            <w:tcW w:w="1251" w:type="dxa"/>
            <w:tcBorders>
              <w:top w:val="single" w:sz="4" w:space="0" w:color="000000"/>
            </w:tcBorders>
          </w:tcPr>
          <w:p>
            <w:pPr>
              <w:pStyle w:val="TableParagraph"/>
              <w:spacing w:line="226" w:lineRule="exact"/>
              <w:ind w:left="110"/>
              <w:rPr>
                <w:b/>
                <w:sz w:val="20"/>
              </w:rPr>
            </w:pPr>
            <w:r>
              <w:rPr>
                <w:b/>
                <w:sz w:val="20"/>
              </w:rPr>
              <w:t>Hull</w:t>
            </w:r>
          </w:p>
        </w:tc>
        <w:tc>
          <w:tcPr>
            <w:tcW w:w="1615" w:type="dxa"/>
            <w:tcBorders>
              <w:top w:val="single" w:sz="4" w:space="0" w:color="000000"/>
            </w:tcBorders>
          </w:tcPr>
          <w:p>
            <w:pPr>
              <w:pStyle w:val="TableParagraph"/>
              <w:spacing w:line="221" w:lineRule="exact"/>
              <w:ind w:left="146" w:right="100"/>
              <w:jc w:val="center"/>
              <w:rPr>
                <w:sz w:val="13"/>
              </w:rPr>
            </w:pPr>
            <w:r>
              <w:rPr>
                <w:sz w:val="20"/>
              </w:rPr>
              <w:t>177.47 ± 17.74 </w:t>
            </w:r>
            <w:r>
              <w:rPr>
                <w:position w:val="7"/>
                <w:sz w:val="13"/>
              </w:rPr>
              <w:t>c</w:t>
            </w:r>
          </w:p>
        </w:tc>
        <w:tc>
          <w:tcPr>
            <w:tcW w:w="1584" w:type="dxa"/>
            <w:tcBorders>
              <w:top w:val="single" w:sz="4" w:space="0" w:color="000000"/>
            </w:tcBorders>
          </w:tcPr>
          <w:p>
            <w:pPr>
              <w:pStyle w:val="TableParagraph"/>
              <w:spacing w:line="221" w:lineRule="exact"/>
              <w:ind w:left="103" w:right="115"/>
              <w:jc w:val="center"/>
              <w:rPr>
                <w:sz w:val="13"/>
              </w:rPr>
            </w:pPr>
            <w:r>
              <w:rPr>
                <w:sz w:val="20"/>
              </w:rPr>
              <w:t>11.70 ± 3.05 </w:t>
            </w:r>
            <w:r>
              <w:rPr>
                <w:position w:val="7"/>
                <w:sz w:val="13"/>
              </w:rPr>
              <w:t>d</w:t>
            </w:r>
          </w:p>
        </w:tc>
        <w:tc>
          <w:tcPr>
            <w:tcW w:w="1645" w:type="dxa"/>
            <w:tcBorders>
              <w:top w:val="single" w:sz="4" w:space="0" w:color="000000"/>
            </w:tcBorders>
          </w:tcPr>
          <w:p>
            <w:pPr>
              <w:pStyle w:val="TableParagraph"/>
              <w:spacing w:line="221" w:lineRule="exact"/>
              <w:ind w:left="118" w:right="161"/>
              <w:jc w:val="center"/>
              <w:rPr>
                <w:sz w:val="13"/>
              </w:rPr>
            </w:pPr>
            <w:r>
              <w:rPr>
                <w:sz w:val="20"/>
              </w:rPr>
              <w:t>165.78 ± 22.37 </w:t>
            </w:r>
            <w:r>
              <w:rPr>
                <w:position w:val="7"/>
                <w:sz w:val="13"/>
              </w:rPr>
              <w:t>b</w:t>
            </w:r>
          </w:p>
        </w:tc>
        <w:tc>
          <w:tcPr>
            <w:tcW w:w="1503" w:type="dxa"/>
            <w:tcBorders>
              <w:top w:val="single" w:sz="4" w:space="0" w:color="000000"/>
            </w:tcBorders>
          </w:tcPr>
          <w:p>
            <w:pPr>
              <w:pStyle w:val="TableParagraph"/>
              <w:spacing w:line="221" w:lineRule="exact"/>
              <w:ind w:left="161" w:right="175"/>
              <w:jc w:val="center"/>
              <w:rPr>
                <w:sz w:val="13"/>
              </w:rPr>
            </w:pPr>
            <w:r>
              <w:rPr>
                <w:sz w:val="20"/>
              </w:rPr>
              <w:t>12.50 ± 1.55 </w:t>
            </w:r>
            <w:r>
              <w:rPr>
                <w:position w:val="7"/>
                <w:sz w:val="13"/>
              </w:rPr>
              <w:t>c</w:t>
            </w:r>
          </w:p>
        </w:tc>
        <w:tc>
          <w:tcPr>
            <w:tcW w:w="1578" w:type="dxa"/>
            <w:tcBorders>
              <w:top w:val="single" w:sz="4" w:space="0" w:color="000000"/>
            </w:tcBorders>
          </w:tcPr>
          <w:p>
            <w:pPr>
              <w:pStyle w:val="TableParagraph"/>
              <w:spacing w:line="221" w:lineRule="exact"/>
              <w:ind w:left="221" w:right="189"/>
              <w:jc w:val="center"/>
              <w:rPr>
                <w:sz w:val="13"/>
              </w:rPr>
            </w:pPr>
            <w:r>
              <w:rPr>
                <w:sz w:val="20"/>
              </w:rPr>
              <w:t>10.50 ± 1.77 </w:t>
            </w:r>
            <w:r>
              <w:rPr>
                <w:position w:val="7"/>
                <w:sz w:val="13"/>
              </w:rPr>
              <w:t>c</w:t>
            </w:r>
          </w:p>
        </w:tc>
      </w:tr>
      <w:tr>
        <w:trPr>
          <w:trHeight w:val="461" w:hRule="exact"/>
        </w:trPr>
        <w:tc>
          <w:tcPr>
            <w:tcW w:w="1251" w:type="dxa"/>
          </w:tcPr>
          <w:p>
            <w:pPr>
              <w:pStyle w:val="TableParagraph"/>
              <w:spacing w:before="114"/>
              <w:ind w:left="110"/>
              <w:rPr>
                <w:b/>
                <w:sz w:val="20"/>
              </w:rPr>
            </w:pPr>
            <w:r>
              <w:rPr>
                <w:b/>
                <w:sz w:val="20"/>
              </w:rPr>
              <w:t>Kernel</w:t>
            </w:r>
          </w:p>
        </w:tc>
        <w:tc>
          <w:tcPr>
            <w:tcW w:w="1615" w:type="dxa"/>
          </w:tcPr>
          <w:p>
            <w:pPr>
              <w:pStyle w:val="TableParagraph"/>
              <w:spacing w:before="105"/>
              <w:ind w:left="146" w:right="100"/>
              <w:jc w:val="center"/>
              <w:rPr>
                <w:sz w:val="13"/>
              </w:rPr>
            </w:pPr>
            <w:r>
              <w:rPr>
                <w:sz w:val="20"/>
              </w:rPr>
              <w:t>676.62 ± 56.92 </w:t>
            </w:r>
            <w:r>
              <w:rPr>
                <w:position w:val="7"/>
                <w:sz w:val="13"/>
              </w:rPr>
              <w:t>a</w:t>
            </w:r>
          </w:p>
        </w:tc>
        <w:tc>
          <w:tcPr>
            <w:tcW w:w="1584" w:type="dxa"/>
          </w:tcPr>
          <w:p>
            <w:pPr>
              <w:pStyle w:val="TableParagraph"/>
              <w:spacing w:before="105"/>
              <w:ind w:left="103" w:right="113"/>
              <w:jc w:val="center"/>
              <w:rPr>
                <w:sz w:val="13"/>
              </w:rPr>
            </w:pPr>
            <w:r>
              <w:rPr>
                <w:sz w:val="20"/>
              </w:rPr>
              <w:t>297.05 ± 42.66 </w:t>
            </w:r>
            <w:r>
              <w:rPr>
                <w:position w:val="7"/>
                <w:sz w:val="13"/>
              </w:rPr>
              <w:t>a</w:t>
            </w:r>
          </w:p>
        </w:tc>
        <w:tc>
          <w:tcPr>
            <w:tcW w:w="1645" w:type="dxa"/>
          </w:tcPr>
          <w:p>
            <w:pPr>
              <w:pStyle w:val="TableParagraph"/>
              <w:spacing w:before="105"/>
              <w:ind w:left="118" w:right="159"/>
              <w:jc w:val="center"/>
              <w:rPr>
                <w:sz w:val="13"/>
              </w:rPr>
            </w:pPr>
            <w:r>
              <w:rPr>
                <w:sz w:val="20"/>
              </w:rPr>
              <w:t>379.57 ± 22.33 </w:t>
            </w:r>
            <w:r>
              <w:rPr>
                <w:position w:val="7"/>
                <w:sz w:val="13"/>
              </w:rPr>
              <w:t>a</w:t>
            </w:r>
          </w:p>
        </w:tc>
        <w:tc>
          <w:tcPr>
            <w:tcW w:w="1503" w:type="dxa"/>
          </w:tcPr>
          <w:p>
            <w:pPr>
              <w:pStyle w:val="TableParagraph"/>
              <w:spacing w:before="105"/>
              <w:ind w:left="161" w:right="175"/>
              <w:jc w:val="center"/>
              <w:rPr>
                <w:sz w:val="13"/>
              </w:rPr>
            </w:pPr>
            <w:r>
              <w:rPr>
                <w:sz w:val="20"/>
              </w:rPr>
              <w:t>98.53 ± 4.50 </w:t>
            </w:r>
            <w:r>
              <w:rPr>
                <w:position w:val="7"/>
                <w:sz w:val="13"/>
              </w:rPr>
              <w:t>a</w:t>
            </w:r>
          </w:p>
        </w:tc>
        <w:tc>
          <w:tcPr>
            <w:tcW w:w="1578" w:type="dxa"/>
          </w:tcPr>
          <w:p>
            <w:pPr>
              <w:pStyle w:val="TableParagraph"/>
              <w:spacing w:before="105"/>
              <w:ind w:left="195"/>
              <w:rPr>
                <w:sz w:val="13"/>
              </w:rPr>
            </w:pPr>
            <w:r>
              <w:rPr>
                <w:sz w:val="20"/>
              </w:rPr>
              <w:t>107.73 ± 8.77 </w:t>
            </w:r>
            <w:r>
              <w:rPr>
                <w:position w:val="7"/>
                <w:sz w:val="13"/>
              </w:rPr>
              <w:t>a</w:t>
            </w:r>
          </w:p>
        </w:tc>
      </w:tr>
      <w:tr>
        <w:trPr>
          <w:trHeight w:val="459" w:hRule="exact"/>
        </w:trPr>
        <w:tc>
          <w:tcPr>
            <w:tcW w:w="1251" w:type="dxa"/>
          </w:tcPr>
          <w:p>
            <w:pPr>
              <w:pStyle w:val="TableParagraph"/>
              <w:spacing w:before="114"/>
              <w:ind w:left="110"/>
              <w:rPr>
                <w:b/>
                <w:sz w:val="20"/>
              </w:rPr>
            </w:pPr>
            <w:r>
              <w:rPr>
                <w:b/>
                <w:sz w:val="20"/>
              </w:rPr>
              <w:t>Whole seed</w:t>
            </w:r>
          </w:p>
        </w:tc>
        <w:tc>
          <w:tcPr>
            <w:tcW w:w="1615" w:type="dxa"/>
          </w:tcPr>
          <w:p>
            <w:pPr>
              <w:pStyle w:val="TableParagraph"/>
              <w:spacing w:before="105"/>
              <w:ind w:left="146" w:right="102"/>
              <w:jc w:val="center"/>
              <w:rPr>
                <w:sz w:val="13"/>
              </w:rPr>
            </w:pPr>
            <w:r>
              <w:rPr>
                <w:sz w:val="20"/>
              </w:rPr>
              <w:t>382.22 ± 26.18 </w:t>
            </w:r>
            <w:r>
              <w:rPr>
                <w:position w:val="7"/>
                <w:sz w:val="13"/>
              </w:rPr>
              <w:t>b</w:t>
            </w:r>
          </w:p>
        </w:tc>
        <w:tc>
          <w:tcPr>
            <w:tcW w:w="1584" w:type="dxa"/>
          </w:tcPr>
          <w:p>
            <w:pPr>
              <w:pStyle w:val="TableParagraph"/>
              <w:spacing w:before="105"/>
              <w:ind w:left="103" w:right="113"/>
              <w:jc w:val="center"/>
              <w:rPr>
                <w:sz w:val="13"/>
              </w:rPr>
            </w:pPr>
            <w:r>
              <w:rPr>
                <w:sz w:val="20"/>
              </w:rPr>
              <w:t>36.04 ± 14.40 </w:t>
            </w:r>
            <w:r>
              <w:rPr>
                <w:position w:val="7"/>
                <w:sz w:val="13"/>
              </w:rPr>
              <w:t>c</w:t>
            </w:r>
          </w:p>
        </w:tc>
        <w:tc>
          <w:tcPr>
            <w:tcW w:w="1645" w:type="dxa"/>
          </w:tcPr>
          <w:p>
            <w:pPr>
              <w:pStyle w:val="TableParagraph"/>
              <w:spacing w:before="105"/>
              <w:ind w:left="118" w:right="159"/>
              <w:jc w:val="center"/>
              <w:rPr>
                <w:sz w:val="13"/>
              </w:rPr>
            </w:pPr>
            <w:r>
              <w:rPr>
                <w:sz w:val="20"/>
              </w:rPr>
              <w:t>346.18 ± 31.85 </w:t>
            </w:r>
            <w:r>
              <w:rPr>
                <w:position w:val="7"/>
                <w:sz w:val="13"/>
              </w:rPr>
              <w:t>a</w:t>
            </w:r>
          </w:p>
        </w:tc>
        <w:tc>
          <w:tcPr>
            <w:tcW w:w="1503" w:type="dxa"/>
          </w:tcPr>
          <w:p>
            <w:pPr>
              <w:pStyle w:val="TableParagraph"/>
              <w:spacing w:before="105"/>
              <w:ind w:left="163" w:right="175"/>
              <w:jc w:val="center"/>
              <w:rPr>
                <w:sz w:val="13"/>
              </w:rPr>
            </w:pPr>
            <w:r>
              <w:rPr>
                <w:sz w:val="20"/>
              </w:rPr>
              <w:t>36.84 ± 2.79 </w:t>
            </w:r>
            <w:r>
              <w:rPr>
                <w:position w:val="7"/>
                <w:sz w:val="13"/>
              </w:rPr>
              <w:t>b</w:t>
            </w:r>
          </w:p>
        </w:tc>
        <w:tc>
          <w:tcPr>
            <w:tcW w:w="1578" w:type="dxa"/>
          </w:tcPr>
          <w:p>
            <w:pPr>
              <w:pStyle w:val="TableParagraph"/>
              <w:spacing w:before="105"/>
              <w:ind w:left="223" w:right="189"/>
              <w:jc w:val="center"/>
              <w:rPr>
                <w:sz w:val="13"/>
              </w:rPr>
            </w:pPr>
            <w:r>
              <w:rPr>
                <w:sz w:val="20"/>
              </w:rPr>
              <w:t>39.66 ± 4.56 </w:t>
            </w:r>
            <w:r>
              <w:rPr>
                <w:position w:val="7"/>
                <w:sz w:val="13"/>
              </w:rPr>
              <w:t>b</w:t>
            </w:r>
          </w:p>
        </w:tc>
      </w:tr>
      <w:tr>
        <w:trPr>
          <w:trHeight w:val="458" w:hRule="exact"/>
        </w:trPr>
        <w:tc>
          <w:tcPr>
            <w:tcW w:w="1251" w:type="dxa"/>
          </w:tcPr>
          <w:p>
            <w:pPr>
              <w:pStyle w:val="TableParagraph"/>
              <w:spacing w:before="112"/>
              <w:ind w:left="110"/>
              <w:rPr>
                <w:b/>
                <w:sz w:val="20"/>
              </w:rPr>
            </w:pPr>
            <w:r>
              <w:rPr>
                <w:b/>
                <w:sz w:val="20"/>
              </w:rPr>
              <w:t>SMH</w:t>
            </w:r>
          </w:p>
        </w:tc>
        <w:tc>
          <w:tcPr>
            <w:tcW w:w="1615" w:type="dxa"/>
          </w:tcPr>
          <w:p>
            <w:pPr>
              <w:pStyle w:val="TableParagraph"/>
              <w:spacing w:before="102"/>
              <w:ind w:left="146" w:right="102"/>
              <w:jc w:val="center"/>
              <w:rPr>
                <w:sz w:val="13"/>
              </w:rPr>
            </w:pPr>
            <w:r>
              <w:rPr>
                <w:sz w:val="20"/>
              </w:rPr>
              <w:t>397.92 ± 20.48 </w:t>
            </w:r>
            <w:r>
              <w:rPr>
                <w:position w:val="7"/>
                <w:sz w:val="13"/>
              </w:rPr>
              <w:t>b</w:t>
            </w:r>
          </w:p>
        </w:tc>
        <w:tc>
          <w:tcPr>
            <w:tcW w:w="1584" w:type="dxa"/>
          </w:tcPr>
          <w:p>
            <w:pPr>
              <w:pStyle w:val="TableParagraph"/>
              <w:spacing w:before="102"/>
              <w:ind w:left="103" w:right="115"/>
              <w:jc w:val="center"/>
              <w:rPr>
                <w:sz w:val="13"/>
              </w:rPr>
            </w:pPr>
            <w:r>
              <w:rPr>
                <w:sz w:val="20"/>
              </w:rPr>
              <w:t>239.12 ± 14.01 </w:t>
            </w:r>
            <w:r>
              <w:rPr>
                <w:position w:val="7"/>
                <w:sz w:val="13"/>
              </w:rPr>
              <w:t>b</w:t>
            </w:r>
          </w:p>
        </w:tc>
        <w:tc>
          <w:tcPr>
            <w:tcW w:w="1645" w:type="dxa"/>
          </w:tcPr>
          <w:p>
            <w:pPr>
              <w:pStyle w:val="TableParagraph"/>
              <w:spacing w:before="102"/>
              <w:ind w:left="118" w:right="161"/>
              <w:jc w:val="center"/>
              <w:rPr>
                <w:sz w:val="13"/>
              </w:rPr>
            </w:pPr>
            <w:r>
              <w:rPr>
                <w:sz w:val="20"/>
              </w:rPr>
              <w:t>158.80 ± 18.09 </w:t>
            </w:r>
            <w:r>
              <w:rPr>
                <w:position w:val="7"/>
                <w:sz w:val="13"/>
              </w:rPr>
              <w:t>b</w:t>
            </w:r>
          </w:p>
        </w:tc>
        <w:tc>
          <w:tcPr>
            <w:tcW w:w="1503" w:type="dxa"/>
          </w:tcPr>
          <w:p>
            <w:pPr>
              <w:pStyle w:val="TableParagraph"/>
              <w:spacing w:before="102"/>
              <w:ind w:left="161" w:right="175"/>
              <w:jc w:val="center"/>
              <w:rPr>
                <w:sz w:val="13"/>
              </w:rPr>
            </w:pPr>
            <w:r>
              <w:rPr>
                <w:sz w:val="20"/>
              </w:rPr>
              <w:t>16.60 ± 1.35 </w:t>
            </w:r>
            <w:r>
              <w:rPr>
                <w:position w:val="7"/>
                <w:sz w:val="13"/>
              </w:rPr>
              <w:t>c</w:t>
            </w:r>
          </w:p>
        </w:tc>
        <w:tc>
          <w:tcPr>
            <w:tcW w:w="1578" w:type="dxa"/>
          </w:tcPr>
          <w:p>
            <w:pPr>
              <w:pStyle w:val="TableParagraph"/>
              <w:spacing w:before="102"/>
              <w:ind w:left="221" w:right="189"/>
              <w:jc w:val="center"/>
              <w:rPr>
                <w:sz w:val="13"/>
              </w:rPr>
            </w:pPr>
            <w:r>
              <w:rPr>
                <w:sz w:val="20"/>
              </w:rPr>
              <w:t>11.58 ± 2.20 </w:t>
            </w:r>
            <w:r>
              <w:rPr>
                <w:position w:val="7"/>
                <w:sz w:val="13"/>
              </w:rPr>
              <w:t>c</w:t>
            </w:r>
          </w:p>
        </w:tc>
      </w:tr>
      <w:tr>
        <w:trPr>
          <w:trHeight w:val="441" w:hRule="exact"/>
        </w:trPr>
        <w:tc>
          <w:tcPr>
            <w:tcW w:w="1251" w:type="dxa"/>
          </w:tcPr>
          <w:p>
            <w:pPr>
              <w:pStyle w:val="TableParagraph"/>
              <w:spacing w:before="114"/>
              <w:ind w:left="110"/>
              <w:rPr>
                <w:b/>
                <w:sz w:val="20"/>
              </w:rPr>
            </w:pPr>
            <w:r>
              <w:rPr>
                <w:b/>
                <w:sz w:val="20"/>
              </w:rPr>
              <w:t>SMP</w:t>
            </w:r>
          </w:p>
        </w:tc>
        <w:tc>
          <w:tcPr>
            <w:tcW w:w="1615" w:type="dxa"/>
          </w:tcPr>
          <w:p>
            <w:pPr>
              <w:pStyle w:val="TableParagraph"/>
              <w:spacing w:before="105"/>
              <w:ind w:left="146" w:right="102"/>
              <w:jc w:val="center"/>
              <w:rPr>
                <w:sz w:val="13"/>
              </w:rPr>
            </w:pPr>
            <w:r>
              <w:rPr>
                <w:sz w:val="20"/>
              </w:rPr>
              <w:t>374.28 ± 14.66 </w:t>
            </w:r>
            <w:r>
              <w:rPr>
                <w:position w:val="7"/>
                <w:sz w:val="13"/>
              </w:rPr>
              <w:t>b</w:t>
            </w:r>
          </w:p>
        </w:tc>
        <w:tc>
          <w:tcPr>
            <w:tcW w:w="1584" w:type="dxa"/>
          </w:tcPr>
          <w:p>
            <w:pPr>
              <w:pStyle w:val="TableParagraph"/>
              <w:spacing w:before="105"/>
              <w:ind w:left="103" w:right="115"/>
              <w:jc w:val="center"/>
              <w:rPr>
                <w:sz w:val="13"/>
              </w:rPr>
            </w:pPr>
            <w:r>
              <w:rPr>
                <w:sz w:val="20"/>
              </w:rPr>
              <w:t>204.73 ± 19.08 </w:t>
            </w:r>
            <w:r>
              <w:rPr>
                <w:position w:val="7"/>
                <w:sz w:val="13"/>
              </w:rPr>
              <w:t>b</w:t>
            </w:r>
          </w:p>
        </w:tc>
        <w:tc>
          <w:tcPr>
            <w:tcW w:w="1645" w:type="dxa"/>
          </w:tcPr>
          <w:p>
            <w:pPr>
              <w:pStyle w:val="TableParagraph"/>
              <w:spacing w:before="105"/>
              <w:ind w:left="118" w:right="161"/>
              <w:jc w:val="center"/>
              <w:rPr>
                <w:sz w:val="13"/>
              </w:rPr>
            </w:pPr>
            <w:r>
              <w:rPr>
                <w:sz w:val="20"/>
              </w:rPr>
              <w:t>169.54 ± 11.42 </w:t>
            </w:r>
            <w:r>
              <w:rPr>
                <w:position w:val="7"/>
                <w:sz w:val="13"/>
              </w:rPr>
              <w:t>b</w:t>
            </w:r>
          </w:p>
        </w:tc>
        <w:tc>
          <w:tcPr>
            <w:tcW w:w="1503" w:type="dxa"/>
          </w:tcPr>
          <w:p>
            <w:pPr>
              <w:pStyle w:val="TableParagraph"/>
              <w:spacing w:before="105"/>
              <w:ind w:left="161" w:right="175"/>
              <w:jc w:val="center"/>
              <w:rPr>
                <w:sz w:val="13"/>
              </w:rPr>
            </w:pPr>
            <w:r>
              <w:rPr>
                <w:sz w:val="20"/>
              </w:rPr>
              <w:t>15.82 ± 1.33 </w:t>
            </w:r>
            <w:r>
              <w:rPr>
                <w:position w:val="7"/>
                <w:sz w:val="13"/>
              </w:rPr>
              <w:t>c</w:t>
            </w:r>
          </w:p>
        </w:tc>
        <w:tc>
          <w:tcPr>
            <w:tcW w:w="1578" w:type="dxa"/>
          </w:tcPr>
          <w:p>
            <w:pPr>
              <w:pStyle w:val="TableParagraph"/>
              <w:spacing w:before="105"/>
              <w:ind w:left="221" w:right="189"/>
              <w:jc w:val="center"/>
              <w:rPr>
                <w:sz w:val="13"/>
              </w:rPr>
            </w:pPr>
            <w:r>
              <w:rPr>
                <w:sz w:val="20"/>
              </w:rPr>
              <w:t>14.58 ± 0.68 </w:t>
            </w:r>
            <w:r>
              <w:rPr>
                <w:position w:val="7"/>
                <w:sz w:val="13"/>
              </w:rPr>
              <w:t>c</w:t>
            </w:r>
          </w:p>
        </w:tc>
      </w:tr>
    </w:tbl>
    <w:p>
      <w:pPr>
        <w:pStyle w:val="BodyText"/>
        <w:spacing w:before="7"/>
        <w:rPr>
          <w:rFonts w:ascii="Times New Roman"/>
          <w:i/>
          <w:sz w:val="8"/>
        </w:rPr>
      </w:pPr>
      <w:r>
        <w:rPr/>
        <w:pict>
          <v:group style="position:absolute;margin-left:75.139pt;margin-top:6.946111pt;width:461pt;height:1.45pt;mso-position-horizontal-relative:page;mso-position-vertical-relative:paragraph;z-index:3736;mso-wrap-distance-left:0;mso-wrap-distance-right:0" coordorigin="1503,139" coordsize="9220,29">
            <v:line style="position:absolute" from="1517,153" to="2838,153" stroked="true" strokeweight="1.44pt" strokecolor="#000000"/>
            <v:line style="position:absolute" from="2823,153" to="2852,153" stroked="true" strokeweight="1.44pt" strokecolor="#000000"/>
            <v:line style="position:absolute" from="2852,153" to="4384,153" stroked="true" strokeweight="1.44pt" strokecolor="#000000"/>
            <v:line style="position:absolute" from="4370,153" to="4399,153" stroked="true" strokeweight="1.44pt" strokecolor="#000000"/>
            <v:line style="position:absolute" from="4399,153" to="5983,153" stroked="true" strokeweight="1.44pt" strokecolor="#000000"/>
            <v:line style="position:absolute" from="5969,153" to="5998,153" stroked="true" strokeweight="1.44pt" strokecolor="#000000"/>
            <v:line style="position:absolute" from="5998,153" to="7572,153" stroked="true" strokeweight="1.44pt" strokecolor="#000000"/>
            <v:line style="position:absolute" from="7558,153" to="7587,153" stroked="true" strokeweight="1.44pt" strokecolor="#000000"/>
            <v:line style="position:absolute" from="7587,153" to="9167,153" stroked="true" strokeweight="1.44pt" strokecolor="#000000"/>
            <v:line style="position:absolute" from="9153,153" to="9181,153" stroked="true" strokeweight="1.44pt" strokecolor="#000000"/>
            <v:line style="position:absolute" from="9181,153" to="10708,153" stroked="true" strokeweight="1.44pt" strokecolor="#000000"/>
            <w10:wrap type="topAndBottom"/>
          </v:group>
        </w:pict>
      </w:r>
    </w:p>
    <w:p>
      <w:pPr>
        <w:spacing w:line="192" w:lineRule="exact" w:before="0"/>
        <w:ind w:left="299" w:right="0" w:firstLine="0"/>
        <w:jc w:val="both"/>
        <w:rPr>
          <w:rFonts w:ascii="Times New Roman"/>
          <w:i/>
          <w:sz w:val="13"/>
        </w:rPr>
      </w:pPr>
      <w:r>
        <w:rPr>
          <w:rFonts w:ascii="Times New Roman"/>
          <w:sz w:val="18"/>
        </w:rPr>
        <w:t>Note: </w:t>
      </w:r>
      <w:r>
        <w:rPr>
          <w:rFonts w:ascii="Times New Roman"/>
          <w:i/>
          <w:position w:val="7"/>
          <w:sz w:val="13"/>
        </w:rPr>
        <w:t>i  </w:t>
      </w:r>
      <w:r>
        <w:rPr>
          <w:rFonts w:ascii="Times New Roman"/>
          <w:sz w:val="20"/>
        </w:rPr>
        <w:t>SMH, safflower meal extracted with hexane; SMP, safflower meal extracted with petroleum ether; </w:t>
      </w:r>
      <w:r>
        <w:rPr>
          <w:rFonts w:ascii="Times New Roman"/>
          <w:i/>
          <w:position w:val="7"/>
          <w:sz w:val="13"/>
        </w:rPr>
        <w:t>ii</w:t>
      </w:r>
    </w:p>
    <w:p>
      <w:pPr>
        <w:pStyle w:val="BodyText"/>
        <w:rPr>
          <w:rFonts w:ascii="Times New Roman"/>
          <w:i/>
          <w:sz w:val="20"/>
        </w:rPr>
      </w:pPr>
    </w:p>
    <w:p>
      <w:pPr>
        <w:spacing w:line="480" w:lineRule="auto" w:before="1"/>
        <w:ind w:left="299" w:right="293" w:firstLine="0"/>
        <w:jc w:val="both"/>
        <w:rPr>
          <w:rFonts w:ascii="Times New Roman"/>
          <w:sz w:val="20"/>
        </w:rPr>
      </w:pPr>
      <w:r>
        <w:rPr>
          <w:rFonts w:ascii="Times New Roman"/>
          <w:i/>
          <w:sz w:val="20"/>
        </w:rPr>
        <w:t>IVDMD</w:t>
      </w:r>
      <w:r>
        <w:rPr>
          <w:rFonts w:ascii="Times New Roman"/>
          <w:sz w:val="20"/>
        </w:rPr>
        <w:t>, </w:t>
      </w:r>
      <w:r>
        <w:rPr>
          <w:rFonts w:ascii="Times New Roman"/>
          <w:i/>
          <w:sz w:val="20"/>
        </w:rPr>
        <w:t>in vitro </w:t>
      </w:r>
      <w:r>
        <w:rPr>
          <w:rFonts w:ascii="Times New Roman"/>
          <w:sz w:val="20"/>
        </w:rPr>
        <w:t>dry matter disappearance; Non-fiber_d is non </w:t>
      </w:r>
      <w:r>
        <w:rPr>
          <w:rFonts w:ascii="Times New Roman"/>
          <w:spacing w:val="-3"/>
          <w:sz w:val="20"/>
        </w:rPr>
        <w:t>fiber </w:t>
      </w:r>
      <w:r>
        <w:rPr>
          <w:rFonts w:ascii="Times New Roman"/>
          <w:sz w:val="20"/>
        </w:rPr>
        <w:t>digestibility; Fiber_d is  </w:t>
      </w:r>
      <w:r>
        <w:rPr>
          <w:rFonts w:ascii="Times New Roman"/>
          <w:spacing w:val="-3"/>
          <w:sz w:val="20"/>
        </w:rPr>
        <w:t>fiber  </w:t>
      </w:r>
      <w:r>
        <w:rPr>
          <w:rFonts w:ascii="Times New Roman"/>
          <w:sz w:val="20"/>
        </w:rPr>
        <w:t>digestibility; NDF</w:t>
      </w:r>
      <w:r>
        <w:rPr>
          <w:rFonts w:ascii="Times New Roman"/>
          <w:i/>
          <w:sz w:val="20"/>
        </w:rPr>
        <w:t>d</w:t>
      </w:r>
      <w:r>
        <w:rPr>
          <w:rFonts w:ascii="Times New Roman"/>
          <w:sz w:val="20"/>
        </w:rPr>
        <w:t>, </w:t>
      </w:r>
      <w:r>
        <w:rPr>
          <w:rFonts w:ascii="Times New Roman"/>
          <w:i/>
          <w:sz w:val="20"/>
        </w:rPr>
        <w:t>in vitro </w:t>
      </w:r>
      <w:r>
        <w:rPr>
          <w:rFonts w:ascii="Times New Roman"/>
          <w:sz w:val="20"/>
        </w:rPr>
        <w:t>neutral detergent </w:t>
      </w:r>
      <w:r>
        <w:rPr>
          <w:rFonts w:ascii="Times New Roman"/>
          <w:spacing w:val="-3"/>
          <w:sz w:val="20"/>
        </w:rPr>
        <w:t>fiber </w:t>
      </w:r>
      <w:r>
        <w:rPr>
          <w:rFonts w:ascii="Times New Roman"/>
          <w:sz w:val="20"/>
        </w:rPr>
        <w:t>disappearance including ashes; ADF</w:t>
      </w:r>
      <w:r>
        <w:rPr>
          <w:rFonts w:ascii="Times New Roman"/>
          <w:i/>
          <w:sz w:val="20"/>
        </w:rPr>
        <w:t>d</w:t>
      </w:r>
      <w:r>
        <w:rPr>
          <w:rFonts w:ascii="Times New Roman"/>
          <w:sz w:val="20"/>
        </w:rPr>
        <w:t>, </w:t>
      </w:r>
      <w:r>
        <w:rPr>
          <w:rFonts w:ascii="Times New Roman"/>
          <w:i/>
          <w:sz w:val="20"/>
        </w:rPr>
        <w:t>in vitro </w:t>
      </w:r>
      <w:r>
        <w:rPr>
          <w:rFonts w:ascii="Times New Roman"/>
          <w:sz w:val="20"/>
        </w:rPr>
        <w:t>acid detergent </w:t>
      </w:r>
      <w:r>
        <w:rPr>
          <w:rFonts w:ascii="Times New Roman"/>
          <w:spacing w:val="-3"/>
          <w:sz w:val="20"/>
        </w:rPr>
        <w:t>fiber </w:t>
      </w:r>
      <w:r>
        <w:rPr>
          <w:rFonts w:ascii="Times New Roman"/>
          <w:sz w:val="20"/>
        </w:rPr>
        <w:t>disappearance including</w:t>
      </w:r>
      <w:r>
        <w:rPr>
          <w:rFonts w:ascii="Times New Roman"/>
          <w:spacing w:val="6"/>
          <w:sz w:val="20"/>
        </w:rPr>
        <w:t> </w:t>
      </w:r>
      <w:r>
        <w:rPr>
          <w:rFonts w:ascii="Times New Roman"/>
          <w:sz w:val="20"/>
        </w:rPr>
        <w:t>ashes.</w:t>
      </w:r>
    </w:p>
    <w:p>
      <w:pPr>
        <w:spacing w:after="0" w:line="480" w:lineRule="auto"/>
        <w:jc w:val="both"/>
        <w:rPr>
          <w:rFonts w:ascii="Times New Roman"/>
          <w:sz w:val="20"/>
        </w:rPr>
        <w:sectPr>
          <w:pgSz w:w="12240" w:h="15840"/>
          <w:pgMar w:header="684" w:footer="1172" w:top="1380" w:bottom="1380" w:left="1400" w:right="1400"/>
        </w:sectPr>
      </w:pPr>
    </w:p>
    <w:p>
      <w:pPr>
        <w:pStyle w:val="BodyText"/>
        <w:rPr>
          <w:rFonts w:ascii="Times New Roman"/>
          <w:sz w:val="20"/>
        </w:rPr>
      </w:pPr>
    </w:p>
    <w:p>
      <w:pPr>
        <w:pStyle w:val="BodyText"/>
        <w:rPr>
          <w:rFonts w:ascii="Times New Roman"/>
          <w:sz w:val="17"/>
        </w:rPr>
      </w:pPr>
    </w:p>
    <w:p>
      <w:pPr>
        <w:pStyle w:val="Heading2"/>
        <w:rPr>
          <w:i/>
        </w:rPr>
      </w:pPr>
      <w:bookmarkStart w:name="_TOC_250005" w:id="35"/>
      <w:bookmarkEnd w:id="35"/>
      <w:r>
        <w:rPr>
          <w:i/>
          <w:color w:val="1F487C"/>
        </w:rPr>
        <w:t>CAPÍTULO 3</w:t>
      </w:r>
    </w:p>
    <w:p>
      <w:pPr>
        <w:spacing w:line="360" w:lineRule="auto" w:before="65"/>
        <w:ind w:left="1393" w:right="237" w:hanging="1134"/>
        <w:jc w:val="both"/>
        <w:rPr>
          <w:sz w:val="22"/>
        </w:rPr>
      </w:pPr>
      <w:r>
        <w:rPr>
          <w:sz w:val="22"/>
        </w:rPr>
        <w:t>Yong Liu, Zhiliang Tan, Claudia Giovanna Peñuelas-Rivas, Germàn Buendía-Rodríguez, María Rivas-Guevara, Alejandro Pazos. Long chain fatty acid, volatile fatty acid profiles in ruminal bacteria and protozoan fractional membrane, and methane production varied with supplementation of plant oils rich in lauric, oleic, linoleic and linolenic acid. </w:t>
      </w:r>
      <w:r>
        <w:rPr>
          <w:i/>
          <w:sz w:val="22"/>
        </w:rPr>
        <w:t>Letters in Applied Microbiology</w:t>
      </w:r>
      <w:r>
        <w:rPr>
          <w:sz w:val="22"/>
        </w:rPr>
        <w:t>.</w:t>
      </w:r>
      <w:r>
        <w:rPr>
          <w:spacing w:val="-18"/>
          <w:sz w:val="22"/>
        </w:rPr>
        <w:t> </w:t>
      </w:r>
      <w:r>
        <w:rPr>
          <w:sz w:val="22"/>
        </w:rPr>
        <w:t>(Submitted)</w:t>
      </w:r>
    </w:p>
    <w:p>
      <w:pPr>
        <w:pStyle w:val="BodyText"/>
        <w:spacing w:before="8"/>
        <w:rPr>
          <w:sz w:val="29"/>
        </w:rPr>
      </w:pPr>
      <w:r>
        <w:rPr/>
        <w:drawing>
          <wp:anchor distT="0" distB="0" distL="0" distR="0" allowOverlap="1" layoutInCell="1" locked="0" behindDoc="0" simplePos="0" relativeHeight="3760">
            <wp:simplePos x="0" y="0"/>
            <wp:positionH relativeFrom="page">
              <wp:posOffset>1078864</wp:posOffset>
            </wp:positionH>
            <wp:positionV relativeFrom="paragraph">
              <wp:posOffset>245975</wp:posOffset>
            </wp:positionV>
            <wp:extent cx="5324605" cy="3647598"/>
            <wp:effectExtent l="0" t="0" r="0" b="0"/>
            <wp:wrapTopAndBottom/>
            <wp:docPr id="89" name="image62.jpeg" descr=""/>
            <wp:cNvGraphicFramePr>
              <a:graphicFrameLocks noChangeAspect="1"/>
            </wp:cNvGraphicFramePr>
            <a:graphic>
              <a:graphicData uri="http://schemas.openxmlformats.org/drawingml/2006/picture">
                <pic:pic>
                  <pic:nvPicPr>
                    <pic:cNvPr id="90" name="image62.jpeg"/>
                    <pic:cNvPicPr/>
                  </pic:nvPicPr>
                  <pic:blipFill>
                    <a:blip r:embed="rId104" cstate="print"/>
                    <a:stretch>
                      <a:fillRect/>
                    </a:stretch>
                  </pic:blipFill>
                  <pic:spPr>
                    <a:xfrm>
                      <a:off x="0" y="0"/>
                      <a:ext cx="5324605" cy="3647598"/>
                    </a:xfrm>
                    <a:prstGeom prst="rect">
                      <a:avLst/>
                    </a:prstGeom>
                  </pic:spPr>
                </pic:pic>
              </a:graphicData>
            </a:graphic>
          </wp:anchor>
        </w:drawing>
      </w:r>
    </w:p>
    <w:p>
      <w:pPr>
        <w:spacing w:after="0"/>
        <w:rPr>
          <w:sz w:val="29"/>
        </w:rPr>
        <w:sectPr>
          <w:pgSz w:w="12240" w:h="15840"/>
          <w:pgMar w:header="684" w:footer="1172" w:top="1380" w:bottom="1380" w:left="1440" w:right="1460"/>
        </w:sectPr>
      </w:pPr>
    </w:p>
    <w:p>
      <w:pPr>
        <w:pStyle w:val="BodyText"/>
        <w:spacing w:before="5"/>
        <w:rPr>
          <w:rFonts w:ascii="Times New Roman"/>
          <w:sz w:val="21"/>
        </w:rPr>
      </w:pPr>
    </w:p>
    <w:p>
      <w:pPr>
        <w:pStyle w:val="BodyText"/>
        <w:ind w:left="259"/>
        <w:rPr>
          <w:rFonts w:ascii="Times New Roman"/>
          <w:sz w:val="20"/>
        </w:rPr>
      </w:pPr>
      <w:r>
        <w:rPr>
          <w:rFonts w:ascii="Times New Roman"/>
          <w:sz w:val="20"/>
        </w:rPr>
        <w:drawing>
          <wp:inline distT="0" distB="0" distL="0" distR="0">
            <wp:extent cx="5313746" cy="4956619"/>
            <wp:effectExtent l="0" t="0" r="0" b="0"/>
            <wp:docPr id="91" name="image63.jpeg" descr=""/>
            <wp:cNvGraphicFramePr>
              <a:graphicFrameLocks noChangeAspect="1"/>
            </wp:cNvGraphicFramePr>
            <a:graphic>
              <a:graphicData uri="http://schemas.openxmlformats.org/drawingml/2006/picture">
                <pic:pic>
                  <pic:nvPicPr>
                    <pic:cNvPr id="92" name="image63.jpeg"/>
                    <pic:cNvPicPr/>
                  </pic:nvPicPr>
                  <pic:blipFill>
                    <a:blip r:embed="rId105" cstate="print"/>
                    <a:stretch>
                      <a:fillRect/>
                    </a:stretch>
                  </pic:blipFill>
                  <pic:spPr>
                    <a:xfrm>
                      <a:off x="0" y="0"/>
                      <a:ext cx="5313746" cy="49566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93" name="image64.jpeg" descr=""/>
            <wp:cNvGraphicFramePr>
              <a:graphicFrameLocks noChangeAspect="1"/>
            </wp:cNvGraphicFramePr>
            <a:graphic>
              <a:graphicData uri="http://schemas.openxmlformats.org/drawingml/2006/picture">
                <pic:pic>
                  <pic:nvPicPr>
                    <pic:cNvPr id="94" name="image64.jpeg"/>
                    <pic:cNvPicPr/>
                  </pic:nvPicPr>
                  <pic:blipFill>
                    <a:blip r:embed="rId106"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95" name="image65.jpeg" descr=""/>
            <wp:cNvGraphicFramePr>
              <a:graphicFrameLocks noChangeAspect="1"/>
            </wp:cNvGraphicFramePr>
            <a:graphic>
              <a:graphicData uri="http://schemas.openxmlformats.org/drawingml/2006/picture">
                <pic:pic>
                  <pic:nvPicPr>
                    <pic:cNvPr id="96" name="image65.jpeg"/>
                    <pic:cNvPicPr/>
                  </pic:nvPicPr>
                  <pic:blipFill>
                    <a:blip r:embed="rId107"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97" name="image66.jpeg" descr=""/>
            <wp:cNvGraphicFramePr>
              <a:graphicFrameLocks noChangeAspect="1"/>
            </wp:cNvGraphicFramePr>
            <a:graphic>
              <a:graphicData uri="http://schemas.openxmlformats.org/drawingml/2006/picture">
                <pic:pic>
                  <pic:nvPicPr>
                    <pic:cNvPr id="98" name="image66.jpeg"/>
                    <pic:cNvPicPr/>
                  </pic:nvPicPr>
                  <pic:blipFill>
                    <a:blip r:embed="rId108"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99" name="image67.jpeg" descr=""/>
            <wp:cNvGraphicFramePr>
              <a:graphicFrameLocks noChangeAspect="1"/>
            </wp:cNvGraphicFramePr>
            <a:graphic>
              <a:graphicData uri="http://schemas.openxmlformats.org/drawingml/2006/picture">
                <pic:pic>
                  <pic:nvPicPr>
                    <pic:cNvPr id="100" name="image67.jpeg"/>
                    <pic:cNvPicPr/>
                  </pic:nvPicPr>
                  <pic:blipFill>
                    <a:blip r:embed="rId109"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01" name="image68.jpeg" descr=""/>
            <wp:cNvGraphicFramePr>
              <a:graphicFrameLocks noChangeAspect="1"/>
            </wp:cNvGraphicFramePr>
            <a:graphic>
              <a:graphicData uri="http://schemas.openxmlformats.org/drawingml/2006/picture">
                <pic:pic>
                  <pic:nvPicPr>
                    <pic:cNvPr id="102" name="image68.jpeg"/>
                    <pic:cNvPicPr/>
                  </pic:nvPicPr>
                  <pic:blipFill>
                    <a:blip r:embed="rId110"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03" name="image69.jpeg" descr=""/>
            <wp:cNvGraphicFramePr>
              <a:graphicFrameLocks noChangeAspect="1"/>
            </wp:cNvGraphicFramePr>
            <a:graphic>
              <a:graphicData uri="http://schemas.openxmlformats.org/drawingml/2006/picture">
                <pic:pic>
                  <pic:nvPicPr>
                    <pic:cNvPr id="104" name="image69.jpeg"/>
                    <pic:cNvPicPr/>
                  </pic:nvPicPr>
                  <pic:blipFill>
                    <a:blip r:embed="rId111"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05" name="image70.jpeg" descr=""/>
            <wp:cNvGraphicFramePr>
              <a:graphicFrameLocks noChangeAspect="1"/>
            </wp:cNvGraphicFramePr>
            <a:graphic>
              <a:graphicData uri="http://schemas.openxmlformats.org/drawingml/2006/picture">
                <pic:pic>
                  <pic:nvPicPr>
                    <pic:cNvPr id="106" name="image70.jpeg"/>
                    <pic:cNvPicPr/>
                  </pic:nvPicPr>
                  <pic:blipFill>
                    <a:blip r:embed="rId112"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07" name="image71.jpeg" descr=""/>
            <wp:cNvGraphicFramePr>
              <a:graphicFrameLocks noChangeAspect="1"/>
            </wp:cNvGraphicFramePr>
            <a:graphic>
              <a:graphicData uri="http://schemas.openxmlformats.org/drawingml/2006/picture">
                <pic:pic>
                  <pic:nvPicPr>
                    <pic:cNvPr id="108" name="image71.jpeg"/>
                    <pic:cNvPicPr/>
                  </pic:nvPicPr>
                  <pic:blipFill>
                    <a:blip r:embed="rId113"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09" name="image72.jpeg" descr=""/>
            <wp:cNvGraphicFramePr>
              <a:graphicFrameLocks noChangeAspect="1"/>
            </wp:cNvGraphicFramePr>
            <a:graphic>
              <a:graphicData uri="http://schemas.openxmlformats.org/drawingml/2006/picture">
                <pic:pic>
                  <pic:nvPicPr>
                    <pic:cNvPr id="110" name="image72.jpeg"/>
                    <pic:cNvPicPr/>
                  </pic:nvPicPr>
                  <pic:blipFill>
                    <a:blip r:embed="rId114"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72"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11" name="image73.jpeg" descr=""/>
            <wp:cNvGraphicFramePr>
              <a:graphicFrameLocks noChangeAspect="1"/>
            </wp:cNvGraphicFramePr>
            <a:graphic>
              <a:graphicData uri="http://schemas.openxmlformats.org/drawingml/2006/picture">
                <pic:pic>
                  <pic:nvPicPr>
                    <pic:cNvPr id="112" name="image73.jpeg"/>
                    <pic:cNvPicPr/>
                  </pic:nvPicPr>
                  <pic:blipFill>
                    <a:blip r:embed="rId116"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5"/>
          <w:pgSz w:w="12240" w:h="15840"/>
          <w:pgMar w:footer="1184" w:header="684"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13" name="image74.jpeg" descr=""/>
            <wp:cNvGraphicFramePr>
              <a:graphicFrameLocks noChangeAspect="1"/>
            </wp:cNvGraphicFramePr>
            <a:graphic>
              <a:graphicData uri="http://schemas.openxmlformats.org/drawingml/2006/picture">
                <pic:pic>
                  <pic:nvPicPr>
                    <pic:cNvPr id="114" name="image74.jpeg"/>
                    <pic:cNvPicPr/>
                  </pic:nvPicPr>
                  <pic:blipFill>
                    <a:blip r:embed="rId118"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117"/>
          <w:pgSz w:w="12240" w:h="15840"/>
          <w:pgMar w:footer="1184" w:header="684" w:top="1380" w:bottom="1380" w:left="1440" w:right="1460"/>
          <w:pgNumType w:start="101"/>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15" name="image75.jpeg" descr=""/>
            <wp:cNvGraphicFramePr>
              <a:graphicFrameLocks noChangeAspect="1"/>
            </wp:cNvGraphicFramePr>
            <a:graphic>
              <a:graphicData uri="http://schemas.openxmlformats.org/drawingml/2006/picture">
                <pic:pic>
                  <pic:nvPicPr>
                    <pic:cNvPr id="116" name="image75.jpeg"/>
                    <pic:cNvPicPr/>
                  </pic:nvPicPr>
                  <pic:blipFill>
                    <a:blip r:embed="rId119"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84"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17" name="image76.jpeg" descr=""/>
            <wp:cNvGraphicFramePr>
              <a:graphicFrameLocks noChangeAspect="1"/>
            </wp:cNvGraphicFramePr>
            <a:graphic>
              <a:graphicData uri="http://schemas.openxmlformats.org/drawingml/2006/picture">
                <pic:pic>
                  <pic:nvPicPr>
                    <pic:cNvPr id="118" name="image76.jpeg"/>
                    <pic:cNvPicPr/>
                  </pic:nvPicPr>
                  <pic:blipFill>
                    <a:blip r:embed="rId120"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84"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19" name="image77.jpeg" descr=""/>
            <wp:cNvGraphicFramePr>
              <a:graphicFrameLocks noChangeAspect="1"/>
            </wp:cNvGraphicFramePr>
            <a:graphic>
              <a:graphicData uri="http://schemas.openxmlformats.org/drawingml/2006/picture">
                <pic:pic>
                  <pic:nvPicPr>
                    <pic:cNvPr id="120" name="image77.jpeg"/>
                    <pic:cNvPicPr/>
                  </pic:nvPicPr>
                  <pic:blipFill>
                    <a:blip r:embed="rId121"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84"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394959" cy="6979919"/>
            <wp:effectExtent l="0" t="0" r="0" b="0"/>
            <wp:docPr id="121" name="image78.jpeg" descr=""/>
            <wp:cNvGraphicFramePr>
              <a:graphicFrameLocks noChangeAspect="1"/>
            </wp:cNvGraphicFramePr>
            <a:graphic>
              <a:graphicData uri="http://schemas.openxmlformats.org/drawingml/2006/picture">
                <pic:pic>
                  <pic:nvPicPr>
                    <pic:cNvPr id="122" name="image78.jpeg"/>
                    <pic:cNvPicPr/>
                  </pic:nvPicPr>
                  <pic:blipFill>
                    <a:blip r:embed="rId122" cstate="print"/>
                    <a:stretch>
                      <a:fillRect/>
                    </a:stretch>
                  </pic:blipFill>
                  <pic:spPr>
                    <a:xfrm>
                      <a:off x="0" y="0"/>
                      <a:ext cx="5394959" cy="697991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684" w:footer="1184" w:top="1380" w:bottom="1380" w:left="1440" w:right="1460"/>
        </w:sectPr>
      </w:pPr>
    </w:p>
    <w:p>
      <w:pPr>
        <w:pStyle w:val="BodyText"/>
        <w:rPr>
          <w:rFonts w:ascii="Times New Roman"/>
          <w:sz w:val="20"/>
        </w:rPr>
      </w:pPr>
    </w:p>
    <w:p>
      <w:pPr>
        <w:pStyle w:val="BodyText"/>
        <w:rPr>
          <w:rFonts w:ascii="Times New Roman"/>
          <w:sz w:val="17"/>
        </w:rPr>
      </w:pPr>
    </w:p>
    <w:p>
      <w:pPr>
        <w:pStyle w:val="Heading2"/>
        <w:rPr>
          <w:i/>
        </w:rPr>
      </w:pPr>
      <w:bookmarkStart w:name="_TOC_250004" w:id="36"/>
      <w:bookmarkEnd w:id="36"/>
      <w:r>
        <w:rPr>
          <w:i/>
          <w:color w:val="1F487C"/>
        </w:rPr>
        <w:t>CAPÍTULO 4</w:t>
      </w:r>
    </w:p>
    <w:p>
      <w:pPr>
        <w:pStyle w:val="BodyText"/>
        <w:spacing w:before="8"/>
        <w:rPr>
          <w:b/>
          <w:i/>
          <w:sz w:val="29"/>
        </w:rPr>
      </w:pPr>
    </w:p>
    <w:p>
      <w:pPr>
        <w:spacing w:line="360" w:lineRule="auto" w:before="0"/>
        <w:ind w:left="1393" w:right="238" w:hanging="1134"/>
        <w:jc w:val="both"/>
        <w:rPr>
          <w:sz w:val="22"/>
        </w:rPr>
      </w:pPr>
      <w:r>
        <w:rPr>
          <w:sz w:val="22"/>
        </w:rPr>
        <w:t>Yong Liu, Germán Buendía-Rodríguez, Claudia Giovanna Peñuelas-Rívas, Zhiliang Tan, María Rívas-Guevara, Esvieta Tenorio-Borroto, Cristian R. Munteanu, Alejandro Pazos, Humberto González-Díaz. Experimental-Computational Studies of Fatty Acids Distribution Networks. </w:t>
      </w:r>
      <w:r>
        <w:rPr>
          <w:i/>
          <w:sz w:val="22"/>
        </w:rPr>
        <w:t>Molecular BioSystems</w:t>
      </w:r>
      <w:r>
        <w:rPr>
          <w:sz w:val="22"/>
        </w:rPr>
        <w:t>. 2015 (In press)</w:t>
      </w:r>
    </w:p>
    <w:p>
      <w:pPr>
        <w:spacing w:after="0" w:line="360" w:lineRule="auto"/>
        <w:jc w:val="both"/>
        <w:rPr>
          <w:sz w:val="22"/>
        </w:rPr>
        <w:sectPr>
          <w:pgSz w:w="12240" w:h="15840"/>
          <w:pgMar w:header="684" w:footer="1184" w:top="1380" w:bottom="1380" w:left="1440" w:right="1460"/>
        </w:sectPr>
      </w:pPr>
    </w:p>
    <w:p>
      <w:pPr>
        <w:pStyle w:val="BodyText"/>
        <w:rPr>
          <w:rFonts w:ascii="Times New Roman"/>
          <w:sz w:val="20"/>
        </w:rPr>
      </w:pPr>
      <w:r>
        <w:rPr/>
        <w:pict>
          <v:shape style="position:absolute;margin-left:84.949997pt;margin-top:81.599998pt;width:516pt;height:675.6pt;mso-position-horizontal-relative:page;mso-position-vertical-relative:page;z-index:-328480"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471"/>
                    <w:jc w:val="right"/>
                    <w:rPr>
                      <w:rFonts w:ascii="Times New Roman"/>
                    </w:rPr>
                  </w:pPr>
                  <w:r>
                    <w:rPr>
                      <w:rFonts w:ascii="Times New Roman"/>
                    </w:rPr>
                    <w:t>107</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453097" cy="8449056"/>
            <wp:effectExtent l="0" t="0" r="0" b="0"/>
            <wp:docPr id="123" name="image79.jpeg" descr=""/>
            <wp:cNvGraphicFramePr>
              <a:graphicFrameLocks noChangeAspect="1"/>
            </wp:cNvGraphicFramePr>
            <a:graphic>
              <a:graphicData uri="http://schemas.openxmlformats.org/drawingml/2006/picture">
                <pic:pic>
                  <pic:nvPicPr>
                    <pic:cNvPr id="124" name="image79.jpeg"/>
                    <pic:cNvPicPr/>
                  </pic:nvPicPr>
                  <pic:blipFill>
                    <a:blip r:embed="rId125" cstate="print"/>
                    <a:stretch>
                      <a:fillRect/>
                    </a:stretch>
                  </pic:blipFill>
                  <pic:spPr>
                    <a:xfrm>
                      <a:off x="0" y="0"/>
                      <a:ext cx="6453097" cy="844905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3"/>
          <w:footerReference w:type="default" r:id="rId124"/>
          <w:pgSz w:w="12240" w:h="15840"/>
          <w:pgMar w:header="684" w:footer="0" w:top="1220" w:bottom="280" w:left="1440" w:right="120"/>
        </w:sectPr>
      </w:pPr>
    </w:p>
    <w:p>
      <w:pPr>
        <w:pStyle w:val="BodyText"/>
        <w:rPr>
          <w:rFonts w:ascii="Times New Roman"/>
          <w:sz w:val="20"/>
        </w:rPr>
      </w:pPr>
      <w:r>
        <w:rPr/>
        <w:pict>
          <v:shape style="position:absolute;margin-left:84.949997pt;margin-top:81.599998pt;width:508.55pt;height:666pt;mso-position-horizontal-relative:page;mso-position-vertical-relative:page;z-index:-32845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22"/>
                    <w:jc w:val="right"/>
                    <w:rPr>
                      <w:rFonts w:ascii="Times New Roman"/>
                    </w:rPr>
                  </w:pPr>
                  <w:r>
                    <w:rPr>
                      <w:rFonts w:ascii="Times New Roman"/>
                    </w:rPr>
                    <w:t>108</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59960" cy="8329041"/>
            <wp:effectExtent l="0" t="0" r="0" b="0"/>
            <wp:docPr id="125" name="image80.jpeg" descr=""/>
            <wp:cNvGraphicFramePr>
              <a:graphicFrameLocks noChangeAspect="1"/>
            </wp:cNvGraphicFramePr>
            <a:graphic>
              <a:graphicData uri="http://schemas.openxmlformats.org/drawingml/2006/picture">
                <pic:pic>
                  <pic:nvPicPr>
                    <pic:cNvPr id="126" name="image80.jpeg"/>
                    <pic:cNvPicPr/>
                  </pic:nvPicPr>
                  <pic:blipFill>
                    <a:blip r:embed="rId128" cstate="print"/>
                    <a:stretch>
                      <a:fillRect/>
                    </a:stretch>
                  </pic:blipFill>
                  <pic:spPr>
                    <a:xfrm>
                      <a:off x="0" y="0"/>
                      <a:ext cx="6359960" cy="8329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6"/>
          <w:footerReference w:type="default" r:id="rId127"/>
          <w:pgSz w:w="12240" w:h="15840"/>
          <w:pgMar w:header="684" w:footer="0" w:top="1220" w:bottom="280" w:left="1440" w:right="260"/>
        </w:sectPr>
      </w:pPr>
    </w:p>
    <w:p>
      <w:pPr>
        <w:pStyle w:val="BodyText"/>
        <w:rPr>
          <w:rFonts w:ascii="Times New Roman"/>
          <w:sz w:val="20"/>
        </w:rPr>
      </w:pPr>
      <w:r>
        <w:rPr/>
        <w:pict>
          <v:shape style="position:absolute;margin-left:84.949997pt;margin-top:81.599998pt;width:508.55pt;height:666pt;mso-position-horizontal-relative:page;mso-position-vertical-relative:page;z-index:-32843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22"/>
                    <w:jc w:val="right"/>
                    <w:rPr>
                      <w:rFonts w:ascii="Times New Roman"/>
                    </w:rPr>
                  </w:pPr>
                  <w:r>
                    <w:rPr>
                      <w:rFonts w:ascii="Times New Roman"/>
                    </w:rPr>
                    <w:t>109</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59960" cy="8329041"/>
            <wp:effectExtent l="0" t="0" r="0" b="0"/>
            <wp:docPr id="127" name="image81.jpeg" descr=""/>
            <wp:cNvGraphicFramePr>
              <a:graphicFrameLocks noChangeAspect="1"/>
            </wp:cNvGraphicFramePr>
            <a:graphic>
              <a:graphicData uri="http://schemas.openxmlformats.org/drawingml/2006/picture">
                <pic:pic>
                  <pic:nvPicPr>
                    <pic:cNvPr id="128" name="image81.jpeg"/>
                    <pic:cNvPicPr/>
                  </pic:nvPicPr>
                  <pic:blipFill>
                    <a:blip r:embed="rId131" cstate="print"/>
                    <a:stretch>
                      <a:fillRect/>
                    </a:stretch>
                  </pic:blipFill>
                  <pic:spPr>
                    <a:xfrm>
                      <a:off x="0" y="0"/>
                      <a:ext cx="6359960" cy="8329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9"/>
          <w:footerReference w:type="default" r:id="rId130"/>
          <w:pgSz w:w="12240" w:h="15840"/>
          <w:pgMar w:header="684" w:footer="0" w:top="1220" w:bottom="280" w:left="1440" w:right="260"/>
        </w:sectPr>
      </w:pPr>
    </w:p>
    <w:p>
      <w:pPr>
        <w:pStyle w:val="BodyText"/>
        <w:rPr>
          <w:rFonts w:ascii="Times New Roman"/>
          <w:sz w:val="20"/>
        </w:rPr>
      </w:pPr>
      <w:r>
        <w:rPr/>
        <w:pict>
          <v:shape style="position:absolute;margin-left:84.949997pt;margin-top:81.599998pt;width:508.55pt;height:666pt;mso-position-horizontal-relative:page;mso-position-vertical-relative:page;z-index:-328408"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22"/>
                    <w:jc w:val="right"/>
                    <w:rPr>
                      <w:rFonts w:ascii="Times New Roman"/>
                    </w:rPr>
                  </w:pPr>
                  <w:r>
                    <w:rPr>
                      <w:rFonts w:ascii="Times New Roman"/>
                    </w:rPr>
                    <w:t>110</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59960" cy="8329041"/>
            <wp:effectExtent l="0" t="0" r="0" b="0"/>
            <wp:docPr id="129" name="image82.jpeg" descr=""/>
            <wp:cNvGraphicFramePr>
              <a:graphicFrameLocks noChangeAspect="1"/>
            </wp:cNvGraphicFramePr>
            <a:graphic>
              <a:graphicData uri="http://schemas.openxmlformats.org/drawingml/2006/picture">
                <pic:pic>
                  <pic:nvPicPr>
                    <pic:cNvPr id="130" name="image82.jpeg"/>
                    <pic:cNvPicPr/>
                  </pic:nvPicPr>
                  <pic:blipFill>
                    <a:blip r:embed="rId134" cstate="print"/>
                    <a:stretch>
                      <a:fillRect/>
                    </a:stretch>
                  </pic:blipFill>
                  <pic:spPr>
                    <a:xfrm>
                      <a:off x="0" y="0"/>
                      <a:ext cx="6359960" cy="8329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2"/>
          <w:footerReference w:type="default" r:id="rId133"/>
          <w:pgSz w:w="12240" w:h="15840"/>
          <w:pgMar w:header="684" w:footer="0" w:top="1220" w:bottom="280" w:left="1440" w:right="260"/>
        </w:sectPr>
      </w:pPr>
    </w:p>
    <w:p>
      <w:pPr>
        <w:pStyle w:val="BodyText"/>
        <w:rPr>
          <w:rFonts w:ascii="Times New Roman"/>
          <w:sz w:val="20"/>
        </w:rPr>
      </w:pPr>
      <w:r>
        <w:rPr/>
        <w:pict>
          <v:shape style="position:absolute;margin-left:84.949997pt;margin-top:81.599998pt;width:509.75pt;height:667.45pt;mso-position-horizontal-relative:page;mso-position-vertical-relative:page;z-index:-328384"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46"/>
                    <w:jc w:val="right"/>
                    <w:rPr>
                      <w:rFonts w:ascii="Times New Roman"/>
                    </w:rPr>
                  </w:pPr>
                  <w:r>
                    <w:rPr>
                      <w:rFonts w:ascii="Times New Roman"/>
                    </w:rPr>
                    <w:t>111</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4867" cy="8347043"/>
            <wp:effectExtent l="0" t="0" r="0" b="0"/>
            <wp:docPr id="131" name="image83.jpeg" descr=""/>
            <wp:cNvGraphicFramePr>
              <a:graphicFrameLocks noChangeAspect="1"/>
            </wp:cNvGraphicFramePr>
            <a:graphic>
              <a:graphicData uri="http://schemas.openxmlformats.org/drawingml/2006/picture">
                <pic:pic>
                  <pic:nvPicPr>
                    <pic:cNvPr id="132" name="image83.jpeg"/>
                    <pic:cNvPicPr/>
                  </pic:nvPicPr>
                  <pic:blipFill>
                    <a:blip r:embed="rId137" cstate="print"/>
                    <a:stretch>
                      <a:fillRect/>
                    </a:stretch>
                  </pic:blipFill>
                  <pic:spPr>
                    <a:xfrm>
                      <a:off x="0" y="0"/>
                      <a:ext cx="6374867" cy="834704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5"/>
          <w:footerReference w:type="default" r:id="rId136"/>
          <w:pgSz w:w="12240" w:h="15840"/>
          <w:pgMar w:header="684" w:footer="0" w:top="1220" w:bottom="280" w:left="1440" w:right="240"/>
        </w:sectPr>
      </w:pPr>
    </w:p>
    <w:p>
      <w:pPr>
        <w:pStyle w:val="BodyText"/>
        <w:rPr>
          <w:rFonts w:ascii="Times New Roman"/>
          <w:sz w:val="20"/>
        </w:rPr>
      </w:pPr>
      <w:r>
        <w:rPr/>
        <w:pict>
          <v:shape style="position:absolute;margin-left:84.949997pt;margin-top:81.599998pt;width:510.25pt;height:668.15pt;mso-position-horizontal-relative:page;mso-position-vertical-relative:page;z-index:-328360"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56"/>
                    <w:jc w:val="right"/>
                    <w:rPr>
                      <w:rFonts w:ascii="Times New Roman"/>
                    </w:rPr>
                  </w:pPr>
                  <w:r>
                    <w:rPr>
                      <w:rFonts w:ascii="Times New Roman"/>
                    </w:rPr>
                    <w:t>112</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9017" cy="8353044"/>
            <wp:effectExtent l="0" t="0" r="0" b="0"/>
            <wp:docPr id="133" name="image84.jpeg" descr=""/>
            <wp:cNvGraphicFramePr>
              <a:graphicFrameLocks noChangeAspect="1"/>
            </wp:cNvGraphicFramePr>
            <a:graphic>
              <a:graphicData uri="http://schemas.openxmlformats.org/drawingml/2006/picture">
                <pic:pic>
                  <pic:nvPicPr>
                    <pic:cNvPr id="134" name="image84.jpeg"/>
                    <pic:cNvPicPr/>
                  </pic:nvPicPr>
                  <pic:blipFill>
                    <a:blip r:embed="rId140" cstate="print"/>
                    <a:stretch>
                      <a:fillRect/>
                    </a:stretch>
                  </pic:blipFill>
                  <pic:spPr>
                    <a:xfrm>
                      <a:off x="0" y="0"/>
                      <a:ext cx="6379017" cy="8353044"/>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8"/>
          <w:footerReference w:type="default" r:id="rId139"/>
          <w:pgSz w:w="12240" w:h="15840"/>
          <w:pgMar w:header="684" w:footer="0" w:top="1220" w:bottom="280" w:left="1440" w:right="220"/>
        </w:sectPr>
      </w:pPr>
    </w:p>
    <w:p>
      <w:pPr>
        <w:pStyle w:val="BodyText"/>
        <w:rPr>
          <w:rFonts w:ascii="Times New Roman"/>
          <w:sz w:val="20"/>
        </w:rPr>
      </w:pPr>
      <w:r>
        <w:rPr/>
        <w:pict>
          <v:shape style="position:absolute;margin-left:84.949997pt;margin-top:81.599998pt;width:509.05pt;height:666.7pt;mso-position-horizontal-relative:page;mso-position-vertical-relative:page;z-index:-32833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32"/>
                    <w:jc w:val="right"/>
                    <w:rPr>
                      <w:rFonts w:ascii="Times New Roman"/>
                    </w:rPr>
                  </w:pPr>
                  <w:r>
                    <w:rPr>
                      <w:rFonts w:ascii="Times New Roman"/>
                    </w:rPr>
                    <w:t>113</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64111" cy="8335041"/>
            <wp:effectExtent l="0" t="0" r="0" b="0"/>
            <wp:docPr id="135" name="image85.jpeg" descr=""/>
            <wp:cNvGraphicFramePr>
              <a:graphicFrameLocks noChangeAspect="1"/>
            </wp:cNvGraphicFramePr>
            <a:graphic>
              <a:graphicData uri="http://schemas.openxmlformats.org/drawingml/2006/picture">
                <pic:pic>
                  <pic:nvPicPr>
                    <pic:cNvPr id="136" name="image85.jpeg"/>
                    <pic:cNvPicPr/>
                  </pic:nvPicPr>
                  <pic:blipFill>
                    <a:blip r:embed="rId143" cstate="print"/>
                    <a:stretch>
                      <a:fillRect/>
                    </a:stretch>
                  </pic:blipFill>
                  <pic:spPr>
                    <a:xfrm>
                      <a:off x="0" y="0"/>
                      <a:ext cx="6364111" cy="8335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41"/>
          <w:footerReference w:type="default" r:id="rId142"/>
          <w:pgSz w:w="12240" w:h="15840"/>
          <w:pgMar w:header="684" w:footer="0" w:top="1220" w:bottom="280" w:left="1440" w:right="260"/>
        </w:sectPr>
      </w:pPr>
    </w:p>
    <w:p>
      <w:pPr>
        <w:pStyle w:val="BodyText"/>
        <w:rPr>
          <w:rFonts w:ascii="Times New Roman"/>
          <w:sz w:val="20"/>
        </w:rPr>
      </w:pPr>
      <w:r>
        <w:rPr/>
        <w:pict>
          <v:shape style="position:absolute;margin-left:84.949997pt;margin-top:81.599998pt;width:508.55pt;height:666pt;mso-position-horizontal-relative:page;mso-position-vertical-relative:page;z-index:-32831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22"/>
                    <w:jc w:val="right"/>
                    <w:rPr>
                      <w:rFonts w:ascii="Times New Roman"/>
                    </w:rPr>
                  </w:pPr>
                  <w:r>
                    <w:rPr>
                      <w:rFonts w:ascii="Times New Roman"/>
                    </w:rPr>
                    <w:t>114</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59960" cy="8329041"/>
            <wp:effectExtent l="0" t="0" r="0" b="0"/>
            <wp:docPr id="137" name="image86.jpeg" descr=""/>
            <wp:cNvGraphicFramePr>
              <a:graphicFrameLocks noChangeAspect="1"/>
            </wp:cNvGraphicFramePr>
            <a:graphic>
              <a:graphicData uri="http://schemas.openxmlformats.org/drawingml/2006/picture">
                <pic:pic>
                  <pic:nvPicPr>
                    <pic:cNvPr id="138" name="image86.jpeg"/>
                    <pic:cNvPicPr/>
                  </pic:nvPicPr>
                  <pic:blipFill>
                    <a:blip r:embed="rId146" cstate="print"/>
                    <a:stretch>
                      <a:fillRect/>
                    </a:stretch>
                  </pic:blipFill>
                  <pic:spPr>
                    <a:xfrm>
                      <a:off x="0" y="0"/>
                      <a:ext cx="6359960" cy="8329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44"/>
          <w:footerReference w:type="default" r:id="rId145"/>
          <w:pgSz w:w="12240" w:h="15840"/>
          <w:pgMar w:header="684" w:footer="0" w:top="1220" w:bottom="280" w:left="1440" w:right="260"/>
        </w:sectPr>
      </w:pPr>
    </w:p>
    <w:p>
      <w:pPr>
        <w:pStyle w:val="BodyText"/>
        <w:rPr>
          <w:rFonts w:ascii="Times New Roman"/>
          <w:sz w:val="20"/>
        </w:rPr>
      </w:pPr>
      <w:r>
        <w:rPr/>
        <w:pict>
          <v:shape style="position:absolute;margin-left:84.949997pt;margin-top:81.599998pt;width:509.75pt;height:667.45pt;mso-position-horizontal-relative:page;mso-position-vertical-relative:page;z-index:-328288"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46"/>
                    <w:jc w:val="right"/>
                    <w:rPr>
                      <w:rFonts w:ascii="Times New Roman"/>
                    </w:rPr>
                  </w:pPr>
                  <w:r>
                    <w:rPr>
                      <w:rFonts w:ascii="Times New Roman"/>
                    </w:rPr>
                    <w:t>115</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4867" cy="8347043"/>
            <wp:effectExtent l="0" t="0" r="0" b="0"/>
            <wp:docPr id="139" name="image87.jpeg" descr=""/>
            <wp:cNvGraphicFramePr>
              <a:graphicFrameLocks noChangeAspect="1"/>
            </wp:cNvGraphicFramePr>
            <a:graphic>
              <a:graphicData uri="http://schemas.openxmlformats.org/drawingml/2006/picture">
                <pic:pic>
                  <pic:nvPicPr>
                    <pic:cNvPr id="140" name="image87.jpeg"/>
                    <pic:cNvPicPr/>
                  </pic:nvPicPr>
                  <pic:blipFill>
                    <a:blip r:embed="rId149" cstate="print"/>
                    <a:stretch>
                      <a:fillRect/>
                    </a:stretch>
                  </pic:blipFill>
                  <pic:spPr>
                    <a:xfrm>
                      <a:off x="0" y="0"/>
                      <a:ext cx="6374867" cy="834704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47"/>
          <w:footerReference w:type="default" r:id="rId148"/>
          <w:pgSz w:w="12240" w:h="15840"/>
          <w:pgMar w:header="684" w:footer="0" w:top="1220" w:bottom="280" w:left="1440" w:right="240"/>
        </w:sectPr>
      </w:pPr>
    </w:p>
    <w:p>
      <w:pPr>
        <w:pStyle w:val="BodyText"/>
        <w:rPr>
          <w:rFonts w:ascii="Times New Roman"/>
          <w:sz w:val="20"/>
        </w:rPr>
      </w:pPr>
      <w:r>
        <w:rPr/>
        <w:pict>
          <v:shape style="position:absolute;margin-left:84.949997pt;margin-top:81.599998pt;width:509.75pt;height:665.05pt;mso-position-horizontal-relative:page;mso-position-vertical-relative:page;z-index:-328264"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46"/>
                    <w:jc w:val="right"/>
                    <w:rPr>
                      <w:rFonts w:ascii="Times New Roman"/>
                    </w:rPr>
                  </w:pPr>
                  <w:r>
                    <w:rPr>
                      <w:rFonts w:ascii="Times New Roman"/>
                    </w:rPr>
                    <w:t>116</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4875" cy="8317039"/>
            <wp:effectExtent l="0" t="0" r="0" b="0"/>
            <wp:docPr id="141" name="image88.jpeg" descr=""/>
            <wp:cNvGraphicFramePr>
              <a:graphicFrameLocks noChangeAspect="1"/>
            </wp:cNvGraphicFramePr>
            <a:graphic>
              <a:graphicData uri="http://schemas.openxmlformats.org/drawingml/2006/picture">
                <pic:pic>
                  <pic:nvPicPr>
                    <pic:cNvPr id="142" name="image88.jpeg"/>
                    <pic:cNvPicPr/>
                  </pic:nvPicPr>
                  <pic:blipFill>
                    <a:blip r:embed="rId152" cstate="print"/>
                    <a:stretch>
                      <a:fillRect/>
                    </a:stretch>
                  </pic:blipFill>
                  <pic:spPr>
                    <a:xfrm>
                      <a:off x="0" y="0"/>
                      <a:ext cx="6374875" cy="8317039"/>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50"/>
          <w:footerReference w:type="default" r:id="rId151"/>
          <w:pgSz w:w="12240" w:h="15840"/>
          <w:pgMar w:header="684" w:footer="0" w:top="1220" w:bottom="280" w:left="1440" w:right="240"/>
        </w:sectPr>
      </w:pPr>
    </w:p>
    <w:p>
      <w:pPr>
        <w:pStyle w:val="BodyText"/>
        <w:rPr>
          <w:rFonts w:ascii="Times New Roman"/>
          <w:sz w:val="20"/>
        </w:rPr>
      </w:pPr>
      <w:r>
        <w:rPr/>
        <w:pict>
          <v:shape style="position:absolute;margin-left:84.949997pt;margin-top:81.599998pt;width:509.75pt;height:667.45pt;mso-position-horizontal-relative:page;mso-position-vertical-relative:page;z-index:-328240"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46"/>
                    <w:jc w:val="right"/>
                    <w:rPr>
                      <w:rFonts w:ascii="Times New Roman"/>
                    </w:rPr>
                  </w:pPr>
                  <w:r>
                    <w:rPr>
                      <w:rFonts w:ascii="Times New Roman"/>
                    </w:rPr>
                    <w:t>117</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4867" cy="8347043"/>
            <wp:effectExtent l="0" t="0" r="0" b="0"/>
            <wp:docPr id="143" name="image89.jpeg" descr=""/>
            <wp:cNvGraphicFramePr>
              <a:graphicFrameLocks noChangeAspect="1"/>
            </wp:cNvGraphicFramePr>
            <a:graphic>
              <a:graphicData uri="http://schemas.openxmlformats.org/drawingml/2006/picture">
                <pic:pic>
                  <pic:nvPicPr>
                    <pic:cNvPr id="144" name="image89.jpeg"/>
                    <pic:cNvPicPr/>
                  </pic:nvPicPr>
                  <pic:blipFill>
                    <a:blip r:embed="rId155" cstate="print"/>
                    <a:stretch>
                      <a:fillRect/>
                    </a:stretch>
                  </pic:blipFill>
                  <pic:spPr>
                    <a:xfrm>
                      <a:off x="0" y="0"/>
                      <a:ext cx="6374867" cy="834704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53"/>
          <w:footerReference w:type="default" r:id="rId154"/>
          <w:pgSz w:w="12240" w:h="15840"/>
          <w:pgMar w:header="684" w:footer="0" w:top="1220" w:bottom="280" w:left="1440" w:right="240"/>
        </w:sectPr>
      </w:pPr>
    </w:p>
    <w:p>
      <w:pPr>
        <w:pStyle w:val="BodyText"/>
        <w:rPr>
          <w:rFonts w:ascii="Times New Roman"/>
          <w:sz w:val="20"/>
        </w:rPr>
      </w:pPr>
      <w:r>
        <w:rPr/>
        <w:pict>
          <v:shape style="position:absolute;margin-left:84.949997pt;margin-top:81.599998pt;width:507.85pt;height:666pt;mso-position-horizontal-relative:page;mso-position-vertical-relative:page;z-index:-328216"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08"/>
                    <w:jc w:val="right"/>
                    <w:rPr>
                      <w:rFonts w:ascii="Times New Roman"/>
                    </w:rPr>
                  </w:pPr>
                  <w:r>
                    <w:rPr>
                      <w:rFonts w:ascii="Times New Roman"/>
                    </w:rPr>
                    <w:t>118</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51206" cy="8329041"/>
            <wp:effectExtent l="0" t="0" r="0" b="0"/>
            <wp:docPr id="145" name="image90.jpeg" descr=""/>
            <wp:cNvGraphicFramePr>
              <a:graphicFrameLocks noChangeAspect="1"/>
            </wp:cNvGraphicFramePr>
            <a:graphic>
              <a:graphicData uri="http://schemas.openxmlformats.org/drawingml/2006/picture">
                <pic:pic>
                  <pic:nvPicPr>
                    <pic:cNvPr id="146" name="image90.jpeg"/>
                    <pic:cNvPicPr/>
                  </pic:nvPicPr>
                  <pic:blipFill>
                    <a:blip r:embed="rId158" cstate="print"/>
                    <a:stretch>
                      <a:fillRect/>
                    </a:stretch>
                  </pic:blipFill>
                  <pic:spPr>
                    <a:xfrm>
                      <a:off x="0" y="0"/>
                      <a:ext cx="6351206" cy="8329041"/>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56"/>
          <w:footerReference w:type="default" r:id="rId157"/>
          <w:pgSz w:w="12240" w:h="15840"/>
          <w:pgMar w:header="684" w:footer="0" w:top="1220" w:bottom="280" w:left="1440" w:right="280"/>
        </w:sectPr>
      </w:pPr>
    </w:p>
    <w:p>
      <w:pPr>
        <w:pStyle w:val="BodyText"/>
        <w:rPr>
          <w:rFonts w:ascii="Times New Roman"/>
          <w:sz w:val="20"/>
        </w:rPr>
      </w:pPr>
      <w:r>
        <w:rPr/>
        <w:pict>
          <v:shape style="position:absolute;margin-left:84.949997pt;margin-top:81.599998pt;width:509.75pt;height:667.45pt;mso-position-horizontal-relative:page;mso-position-vertical-relative:page;z-index:-328192"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46"/>
                    <w:jc w:val="right"/>
                    <w:rPr>
                      <w:rFonts w:ascii="Times New Roman"/>
                    </w:rPr>
                  </w:pPr>
                  <w:r>
                    <w:rPr>
                      <w:rFonts w:ascii="Times New Roman"/>
                    </w:rPr>
                    <w:t>119</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4867" cy="8347043"/>
            <wp:effectExtent l="0" t="0" r="0" b="0"/>
            <wp:docPr id="147" name="image91.jpeg" descr=""/>
            <wp:cNvGraphicFramePr>
              <a:graphicFrameLocks noChangeAspect="1"/>
            </wp:cNvGraphicFramePr>
            <a:graphic>
              <a:graphicData uri="http://schemas.openxmlformats.org/drawingml/2006/picture">
                <pic:pic>
                  <pic:nvPicPr>
                    <pic:cNvPr id="148" name="image91.jpeg"/>
                    <pic:cNvPicPr/>
                  </pic:nvPicPr>
                  <pic:blipFill>
                    <a:blip r:embed="rId161" cstate="print"/>
                    <a:stretch>
                      <a:fillRect/>
                    </a:stretch>
                  </pic:blipFill>
                  <pic:spPr>
                    <a:xfrm>
                      <a:off x="0" y="0"/>
                      <a:ext cx="6374867" cy="834704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59"/>
          <w:footerReference w:type="default" r:id="rId160"/>
          <w:pgSz w:w="12240" w:h="15840"/>
          <w:pgMar w:header="684" w:footer="0" w:top="1220" w:bottom="280" w:left="1440" w:right="240"/>
        </w:sectPr>
      </w:pPr>
    </w:p>
    <w:p>
      <w:pPr>
        <w:pStyle w:val="BodyText"/>
        <w:rPr>
          <w:rFonts w:ascii="Times New Roman"/>
          <w:sz w:val="20"/>
        </w:rPr>
      </w:pPr>
      <w:r>
        <w:rPr/>
        <w:pict>
          <v:shape style="position:absolute;margin-left:84.949997pt;margin-top:81.599998pt;width:510.25pt;height:668.15pt;mso-position-horizontal-relative:page;mso-position-vertical-relative:page;z-index:-328168"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32"/>
                    </w:rPr>
                  </w:pPr>
                </w:p>
                <w:p>
                  <w:pPr>
                    <w:pStyle w:val="BodyText"/>
                    <w:ind w:right="1356"/>
                    <w:jc w:val="right"/>
                    <w:rPr>
                      <w:rFonts w:ascii="Times New Roman"/>
                    </w:rPr>
                  </w:pPr>
                  <w:r>
                    <w:rPr>
                      <w:rFonts w:ascii="Times New Roman"/>
                    </w:rPr>
                    <w:t>120</w:t>
                  </w:r>
                </w:p>
              </w:txbxContent>
            </v:textbox>
            <w10:wrap type="none"/>
          </v:shape>
        </w:pict>
      </w:r>
    </w:p>
    <w:p>
      <w:pPr>
        <w:pStyle w:val="BodyText"/>
        <w:spacing w:before="10" w:after="1"/>
        <w:rPr>
          <w:rFonts w:ascii="Times New Roman"/>
          <w:sz w:val="14"/>
        </w:rPr>
      </w:pPr>
    </w:p>
    <w:p>
      <w:pPr>
        <w:pStyle w:val="BodyText"/>
        <w:ind w:left="259"/>
        <w:rPr>
          <w:rFonts w:ascii="Times New Roman"/>
          <w:sz w:val="20"/>
        </w:rPr>
      </w:pPr>
      <w:r>
        <w:rPr>
          <w:rFonts w:ascii="Times New Roman"/>
          <w:sz w:val="20"/>
        </w:rPr>
        <w:drawing>
          <wp:inline distT="0" distB="0" distL="0" distR="0">
            <wp:extent cx="6379017" cy="8353044"/>
            <wp:effectExtent l="0" t="0" r="0" b="0"/>
            <wp:docPr id="149" name="image92.jpeg" descr=""/>
            <wp:cNvGraphicFramePr>
              <a:graphicFrameLocks noChangeAspect="1"/>
            </wp:cNvGraphicFramePr>
            <a:graphic>
              <a:graphicData uri="http://schemas.openxmlformats.org/drawingml/2006/picture">
                <pic:pic>
                  <pic:nvPicPr>
                    <pic:cNvPr id="150" name="image92.jpeg"/>
                    <pic:cNvPicPr/>
                  </pic:nvPicPr>
                  <pic:blipFill>
                    <a:blip r:embed="rId164" cstate="print"/>
                    <a:stretch>
                      <a:fillRect/>
                    </a:stretch>
                  </pic:blipFill>
                  <pic:spPr>
                    <a:xfrm>
                      <a:off x="0" y="0"/>
                      <a:ext cx="6379017" cy="8353044"/>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62"/>
          <w:footerReference w:type="default" r:id="rId163"/>
          <w:pgSz w:w="12240" w:h="15840"/>
          <w:pgMar w:header="684" w:footer="0" w:top="1220" w:bottom="280" w:left="1440" w:right="220"/>
        </w:sectPr>
      </w:pPr>
    </w:p>
    <w:p>
      <w:pPr>
        <w:pStyle w:val="BodyText"/>
        <w:ind w:left="108"/>
        <w:rPr>
          <w:rFonts w:ascii="Times New Roman"/>
          <w:sz w:val="20"/>
        </w:rPr>
      </w:pPr>
      <w:r>
        <w:rPr>
          <w:rFonts w:ascii="Times New Roman"/>
          <w:sz w:val="20"/>
        </w:rPr>
        <w:pict>
          <v:group style="width:495.15pt;height:46.4pt;mso-position-horizontal-relative:char;mso-position-vertical-relative:line" coordorigin="0,0" coordsize="9903,928">
            <v:line style="position:absolute" from="22,884" to="8085,884" stroked="true" strokeweight="2.16pt" strokecolor="#808080"/>
            <v:line style="position:absolute" from="8106,22" to="8106,906" stroked="true" strokeweight="2.16pt" strokecolor="#808080"/>
            <v:line style="position:absolute" from="8128,884" to="9881,884" stroked="true" strokeweight="2.16pt" strokecolor="#808080"/>
            <v:shape style="position:absolute;left:445;top:119;width:7555;height:658" type="#_x0000_t202" filled="false" stroked="false">
              <v:textbox inset="0,0,0,0">
                <w:txbxContent>
                  <w:p>
                    <w:pPr>
                      <w:spacing w:line="203" w:lineRule="exact" w:before="0"/>
                      <w:ind w:left="0" w:right="2" w:firstLine="0"/>
                      <w:jc w:val="right"/>
                      <w:rPr>
                        <w:rFonts w:ascii="Times New Roman"/>
                        <w:b/>
                        <w:i/>
                        <w:sz w:val="20"/>
                      </w:rPr>
                    </w:pPr>
                    <w:r>
                      <w:rPr>
                        <w:rFonts w:ascii="Times New Roman"/>
                        <w:b/>
                        <w:i/>
                        <w:color w:val="171717"/>
                        <w:sz w:val="20"/>
                      </w:rPr>
                      <w:t>Experimental and Computational Studies of Fatty Acids Distribution Complex Networks on</w:t>
                    </w:r>
                  </w:p>
                  <w:p>
                    <w:pPr>
                      <w:spacing w:line="228" w:lineRule="exact" w:before="0"/>
                      <w:ind w:left="0" w:right="1" w:firstLine="0"/>
                      <w:jc w:val="right"/>
                      <w:rPr>
                        <w:rFonts w:ascii="Times New Roman"/>
                        <w:b/>
                        <w:i/>
                        <w:sz w:val="20"/>
                      </w:rPr>
                    </w:pPr>
                    <w:r>
                      <w:rPr>
                        <w:rFonts w:ascii="Times New Roman"/>
                        <w:b/>
                        <w:i/>
                        <w:color w:val="171717"/>
                        <w:sz w:val="20"/>
                      </w:rPr>
                      <w:t>Ruminal Bacterial-Protozoan-Liquid Phases.</w:t>
                    </w:r>
                  </w:p>
                  <w:p>
                    <w:pPr>
                      <w:spacing w:line="226" w:lineRule="exact" w:before="0"/>
                      <w:ind w:left="0" w:right="0" w:firstLine="0"/>
                      <w:jc w:val="right"/>
                      <w:rPr>
                        <w:rFonts w:ascii="Times New Roman"/>
                        <w:b/>
                        <w:i/>
                        <w:sz w:val="20"/>
                      </w:rPr>
                    </w:pPr>
                    <w:r>
                      <w:rPr>
                        <w:rFonts w:ascii="Times New Roman"/>
                        <w:b/>
                        <w:i/>
                        <w:color w:val="171717"/>
                        <w:sz w:val="20"/>
                      </w:rPr>
                      <w:t>Yong Liu</w:t>
                    </w:r>
                  </w:p>
                </w:txbxContent>
              </v:textbox>
              <w10:wrap type="none"/>
            </v:shape>
            <v:shape style="position:absolute;left:8224;top:143;width:852;height:360" type="#_x0000_t202" filled="false" stroked="false">
              <v:textbox inset="0,0,0,0">
                <w:txbxContent>
                  <w:p>
                    <w:pPr>
                      <w:spacing w:line="360" w:lineRule="exact" w:before="0"/>
                      <w:ind w:left="0" w:right="-17" w:firstLine="0"/>
                      <w:jc w:val="left"/>
                      <w:rPr>
                        <w:b/>
                        <w:sz w:val="36"/>
                      </w:rPr>
                    </w:pPr>
                    <w:r>
                      <w:rPr>
                        <w:b/>
                        <w:spacing w:val="-1"/>
                        <w:sz w:val="36"/>
                      </w:rPr>
                      <w:t>2015</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Heading2"/>
        <w:spacing w:before="208"/>
        <w:ind w:right="562"/>
        <w:rPr>
          <w:i/>
        </w:rPr>
      </w:pPr>
      <w:bookmarkStart w:name="_TOC_250003" w:id="37"/>
      <w:bookmarkEnd w:id="37"/>
      <w:r>
        <w:rPr>
          <w:i/>
          <w:color w:val="1F487C"/>
        </w:rPr>
        <w:t>CAPÍTULO 5</w:t>
      </w:r>
    </w:p>
    <w:p>
      <w:pPr>
        <w:pStyle w:val="BodyText"/>
        <w:spacing w:before="11"/>
        <w:rPr>
          <w:b/>
          <w:i/>
          <w:sz w:val="23"/>
        </w:rPr>
      </w:pPr>
    </w:p>
    <w:p>
      <w:pPr>
        <w:spacing w:line="360" w:lineRule="auto" w:before="0"/>
        <w:ind w:left="826" w:right="1011" w:hanging="567"/>
        <w:jc w:val="both"/>
        <w:rPr>
          <w:sz w:val="22"/>
        </w:rPr>
      </w:pPr>
      <w:r>
        <w:rPr>
          <w:sz w:val="22"/>
        </w:rPr>
        <w:t>Yong Liu, Zhiliang Tan, Claudia Giovanna Peñuelas-Rívas, Alejandro Pazos, Germán Buendía- Rodríguez, María Rívas-Guevara, Esvieta Tenorio-Borroto, Rafael García-Vázquez, and Humberto González-Díaz. Perturbation Theory-Linear Free Energy Relationships (PT- LFER) to study Fatty Acid Distribution Networks in Ruminal Microbiome combined with fermentation factors by Experimental-Computational Method. </w:t>
      </w:r>
      <w:r>
        <w:rPr>
          <w:i/>
          <w:sz w:val="21"/>
        </w:rPr>
        <w:t>Chemometrics and </w:t>
      </w:r>
      <w:r>
        <w:rPr>
          <w:i/>
          <w:sz w:val="21"/>
        </w:rPr>
        <w:t>Intelligent Laboratory Systems</w:t>
      </w:r>
      <w:r>
        <w:rPr>
          <w:sz w:val="22"/>
        </w:rPr>
        <w:t>. (Submitted)</w:t>
      </w:r>
    </w:p>
    <w:p>
      <w:pPr>
        <w:pStyle w:val="BodyText"/>
        <w:spacing w:before="11"/>
        <w:rPr>
          <w:sz w:val="23"/>
        </w:rPr>
      </w:pPr>
    </w:p>
    <w:p>
      <w:pPr>
        <w:spacing w:before="0"/>
        <w:ind w:left="259" w:right="562" w:firstLine="0"/>
        <w:jc w:val="left"/>
        <w:rPr>
          <w:b/>
          <w:sz w:val="28"/>
        </w:rPr>
      </w:pPr>
      <w:r>
        <w:rPr>
          <w:b/>
          <w:sz w:val="28"/>
        </w:rPr>
        <w:t>Submitted Letter:</w:t>
      </w:r>
    </w:p>
    <w:p>
      <w:pPr>
        <w:pStyle w:val="BodyText"/>
        <w:spacing w:before="11"/>
        <w:rPr>
          <w:b/>
          <w:sz w:val="32"/>
        </w:rPr>
      </w:pPr>
    </w:p>
    <w:p>
      <w:pPr>
        <w:spacing w:before="0"/>
        <w:ind w:left="1931" w:right="562" w:hanging="231"/>
        <w:jc w:val="left"/>
        <w:rPr>
          <w:sz w:val="21"/>
        </w:rPr>
      </w:pPr>
      <w:r>
        <w:rPr>
          <w:sz w:val="21"/>
        </w:rPr>
        <w:t>Elsevier Editorial System(tm) for </w:t>
      </w:r>
      <w:r>
        <w:rPr>
          <w:spacing w:val="-3"/>
          <w:sz w:val="21"/>
        </w:rPr>
        <w:t>Chemometrics and Intelligent Laboratory </w:t>
      </w:r>
      <w:r>
        <w:rPr>
          <w:sz w:val="21"/>
        </w:rPr>
        <w:t>Systems Manuscript Draft</w:t>
      </w:r>
    </w:p>
    <w:p>
      <w:pPr>
        <w:pStyle w:val="BodyText"/>
        <w:rPr>
          <w:sz w:val="20"/>
        </w:rPr>
      </w:pPr>
    </w:p>
    <w:p>
      <w:pPr>
        <w:pStyle w:val="BodyText"/>
        <w:rPr>
          <w:sz w:val="22"/>
        </w:rPr>
      </w:pPr>
    </w:p>
    <w:p>
      <w:pPr>
        <w:spacing w:before="0"/>
        <w:ind w:left="360" w:right="562" w:firstLine="0"/>
        <w:jc w:val="left"/>
        <w:rPr>
          <w:sz w:val="21"/>
        </w:rPr>
      </w:pPr>
      <w:r>
        <w:rPr>
          <w:sz w:val="21"/>
        </w:rPr>
        <w:t>Manuscript Number:</w:t>
      </w:r>
    </w:p>
    <w:p>
      <w:pPr>
        <w:pStyle w:val="BodyText"/>
        <w:spacing w:before="9"/>
        <w:rPr>
          <w:sz w:val="20"/>
        </w:rPr>
      </w:pPr>
    </w:p>
    <w:p>
      <w:pPr>
        <w:spacing w:line="240" w:lineRule="auto" w:before="0"/>
        <w:ind w:left="360" w:right="562" w:firstLine="0"/>
        <w:jc w:val="left"/>
        <w:rPr>
          <w:sz w:val="21"/>
        </w:rPr>
      </w:pPr>
      <w:r>
        <w:rPr>
          <w:sz w:val="21"/>
        </w:rPr>
        <w:t>Title: </w:t>
      </w:r>
      <w:r>
        <w:rPr>
          <w:spacing w:val="-3"/>
          <w:sz w:val="21"/>
        </w:rPr>
        <w:t>Chemometric </w:t>
      </w:r>
      <w:r>
        <w:rPr>
          <w:sz w:val="21"/>
        </w:rPr>
        <w:t>Approach to Bacteria - Rumen - Protozoa </w:t>
      </w:r>
      <w:r>
        <w:rPr>
          <w:spacing w:val="-3"/>
          <w:sz w:val="21"/>
        </w:rPr>
        <w:t>Distribution Networks in Ruminal </w:t>
      </w:r>
      <w:r>
        <w:rPr>
          <w:sz w:val="21"/>
        </w:rPr>
        <w:t>Microbiome: </w:t>
      </w:r>
      <w:r>
        <w:rPr>
          <w:spacing w:val="-2"/>
          <w:sz w:val="21"/>
        </w:rPr>
        <w:t>Parallel </w:t>
      </w:r>
      <w:r>
        <w:rPr>
          <w:spacing w:val="-3"/>
          <w:sz w:val="21"/>
        </w:rPr>
        <w:t>Experiments and </w:t>
      </w:r>
      <w:r>
        <w:rPr>
          <w:sz w:val="21"/>
        </w:rPr>
        <w:t>PT-LFER Model of Methane </w:t>
      </w:r>
      <w:r>
        <w:rPr>
          <w:spacing w:val="-4"/>
          <w:sz w:val="21"/>
        </w:rPr>
        <w:t>Production </w:t>
      </w:r>
      <w:r>
        <w:rPr>
          <w:spacing w:val="-3"/>
          <w:sz w:val="21"/>
        </w:rPr>
        <w:t>and </w:t>
      </w:r>
      <w:r>
        <w:rPr>
          <w:sz w:val="21"/>
        </w:rPr>
        <w:t>Fatty Acid </w:t>
      </w:r>
      <w:r>
        <w:rPr>
          <w:spacing w:val="-3"/>
          <w:sz w:val="21"/>
        </w:rPr>
        <w:t>Metabolism</w:t>
      </w:r>
    </w:p>
    <w:p>
      <w:pPr>
        <w:pStyle w:val="BodyText"/>
        <w:spacing w:before="8"/>
        <w:rPr>
          <w:sz w:val="20"/>
        </w:rPr>
      </w:pPr>
    </w:p>
    <w:p>
      <w:pPr>
        <w:spacing w:line="477" w:lineRule="auto" w:before="1"/>
        <w:ind w:left="360" w:right="5670" w:firstLine="0"/>
        <w:jc w:val="left"/>
        <w:rPr>
          <w:sz w:val="21"/>
        </w:rPr>
      </w:pPr>
      <w:r>
        <w:rPr>
          <w:sz w:val="21"/>
        </w:rPr>
        <w:t>Article Type: Original Paper Section/Category: General Section</w:t>
      </w:r>
    </w:p>
    <w:p>
      <w:pPr>
        <w:spacing w:before="4"/>
        <w:ind w:left="360" w:right="1601" w:firstLine="0"/>
        <w:jc w:val="left"/>
        <w:rPr>
          <w:sz w:val="21"/>
        </w:rPr>
      </w:pPr>
      <w:r>
        <w:rPr>
          <w:sz w:val="21"/>
        </w:rPr>
        <w:t>Keywords: Networks; Artificial Neural Networks; Perturbation Theory; Linear Free-Energy Relationships; Methane Production; Fatty Acids in Ruminal Microbiome.</w:t>
      </w:r>
    </w:p>
    <w:p>
      <w:pPr>
        <w:pStyle w:val="BodyText"/>
        <w:spacing w:before="2"/>
        <w:rPr>
          <w:sz w:val="21"/>
        </w:rPr>
      </w:pPr>
    </w:p>
    <w:p>
      <w:pPr>
        <w:spacing w:line="477" w:lineRule="auto" w:before="0"/>
        <w:ind w:left="360" w:right="4446" w:firstLine="0"/>
        <w:jc w:val="left"/>
        <w:rPr>
          <w:sz w:val="21"/>
        </w:rPr>
      </w:pPr>
      <w:r>
        <w:rPr>
          <w:sz w:val="21"/>
        </w:rPr>
        <w:t>Corresponding Author: Prof. Humberto Gonzalez-Diaz, PhD Corresponding Author's Institution: UPV/EHU</w:t>
      </w:r>
    </w:p>
    <w:p>
      <w:pPr>
        <w:spacing w:line="246" w:lineRule="exact" w:before="0"/>
        <w:ind w:left="360" w:right="562" w:firstLine="0"/>
        <w:jc w:val="left"/>
        <w:rPr>
          <w:sz w:val="21"/>
        </w:rPr>
      </w:pPr>
      <w:r>
        <w:rPr>
          <w:sz w:val="21"/>
        </w:rPr>
        <w:t>First Author: Yong Liu, MSc</w:t>
      </w:r>
    </w:p>
    <w:p>
      <w:pPr>
        <w:pStyle w:val="BodyText"/>
        <w:spacing w:before="2"/>
        <w:rPr>
          <w:sz w:val="21"/>
        </w:rPr>
      </w:pPr>
    </w:p>
    <w:p>
      <w:pPr>
        <w:spacing w:line="240" w:lineRule="auto" w:before="0"/>
        <w:ind w:left="360" w:right="1211" w:firstLine="0"/>
        <w:jc w:val="left"/>
        <w:rPr>
          <w:sz w:val="21"/>
        </w:rPr>
      </w:pPr>
      <w:r>
        <w:rPr>
          <w:sz w:val="21"/>
        </w:rPr>
        <w:t>Order of Authors: Yong Liu, MSc; Zhiliang Tan, CAS Prof. Dr.; Claudia Giovanna Peñuelas-Rívas , Prof. Dr.; Germán Buendía-Rodríguez, Prof. Dr.; María Rívas-Guevara, Prof. Dr.; Esvieta Tenorio- Borroto, Prof. Dr.; Rafael García-Vázquez, Prof. Dr.; Alejandro Pazos, Prof. Dr.; Humberto Gonzalez-Diaz, PhD</w:t>
      </w:r>
    </w:p>
    <w:p>
      <w:pPr>
        <w:spacing w:after="0" w:line="240" w:lineRule="auto"/>
        <w:jc w:val="left"/>
        <w:rPr>
          <w:sz w:val="21"/>
        </w:rPr>
        <w:sectPr>
          <w:headerReference w:type="default" r:id="rId165"/>
          <w:footerReference w:type="default" r:id="rId166"/>
          <w:pgSz w:w="12240" w:h="15840"/>
          <w:pgMar w:header="0" w:footer="1184" w:top="680" w:bottom="1380" w:left="1440" w:right="680"/>
          <w:pgNumType w:start="121"/>
        </w:sectPr>
      </w:pPr>
    </w:p>
    <w:p>
      <w:pPr>
        <w:pStyle w:val="BodyText"/>
        <w:spacing w:before="1"/>
        <w:rPr>
          <w:sz w:val="16"/>
        </w:rPr>
      </w:pPr>
    </w:p>
    <w:p>
      <w:pPr>
        <w:spacing w:line="240" w:lineRule="auto" w:before="53"/>
        <w:ind w:left="259" w:right="233" w:firstLine="0"/>
        <w:jc w:val="both"/>
        <w:rPr>
          <w:rFonts w:ascii="Times New Roman" w:hAnsi="Times New Roman"/>
          <w:sz w:val="36"/>
        </w:rPr>
      </w:pPr>
      <w:r>
        <w:rPr>
          <w:rFonts w:ascii="Times New Roman" w:hAnsi="Times New Roman"/>
          <w:sz w:val="36"/>
        </w:rPr>
        <w:t>Chemometric Approach to Bacteria – Rumen – Protozoa Distribution Networks in Ruminal Microbiome: Parallel Experiments and PT-LFER Model of Methane Production and Fatty Acid Metabolism</w:t>
      </w:r>
    </w:p>
    <w:p>
      <w:pPr>
        <w:spacing w:line="230" w:lineRule="exact" w:before="285"/>
        <w:ind w:left="626" w:right="457" w:firstLine="0"/>
        <w:jc w:val="center"/>
        <w:rPr>
          <w:rFonts w:ascii="Times New Roman" w:hAnsi="Times New Roman"/>
          <w:i/>
          <w:sz w:val="20"/>
        </w:rPr>
      </w:pPr>
      <w:r>
        <w:rPr>
          <w:rFonts w:ascii="Times New Roman" w:hAnsi="Times New Roman"/>
          <w:i/>
          <w:sz w:val="20"/>
        </w:rPr>
        <w:t>Yong Liu </w:t>
      </w:r>
      <w:r>
        <w:rPr>
          <w:rFonts w:ascii="Times New Roman" w:hAnsi="Times New Roman"/>
          <w:i/>
          <w:position w:val="7"/>
          <w:sz w:val="13"/>
        </w:rPr>
        <w:t>a,b,c</w:t>
      </w:r>
      <w:r>
        <w:rPr>
          <w:rFonts w:ascii="Times New Roman" w:hAnsi="Times New Roman"/>
          <w:i/>
          <w:sz w:val="20"/>
        </w:rPr>
        <w:t>, Zhiliang Tan </w:t>
      </w:r>
      <w:r>
        <w:rPr>
          <w:rFonts w:ascii="Times New Roman" w:hAnsi="Times New Roman"/>
          <w:i/>
          <w:position w:val="7"/>
          <w:sz w:val="13"/>
        </w:rPr>
        <w:t>b</w:t>
      </w:r>
      <w:r>
        <w:rPr>
          <w:rFonts w:ascii="Times New Roman" w:hAnsi="Times New Roman"/>
          <w:i/>
          <w:sz w:val="20"/>
        </w:rPr>
        <w:t>, Claudia Giovanna Peñuelas-Rívas </w:t>
      </w:r>
      <w:r>
        <w:rPr>
          <w:rFonts w:ascii="Times New Roman" w:hAnsi="Times New Roman"/>
          <w:i/>
          <w:position w:val="7"/>
          <w:sz w:val="13"/>
        </w:rPr>
        <w:t>a</w:t>
      </w:r>
      <w:r>
        <w:rPr>
          <w:rFonts w:ascii="Times New Roman" w:hAnsi="Times New Roman"/>
          <w:i/>
          <w:sz w:val="20"/>
        </w:rPr>
        <w:t>, Germán Buendía-Rodríguez </w:t>
      </w:r>
      <w:r>
        <w:rPr>
          <w:rFonts w:ascii="Cambria Math" w:hAnsi="Cambria Math"/>
          <w:i/>
          <w:position w:val="5"/>
          <w:sz w:val="13"/>
        </w:rPr>
        <w:t>d</w:t>
      </w:r>
      <w:r>
        <w:rPr>
          <w:rFonts w:ascii="Times New Roman" w:hAnsi="Times New Roman"/>
          <w:i/>
          <w:sz w:val="20"/>
        </w:rPr>
        <w:t>, </w:t>
      </w:r>
      <w:r>
        <w:rPr>
          <w:rFonts w:ascii="Times New Roman" w:hAnsi="Times New Roman"/>
          <w:i/>
          <w:sz w:val="20"/>
        </w:rPr>
        <w:t>María Rívas-Guevara </w:t>
      </w:r>
      <w:hyperlink r:id="rId168">
        <w:r>
          <w:rPr>
            <w:rFonts w:ascii="Times New Roman" w:hAnsi="Times New Roman"/>
            <w:position w:val="7"/>
            <w:sz w:val="13"/>
          </w:rPr>
          <w:t>e</w:t>
        </w:r>
        <w:r>
          <w:rPr>
            <w:rFonts w:ascii="Times New Roman" w:hAnsi="Times New Roman"/>
            <w:i/>
            <w:sz w:val="20"/>
          </w:rPr>
          <w:t>,</w:t>
        </w:r>
      </w:hyperlink>
      <w:r>
        <w:rPr>
          <w:rFonts w:ascii="Times New Roman" w:hAnsi="Times New Roman"/>
          <w:i/>
          <w:sz w:val="20"/>
        </w:rPr>
        <w:t> </w:t>
      </w:r>
      <w:hyperlink r:id="rId169">
        <w:r>
          <w:rPr>
            <w:rFonts w:ascii="Times New Roman" w:hAnsi="Times New Roman"/>
            <w:i/>
            <w:sz w:val="20"/>
          </w:rPr>
          <w:t>Esvieta Tenorio-Borroto</w:t>
        </w:r>
      </w:hyperlink>
      <w:r>
        <w:rPr>
          <w:rFonts w:ascii="Times New Roman" w:hAnsi="Times New Roman"/>
          <w:i/>
          <w:sz w:val="20"/>
        </w:rPr>
        <w:t> </w:t>
      </w:r>
      <w:r>
        <w:rPr>
          <w:rFonts w:ascii="Times New Roman" w:hAnsi="Times New Roman"/>
          <w:i/>
          <w:position w:val="7"/>
          <w:sz w:val="13"/>
        </w:rPr>
        <w:t>a</w:t>
      </w:r>
      <w:r>
        <w:rPr>
          <w:rFonts w:ascii="Times New Roman" w:hAnsi="Times New Roman"/>
          <w:i/>
          <w:sz w:val="20"/>
        </w:rPr>
        <w:t>, Rafael García-Vázquez </w:t>
      </w:r>
      <w:r>
        <w:rPr>
          <w:rFonts w:ascii="Times New Roman" w:hAnsi="Times New Roman"/>
          <w:i/>
          <w:position w:val="7"/>
          <w:sz w:val="13"/>
        </w:rPr>
        <w:t>c</w:t>
      </w:r>
      <w:r>
        <w:rPr>
          <w:rFonts w:ascii="Times New Roman" w:hAnsi="Times New Roman"/>
          <w:i/>
          <w:sz w:val="20"/>
        </w:rPr>
        <w:t>,</w:t>
      </w:r>
    </w:p>
    <w:p>
      <w:pPr>
        <w:spacing w:line="223" w:lineRule="exact" w:before="0"/>
        <w:ind w:left="154" w:right="0" w:firstLine="0"/>
        <w:jc w:val="center"/>
        <w:rPr>
          <w:rFonts w:ascii="Times New Roman" w:hAnsi="Times New Roman"/>
          <w:i/>
          <w:sz w:val="20"/>
        </w:rPr>
      </w:pPr>
      <w:r>
        <w:rPr>
          <w:rFonts w:ascii="Times New Roman" w:hAnsi="Times New Roman"/>
          <w:i/>
          <w:sz w:val="20"/>
        </w:rPr>
        <w:t>Alejandro Pazos </w:t>
      </w:r>
      <w:r>
        <w:rPr>
          <w:rFonts w:ascii="Times New Roman" w:hAnsi="Times New Roman"/>
          <w:i/>
          <w:position w:val="7"/>
          <w:sz w:val="13"/>
        </w:rPr>
        <w:t>c</w:t>
      </w:r>
      <w:r>
        <w:rPr>
          <w:rFonts w:ascii="Times New Roman" w:hAnsi="Times New Roman"/>
          <w:i/>
          <w:sz w:val="20"/>
        </w:rPr>
        <w:t>, and Humberto González-Díaz </w:t>
      </w:r>
      <w:r>
        <w:rPr>
          <w:rFonts w:ascii="Times New Roman" w:hAnsi="Times New Roman"/>
          <w:i/>
          <w:position w:val="7"/>
          <w:sz w:val="13"/>
        </w:rPr>
        <w:t>f,</w:t>
      </w:r>
      <w:hyperlink r:id="rId170">
        <w:r>
          <w:rPr>
            <w:rFonts w:ascii="Times New Roman" w:hAnsi="Times New Roman"/>
            <w:position w:val="7"/>
            <w:sz w:val="13"/>
          </w:rPr>
          <w:t>g,</w:t>
        </w:r>
      </w:hyperlink>
      <w:r>
        <w:rPr>
          <w:rFonts w:ascii="Times New Roman" w:hAnsi="Times New Roman"/>
          <w:i/>
          <w:sz w:val="20"/>
        </w:rPr>
        <w:t>*</w:t>
      </w:r>
    </w:p>
    <w:p>
      <w:pPr>
        <w:pStyle w:val="BodyText"/>
        <w:spacing w:before="2"/>
        <w:rPr>
          <w:rFonts w:ascii="Times New Roman"/>
          <w:i/>
          <w:sz w:val="19"/>
        </w:rPr>
      </w:pPr>
    </w:p>
    <w:p>
      <w:pPr>
        <w:spacing w:before="0"/>
        <w:ind w:left="259" w:right="288" w:firstLine="0"/>
        <w:jc w:val="left"/>
        <w:rPr>
          <w:rFonts w:ascii="Times New Roman"/>
          <w:i/>
          <w:sz w:val="18"/>
        </w:rPr>
      </w:pPr>
      <w:r>
        <w:rPr>
          <w:rFonts w:ascii="Times New Roman"/>
          <w:i/>
          <w:position w:val="7"/>
          <w:sz w:val="12"/>
        </w:rPr>
        <w:t>a </w:t>
      </w:r>
      <w:r>
        <w:rPr>
          <w:rFonts w:ascii="Times New Roman"/>
          <w:i/>
          <w:sz w:val="18"/>
        </w:rPr>
        <w:t>Faculty of Veterinary Medicine and Animal Science, Autonomous University of the State of Mexico (UAEM), Toluca, </w:t>
      </w:r>
      <w:r>
        <w:rPr>
          <w:rFonts w:ascii="Times New Roman"/>
          <w:i/>
          <w:sz w:val="18"/>
        </w:rPr>
        <w:t>50090, Mexico.</w:t>
      </w:r>
    </w:p>
    <w:p>
      <w:pPr>
        <w:spacing w:line="206" w:lineRule="exact" w:before="0"/>
        <w:ind w:left="259" w:right="0" w:firstLine="0"/>
        <w:jc w:val="both"/>
        <w:rPr>
          <w:rFonts w:ascii="Times New Roman"/>
          <w:i/>
          <w:sz w:val="18"/>
        </w:rPr>
      </w:pPr>
      <w:r>
        <w:rPr>
          <w:rFonts w:ascii="Times New Roman"/>
          <w:i/>
          <w:position w:val="7"/>
          <w:sz w:val="12"/>
        </w:rPr>
        <w:t>b </w:t>
      </w:r>
      <w:r>
        <w:rPr>
          <w:rFonts w:ascii="Times New Roman"/>
          <w:i/>
          <w:sz w:val="18"/>
        </w:rPr>
        <w:t>Key Laboratory of Subtropical Agro-ecological Engineering, Institute of Subtropical Agriculture, Chinese Academy of</w:t>
      </w:r>
    </w:p>
    <w:p>
      <w:pPr>
        <w:spacing w:line="200" w:lineRule="exact" w:before="4"/>
        <w:ind w:left="259" w:right="0" w:firstLine="0"/>
        <w:jc w:val="both"/>
        <w:rPr>
          <w:rFonts w:ascii="Times New Roman"/>
          <w:i/>
          <w:sz w:val="18"/>
        </w:rPr>
      </w:pPr>
      <w:r>
        <w:rPr>
          <w:rFonts w:ascii="Times New Roman"/>
          <w:i/>
          <w:sz w:val="18"/>
        </w:rPr>
        <w:t>Sciences (CAS), Changsha, Hunan, 410125, P. R. China</w:t>
      </w:r>
    </w:p>
    <w:p>
      <w:pPr>
        <w:spacing w:line="206" w:lineRule="exact" w:before="10"/>
        <w:ind w:left="259" w:right="288" w:firstLine="0"/>
        <w:jc w:val="left"/>
        <w:rPr>
          <w:rFonts w:ascii="Times New Roman" w:hAnsi="Times New Roman"/>
          <w:i/>
          <w:sz w:val="18"/>
        </w:rPr>
      </w:pPr>
      <w:r>
        <w:rPr>
          <w:rFonts w:ascii="Times New Roman" w:hAnsi="Times New Roman"/>
          <w:i/>
          <w:position w:val="7"/>
          <w:sz w:val="12"/>
        </w:rPr>
        <w:t>c </w:t>
      </w:r>
      <w:r>
        <w:rPr>
          <w:rFonts w:ascii="Times New Roman" w:hAnsi="Times New Roman"/>
          <w:i/>
          <w:sz w:val="18"/>
        </w:rPr>
        <w:t>Department of Information and Communications Technologies - INIBIC, University of A Coruna  (UDC),  Campus </w:t>
      </w:r>
      <w:r>
        <w:rPr>
          <w:rFonts w:ascii="Times New Roman" w:hAnsi="Times New Roman"/>
          <w:i/>
          <w:sz w:val="18"/>
        </w:rPr>
        <w:t>Elviña, 15071 A Coruña, Spain.</w:t>
      </w:r>
    </w:p>
    <w:p>
      <w:pPr>
        <w:spacing w:line="244" w:lineRule="auto" w:before="0"/>
        <w:ind w:left="259" w:right="288" w:firstLine="0"/>
        <w:jc w:val="left"/>
        <w:rPr>
          <w:rFonts w:ascii="Times New Roman"/>
          <w:i/>
          <w:sz w:val="18"/>
        </w:rPr>
      </w:pPr>
      <w:r>
        <w:rPr>
          <w:rFonts w:ascii="Cambria Math"/>
          <w:i/>
          <w:position w:val="4"/>
          <w:sz w:val="12"/>
        </w:rPr>
        <w:t>d </w:t>
      </w:r>
      <w:r>
        <w:rPr>
          <w:rFonts w:ascii="Times New Roman"/>
          <w:i/>
          <w:sz w:val="18"/>
        </w:rPr>
        <w:t>National Center for Disciplinary Research on Animal Physiology and Breeding, National Institute of Forestry, </w:t>
      </w:r>
      <w:r>
        <w:rPr>
          <w:rFonts w:ascii="Times New Roman"/>
          <w:i/>
          <w:sz w:val="18"/>
        </w:rPr>
        <w:t>Agriculture and Livestock Research, Queretaro, 76280, Mexico.</w:t>
      </w:r>
    </w:p>
    <w:p>
      <w:pPr>
        <w:spacing w:line="195" w:lineRule="exact" w:before="0"/>
        <w:ind w:left="259" w:right="0" w:firstLine="0"/>
        <w:jc w:val="both"/>
        <w:rPr>
          <w:rFonts w:ascii="Times New Roman"/>
          <w:i/>
          <w:sz w:val="18"/>
        </w:rPr>
      </w:pPr>
      <w:hyperlink r:id="rId168">
        <w:r>
          <w:rPr>
            <w:rFonts w:ascii="Times New Roman"/>
            <w:i/>
            <w:position w:val="7"/>
            <w:sz w:val="12"/>
          </w:rPr>
          <w:t>e</w:t>
        </w:r>
      </w:hyperlink>
      <w:r>
        <w:rPr>
          <w:rFonts w:ascii="Times New Roman"/>
          <w:i/>
          <w:position w:val="7"/>
          <w:sz w:val="12"/>
        </w:rPr>
        <w:t> </w:t>
      </w:r>
      <w:r>
        <w:rPr>
          <w:rFonts w:ascii="Times New Roman"/>
          <w:i/>
          <w:sz w:val="18"/>
        </w:rPr>
        <w:t>Ethnobiology and Biodiversity Research Center, Chapingo Autonomous University, Texcoco, 56230, Mexico.</w:t>
      </w:r>
    </w:p>
    <w:p>
      <w:pPr>
        <w:spacing w:line="204" w:lineRule="exact" w:before="0"/>
        <w:ind w:left="259" w:right="0" w:firstLine="0"/>
        <w:jc w:val="both"/>
        <w:rPr>
          <w:rFonts w:ascii="Times New Roman"/>
          <w:i/>
          <w:sz w:val="18"/>
        </w:rPr>
      </w:pPr>
      <w:r>
        <w:rPr>
          <w:rFonts w:ascii="Times New Roman"/>
          <w:i/>
          <w:position w:val="7"/>
          <w:sz w:val="12"/>
        </w:rPr>
        <w:t>f </w:t>
      </w:r>
      <w:r>
        <w:rPr>
          <w:rFonts w:ascii="Times New Roman"/>
          <w:i/>
          <w:sz w:val="18"/>
        </w:rPr>
        <w:t>Department of Organic Chemistry II, University of the Basque Country UPV/EHU, 48940, Leioa, Spain</w:t>
      </w:r>
    </w:p>
    <w:p>
      <w:pPr>
        <w:spacing w:line="269" w:lineRule="exact" w:before="0"/>
        <w:ind w:left="259" w:right="0" w:firstLine="0"/>
        <w:jc w:val="both"/>
        <w:rPr>
          <w:rFonts w:ascii="Times New Roman"/>
          <w:i/>
          <w:sz w:val="18"/>
        </w:rPr>
      </w:pPr>
      <w:r>
        <w:rPr>
          <w:rFonts w:ascii="Times New Roman"/>
          <w:position w:val="9"/>
          <w:sz w:val="16"/>
        </w:rPr>
        <w:t>g </w:t>
      </w:r>
      <w:r>
        <w:rPr>
          <w:rFonts w:ascii="Times New Roman"/>
          <w:i/>
          <w:sz w:val="18"/>
        </w:rPr>
        <w:t>IKERBASQUE, Basque Foundation for Science, 48011, Bilbao, Spain</w:t>
      </w:r>
    </w:p>
    <w:p>
      <w:pPr>
        <w:pStyle w:val="BodyText"/>
        <w:rPr>
          <w:rFonts w:ascii="Times New Roman"/>
          <w:i/>
          <w:sz w:val="20"/>
        </w:rPr>
      </w:pPr>
    </w:p>
    <w:p>
      <w:pPr>
        <w:pStyle w:val="BodyText"/>
        <w:spacing w:before="3"/>
        <w:rPr>
          <w:rFonts w:ascii="Times New Roman"/>
          <w:i/>
          <w:sz w:val="21"/>
        </w:rPr>
      </w:pPr>
      <w:r>
        <w:rPr/>
        <w:pict>
          <v:line style="position:absolute;mso-position-horizontal-relative:page;mso-position-vertical-relative:paragraph;z-index:4192;mso-wrap-distance-left:0;mso-wrap-distance-right:0" from="84.984001pt,14.398032pt" to="525.126742pt,14.398032pt" stroked="true" strokeweight=".4416pt" strokecolor="#000000">
            <w10:wrap type="topAndBottom"/>
          </v:line>
        </w:pict>
      </w:r>
      <w:r>
        <w:rPr/>
        <w:pict>
          <v:line style="position:absolute;mso-position-horizontal-relative:page;mso-position-vertical-relative:paragraph;z-index:4216;mso-wrap-distance-left:0;mso-wrap-distance-right:0" from="84.984001pt,26.898031pt" to="145.704004pt,26.898031pt" stroked="true" strokeweight=".4416pt" strokecolor="#000000">
            <w10:wrap type="topAndBottom"/>
          </v:line>
        </w:pict>
      </w:r>
    </w:p>
    <w:p>
      <w:pPr>
        <w:pStyle w:val="BodyText"/>
        <w:rPr>
          <w:rFonts w:ascii="Times New Roman"/>
          <w:i/>
          <w:sz w:val="15"/>
        </w:rPr>
      </w:pPr>
    </w:p>
    <w:p>
      <w:pPr>
        <w:pStyle w:val="BodyText"/>
        <w:spacing w:before="4"/>
        <w:rPr>
          <w:rFonts w:ascii="Times New Roman"/>
          <w:i/>
          <w:sz w:val="13"/>
        </w:rPr>
      </w:pPr>
    </w:p>
    <w:p>
      <w:pPr>
        <w:spacing w:line="240" w:lineRule="auto" w:before="73"/>
        <w:ind w:left="259" w:right="236" w:firstLine="0"/>
        <w:jc w:val="both"/>
        <w:rPr>
          <w:rFonts w:ascii="Times New Roman" w:hAnsi="Times New Roman"/>
          <w:sz w:val="22"/>
        </w:rPr>
      </w:pPr>
      <w:r>
        <w:rPr>
          <w:rFonts w:ascii="Times New Roman" w:hAnsi="Times New Roman"/>
          <w:sz w:val="22"/>
        </w:rPr>
        <w:t>ABSTRACT: Methane emission has attracted more and more attention by nutrition and environmental scientists. Unfortunately, the </w:t>
      </w:r>
      <w:r>
        <w:rPr>
          <w:rFonts w:ascii="Times New Roman" w:hAnsi="Times New Roman"/>
          <w:spacing w:val="-3"/>
          <w:sz w:val="22"/>
        </w:rPr>
        <w:t>number </w:t>
      </w:r>
      <w:r>
        <w:rPr>
          <w:rFonts w:ascii="Times New Roman" w:hAnsi="Times New Roman"/>
          <w:sz w:val="22"/>
        </w:rPr>
        <w:t>of factors influencing the phenomena is very high (chemical structure </w:t>
      </w:r>
      <w:r>
        <w:rPr>
          <w:rFonts w:ascii="Times New Roman" w:hAnsi="Times New Roman"/>
          <w:spacing w:val="-3"/>
          <w:sz w:val="22"/>
        </w:rPr>
        <w:t>of </w:t>
      </w:r>
      <w:r>
        <w:rPr>
          <w:rFonts w:ascii="Times New Roman" w:hAnsi="Times New Roman"/>
          <w:sz w:val="22"/>
        </w:rPr>
        <w:t>metabolites, </w:t>
      </w:r>
      <w:r>
        <w:rPr>
          <w:rFonts w:ascii="Times New Roman" w:hAnsi="Times New Roman"/>
          <w:spacing w:val="-3"/>
          <w:sz w:val="22"/>
        </w:rPr>
        <w:t>time, </w:t>
      </w:r>
      <w:r>
        <w:rPr>
          <w:rFonts w:ascii="Times New Roman" w:hAnsi="Times New Roman"/>
          <w:sz w:val="22"/>
        </w:rPr>
        <w:t>methane pressure, microbiome composition, diet, </w:t>
      </w:r>
      <w:r>
        <w:rPr>
          <w:rFonts w:ascii="Times New Roman" w:hAnsi="Times New Roman"/>
          <w:i/>
          <w:sz w:val="22"/>
        </w:rPr>
        <w:t>etc</w:t>
      </w:r>
      <w:r>
        <w:rPr>
          <w:rFonts w:ascii="Times New Roman" w:hAnsi="Times New Roman"/>
          <w:sz w:val="22"/>
        </w:rPr>
        <w:t>.). This fact determines the accumulation of a large amount </w:t>
      </w:r>
      <w:r>
        <w:rPr>
          <w:rFonts w:ascii="Times New Roman" w:hAnsi="Times New Roman"/>
          <w:spacing w:val="-3"/>
          <w:sz w:val="22"/>
        </w:rPr>
        <w:t>of </w:t>
      </w:r>
      <w:r>
        <w:rPr>
          <w:rFonts w:ascii="Times New Roman" w:hAnsi="Times New Roman"/>
          <w:sz w:val="22"/>
        </w:rPr>
        <w:t>experimental data from different experiments; which in turn difficult the study. In this work, we propose a new Chemometric methodology </w:t>
      </w:r>
      <w:r>
        <w:rPr>
          <w:rFonts w:ascii="Times New Roman" w:hAnsi="Times New Roman"/>
          <w:spacing w:val="2"/>
          <w:sz w:val="22"/>
        </w:rPr>
        <w:t>to </w:t>
      </w:r>
      <w:r>
        <w:rPr>
          <w:rFonts w:ascii="Times New Roman" w:hAnsi="Times New Roman"/>
          <w:sz w:val="22"/>
        </w:rPr>
        <w:t>integrate different laboratory experiments in this field. Firstly, we report (1) new laboratory experiments </w:t>
      </w:r>
      <w:r>
        <w:rPr>
          <w:rFonts w:ascii="Times New Roman" w:hAnsi="Times New Roman"/>
          <w:spacing w:val="2"/>
          <w:sz w:val="22"/>
        </w:rPr>
        <w:t>to </w:t>
      </w:r>
      <w:r>
        <w:rPr>
          <w:rFonts w:ascii="Times New Roman" w:hAnsi="Times New Roman"/>
          <w:sz w:val="22"/>
        </w:rPr>
        <w:t>measure by separate (1a) methane production (gas phase), (1b) volatile fatty acid distribution (liquid phase) and (1c) fatty acid distribution in rumen microbiome. Next, we report the new (2) Chemometric methodology that integrates all the data in a </w:t>
      </w:r>
      <w:r>
        <w:rPr>
          <w:rFonts w:ascii="Times New Roman" w:hAnsi="Times New Roman"/>
          <w:spacing w:val="2"/>
          <w:sz w:val="22"/>
        </w:rPr>
        <w:t>single </w:t>
      </w:r>
      <w:r>
        <w:rPr>
          <w:rFonts w:ascii="Times New Roman" w:hAnsi="Times New Roman"/>
          <w:sz w:val="22"/>
        </w:rPr>
        <w:t>theoretical model. The laboratory work includes two experimental sections (</w:t>
      </w:r>
      <w:r>
        <w:rPr>
          <w:rFonts w:ascii="Times New Roman" w:hAnsi="Times New Roman"/>
          <w:b/>
          <w:sz w:val="22"/>
        </w:rPr>
        <w:t>a</w:t>
      </w:r>
      <w:r>
        <w:rPr>
          <w:rFonts w:ascii="Times New Roman" w:hAnsi="Times New Roman"/>
          <w:sz w:val="22"/>
        </w:rPr>
        <w:t>) to measure the methane production, pH, gas pressure and temperature and </w:t>
      </w:r>
      <w:r>
        <w:rPr>
          <w:rFonts w:ascii="Times New Roman" w:hAnsi="Times New Roman"/>
          <w:spacing w:val="2"/>
          <w:sz w:val="22"/>
        </w:rPr>
        <w:t>(</w:t>
      </w:r>
      <w:r>
        <w:rPr>
          <w:rFonts w:ascii="Times New Roman" w:hAnsi="Times New Roman"/>
          <w:b/>
          <w:spacing w:val="2"/>
          <w:sz w:val="22"/>
        </w:rPr>
        <w:t>b</w:t>
      </w:r>
      <w:r>
        <w:rPr>
          <w:rFonts w:ascii="Times New Roman" w:hAnsi="Times New Roman"/>
          <w:spacing w:val="2"/>
          <w:sz w:val="22"/>
        </w:rPr>
        <w:t>) </w:t>
      </w:r>
      <w:r>
        <w:rPr>
          <w:rFonts w:ascii="Times New Roman" w:hAnsi="Times New Roman"/>
          <w:sz w:val="22"/>
        </w:rPr>
        <w:t>fatty acid distribution. The section (</w:t>
      </w:r>
      <w:r>
        <w:rPr>
          <w:rFonts w:ascii="Times New Roman" w:hAnsi="Times New Roman"/>
          <w:b/>
          <w:sz w:val="22"/>
        </w:rPr>
        <w:t>b</w:t>
      </w:r>
      <w:r>
        <w:rPr>
          <w:rFonts w:ascii="Times New Roman" w:hAnsi="Times New Roman"/>
          <w:sz w:val="22"/>
        </w:rPr>
        <w:t>) include two different experimental parts (</w:t>
      </w:r>
      <w:r>
        <w:rPr>
          <w:rFonts w:ascii="Times New Roman" w:hAnsi="Times New Roman"/>
          <w:b/>
          <w:sz w:val="22"/>
        </w:rPr>
        <w:t>b.1</w:t>
      </w:r>
      <w:r>
        <w:rPr>
          <w:rFonts w:ascii="Times New Roman" w:hAnsi="Times New Roman"/>
          <w:sz w:val="22"/>
        </w:rPr>
        <w:t>) chromatographic determination </w:t>
      </w:r>
      <w:r>
        <w:rPr>
          <w:rFonts w:ascii="Times New Roman" w:hAnsi="Times New Roman"/>
          <w:spacing w:val="-3"/>
          <w:sz w:val="22"/>
        </w:rPr>
        <w:t>of </w:t>
      </w:r>
      <w:r>
        <w:rPr>
          <w:rFonts w:ascii="Times New Roman" w:hAnsi="Times New Roman"/>
          <w:sz w:val="22"/>
        </w:rPr>
        <w:t>internal peak areas (IPA%) </w:t>
      </w:r>
      <w:r>
        <w:rPr>
          <w:rFonts w:ascii="Times New Roman" w:hAnsi="Times New Roman"/>
          <w:spacing w:val="-3"/>
          <w:sz w:val="22"/>
        </w:rPr>
        <w:t>of </w:t>
      </w:r>
      <w:r>
        <w:rPr>
          <w:rFonts w:ascii="Times New Roman" w:hAnsi="Times New Roman"/>
          <w:sz w:val="22"/>
        </w:rPr>
        <w:t>long chain fatty acids and (</w:t>
      </w:r>
      <w:r>
        <w:rPr>
          <w:rFonts w:ascii="Times New Roman" w:hAnsi="Times New Roman"/>
          <w:b/>
          <w:sz w:val="22"/>
        </w:rPr>
        <w:t>b.2</w:t>
      </w:r>
      <w:r>
        <w:rPr>
          <w:rFonts w:ascii="Times New Roman" w:hAnsi="Times New Roman"/>
          <w:sz w:val="22"/>
        </w:rPr>
        <w:t>) volatile fatty acids. In all studies, we can use different treatments, distribution phase (media, bacteria, </w:t>
      </w:r>
      <w:r>
        <w:rPr>
          <w:rFonts w:ascii="Times New Roman" w:hAnsi="Times New Roman"/>
          <w:spacing w:val="-3"/>
          <w:sz w:val="22"/>
        </w:rPr>
        <w:t>or </w:t>
      </w:r>
      <w:r>
        <w:rPr>
          <w:rFonts w:ascii="Times New Roman" w:hAnsi="Times New Roman"/>
          <w:sz w:val="22"/>
        </w:rPr>
        <w:t>protozoan microbiome), </w:t>
      </w:r>
      <w:r>
        <w:rPr>
          <w:rFonts w:ascii="Times New Roman" w:hAnsi="Times New Roman"/>
          <w:i/>
          <w:sz w:val="22"/>
        </w:rPr>
        <w:t>cis</w:t>
      </w:r>
      <w:r>
        <w:rPr>
          <w:rFonts w:ascii="Times New Roman" w:hAnsi="Times New Roman"/>
          <w:sz w:val="22"/>
        </w:rPr>
        <w:t>/</w:t>
      </w:r>
      <w:r>
        <w:rPr>
          <w:rFonts w:ascii="Times New Roman" w:hAnsi="Times New Roman"/>
          <w:i/>
          <w:sz w:val="22"/>
        </w:rPr>
        <w:t>trans </w:t>
      </w:r>
      <w:r>
        <w:rPr>
          <w:rFonts w:ascii="Times New Roman" w:hAnsi="Times New Roman"/>
          <w:sz w:val="22"/>
        </w:rPr>
        <w:t>patterns, experimental protocols, </w:t>
      </w:r>
      <w:r>
        <w:rPr>
          <w:rFonts w:ascii="Times New Roman" w:hAnsi="Times New Roman"/>
          <w:i/>
          <w:sz w:val="22"/>
        </w:rPr>
        <w:t>etc</w:t>
      </w:r>
      <w:r>
        <w:rPr>
          <w:rFonts w:ascii="Times New Roman" w:hAnsi="Times New Roman"/>
          <w:sz w:val="22"/>
        </w:rPr>
        <w:t>. Next, we combined Perturbation Theory (PT), Linear Free-Energy Relationships (LFER), Linear Discriminant Analysis (LDA), and Artificial Neural Networks (ANNs) to develop linear and non-linear </w:t>
      </w:r>
      <w:r>
        <w:rPr>
          <w:rFonts w:ascii="Times New Roman" w:hAnsi="Times New Roman"/>
          <w:spacing w:val="-3"/>
          <w:sz w:val="22"/>
        </w:rPr>
        <w:t>models of </w:t>
      </w:r>
      <w:r>
        <w:rPr>
          <w:rFonts w:ascii="Times New Roman" w:hAnsi="Times New Roman"/>
          <w:sz w:val="22"/>
        </w:rPr>
        <w:t>perturbations in Methane production – fatty acid distribution network. The best PT-LFER </w:t>
      </w:r>
      <w:r>
        <w:rPr>
          <w:rFonts w:ascii="Times New Roman" w:hAnsi="Times New Roman"/>
          <w:spacing w:val="-3"/>
          <w:sz w:val="22"/>
        </w:rPr>
        <w:t>model </w:t>
      </w:r>
      <w:r>
        <w:rPr>
          <w:rFonts w:ascii="Times New Roman" w:hAnsi="Times New Roman"/>
          <w:sz w:val="22"/>
        </w:rPr>
        <w:t>found presented values </w:t>
      </w:r>
      <w:r>
        <w:rPr>
          <w:rFonts w:ascii="Times New Roman" w:hAnsi="Times New Roman"/>
          <w:spacing w:val="-3"/>
          <w:sz w:val="22"/>
        </w:rPr>
        <w:t>of </w:t>
      </w:r>
      <w:r>
        <w:rPr>
          <w:rFonts w:ascii="Times New Roman" w:hAnsi="Times New Roman"/>
          <w:sz w:val="22"/>
        </w:rPr>
        <w:t>Sensitivity, Specificity, and</w:t>
      </w:r>
      <w:r>
        <w:rPr>
          <w:rFonts w:ascii="Times New Roman" w:hAnsi="Times New Roman"/>
          <w:spacing w:val="13"/>
          <w:sz w:val="22"/>
        </w:rPr>
        <w:t> </w:t>
      </w:r>
      <w:r>
        <w:rPr>
          <w:rFonts w:ascii="Times New Roman" w:hAnsi="Times New Roman"/>
          <w:sz w:val="22"/>
        </w:rPr>
        <w:t>Accuracy</w:t>
      </w:r>
    </w:p>
    <w:p>
      <w:pPr>
        <w:spacing w:line="242" w:lineRule="auto" w:before="0"/>
        <w:ind w:left="259" w:right="242" w:firstLine="0"/>
        <w:jc w:val="both"/>
        <w:rPr>
          <w:rFonts w:ascii="Times New Roman"/>
          <w:sz w:val="22"/>
        </w:rPr>
      </w:pPr>
      <w:r>
        <w:rPr>
          <w:rFonts w:ascii="Times New Roman"/>
          <w:sz w:val="22"/>
        </w:rPr>
        <w:t>&gt;94% for 545,695 cases of perturbations in experimental data. This methodology may be useful to quantify the effect of perturbations due to changes in experimental conditions in the study of fatty acid distribution when we need to carry out parallel experiments in different phases.</w:t>
      </w:r>
    </w:p>
    <w:p>
      <w:pPr>
        <w:pStyle w:val="BodyText"/>
        <w:spacing w:before="8"/>
        <w:rPr>
          <w:rFonts w:ascii="Times New Roman"/>
          <w:sz w:val="23"/>
        </w:rPr>
      </w:pPr>
    </w:p>
    <w:p>
      <w:pPr>
        <w:spacing w:before="0"/>
        <w:ind w:left="259" w:right="240" w:firstLine="0"/>
        <w:jc w:val="both"/>
        <w:rPr>
          <w:rFonts w:ascii="Times New Roman"/>
          <w:sz w:val="22"/>
        </w:rPr>
      </w:pPr>
      <w:r>
        <w:rPr>
          <w:rFonts w:ascii="Times New Roman"/>
          <w:i/>
          <w:sz w:val="22"/>
        </w:rPr>
        <w:t>Keywords</w:t>
      </w:r>
      <w:r>
        <w:rPr>
          <w:rFonts w:ascii="Times New Roman"/>
          <w:sz w:val="22"/>
        </w:rPr>
        <w:t>: Complex Networks; Artificial Neural Networks; Perturbation Theory; Linear Free- Energy Relationships; Methane Production; Fatty Acids in Ruminal Microbiome.</w:t>
      </w:r>
    </w:p>
    <w:p>
      <w:pPr>
        <w:spacing w:after="0"/>
        <w:jc w:val="both"/>
        <w:rPr>
          <w:rFonts w:ascii="Times New Roman"/>
          <w:sz w:val="22"/>
        </w:rPr>
        <w:sectPr>
          <w:headerReference w:type="default" r:id="rId167"/>
          <w:pgSz w:w="12240" w:h="15840"/>
          <w:pgMar w:header="684" w:footer="1184" w:top="1380" w:bottom="1380" w:left="1440" w:right="1460"/>
        </w:sect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ListParagraph"/>
        <w:numPr>
          <w:ilvl w:val="0"/>
          <w:numId w:val="17"/>
        </w:numPr>
        <w:tabs>
          <w:tab w:pos="504" w:val="left" w:leader="none"/>
        </w:tabs>
        <w:spacing w:line="240" w:lineRule="auto" w:before="69" w:after="0"/>
        <w:ind w:left="504" w:right="0" w:hanging="245"/>
        <w:jc w:val="both"/>
        <w:rPr>
          <w:rFonts w:ascii="Times New Roman"/>
          <w:b/>
          <w:sz w:val="24"/>
        </w:rPr>
      </w:pPr>
      <w:r>
        <w:rPr>
          <w:rFonts w:ascii="Times New Roman"/>
          <w:b/>
          <w:sz w:val="24"/>
        </w:rPr>
        <w:t>INTRODUCTION</w:t>
      </w:r>
    </w:p>
    <w:p>
      <w:pPr>
        <w:spacing w:line="240" w:lineRule="auto" w:before="117"/>
        <w:ind w:left="259" w:right="235" w:firstLine="0"/>
        <w:jc w:val="both"/>
        <w:rPr>
          <w:rFonts w:ascii="Times New Roman" w:hAnsi="Times New Roman"/>
          <w:sz w:val="22"/>
        </w:rPr>
      </w:pPr>
      <w:r>
        <w:rPr/>
        <w:pict>
          <v:line style="position:absolute;mso-position-horizontal-relative:page;mso-position-vertical-relative:paragraph;z-index:-328024" from="495.549988pt,271.069519pt" to="495.549988pt,284.269519pt" stroked="true" strokeweight="2.88pt" strokecolor="#ffffff">
            <w10:wrap type="none"/>
          </v:line>
        </w:pict>
      </w:r>
      <w:r>
        <w:rPr>
          <w:rFonts w:ascii="Times New Roman" w:hAnsi="Times New Roman"/>
          <w:sz w:val="22"/>
        </w:rPr>
        <w:t>In recent years, methane emission has attracted more and more attention by nutrition and environmental scientists. There are lots </w:t>
      </w:r>
      <w:r>
        <w:rPr>
          <w:rFonts w:ascii="Times New Roman" w:hAnsi="Times New Roman"/>
          <w:spacing w:val="-3"/>
          <w:sz w:val="22"/>
        </w:rPr>
        <w:t>of </w:t>
      </w:r>
      <w:r>
        <w:rPr>
          <w:rFonts w:ascii="Times New Roman" w:hAnsi="Times New Roman"/>
          <w:sz w:val="22"/>
        </w:rPr>
        <w:t>methods </w:t>
      </w:r>
      <w:r>
        <w:rPr>
          <w:rFonts w:ascii="Times New Roman" w:hAnsi="Times New Roman"/>
          <w:spacing w:val="-3"/>
          <w:sz w:val="22"/>
        </w:rPr>
        <w:t>or </w:t>
      </w:r>
      <w:r>
        <w:rPr>
          <w:rFonts w:ascii="Times New Roman" w:hAnsi="Times New Roman"/>
          <w:sz w:val="22"/>
        </w:rPr>
        <w:t>chemical substances developed to improve  the ruminant growth performance and meanwhile </w:t>
      </w:r>
      <w:r>
        <w:rPr>
          <w:rFonts w:ascii="Times New Roman" w:hAnsi="Times New Roman"/>
          <w:spacing w:val="2"/>
          <w:sz w:val="22"/>
        </w:rPr>
        <w:t>to </w:t>
      </w:r>
      <w:r>
        <w:rPr>
          <w:rFonts w:ascii="Times New Roman" w:hAnsi="Times New Roman"/>
          <w:sz w:val="22"/>
        </w:rPr>
        <w:t>reduce the emission of greenhouse gases (methane) [1, 2]. For instance, essential oils </w:t>
      </w:r>
      <w:r>
        <w:rPr>
          <w:rFonts w:ascii="Times New Roman" w:hAnsi="Times New Roman"/>
          <w:spacing w:val="-3"/>
          <w:sz w:val="22"/>
        </w:rPr>
        <w:t>or </w:t>
      </w:r>
      <w:r>
        <w:rPr>
          <w:rFonts w:ascii="Times New Roman" w:hAnsi="Times New Roman"/>
          <w:sz w:val="22"/>
        </w:rPr>
        <w:t>functional fatty acids are the one type of efficient methods </w:t>
      </w:r>
      <w:r>
        <w:rPr>
          <w:rFonts w:ascii="Times New Roman" w:hAnsi="Times New Roman"/>
          <w:spacing w:val="2"/>
          <w:sz w:val="22"/>
        </w:rPr>
        <w:t>to </w:t>
      </w:r>
      <w:r>
        <w:rPr>
          <w:rFonts w:ascii="Times New Roman" w:hAnsi="Times New Roman"/>
          <w:sz w:val="22"/>
        </w:rPr>
        <w:t>reduce methane emission from rumen [3-6]. Among, ω-3 fatty acids also proved to efficient to reduce the methane emission [7-9]. Bacteria and protozoan, as the protagonists, participate in the metabolism processes </w:t>
      </w:r>
      <w:r>
        <w:rPr>
          <w:rFonts w:ascii="Times New Roman" w:hAnsi="Times New Roman"/>
          <w:spacing w:val="-3"/>
          <w:sz w:val="22"/>
        </w:rPr>
        <w:t>of </w:t>
      </w:r>
      <w:r>
        <w:rPr>
          <w:rFonts w:ascii="Times New Roman" w:hAnsi="Times New Roman"/>
          <w:sz w:val="22"/>
        </w:rPr>
        <w:t>exogenous fibre, lipid, </w:t>
      </w:r>
      <w:r>
        <w:rPr>
          <w:rFonts w:ascii="Times New Roman" w:hAnsi="Times New Roman"/>
          <w:spacing w:val="-3"/>
          <w:sz w:val="22"/>
        </w:rPr>
        <w:t>or </w:t>
      </w:r>
      <w:r>
        <w:rPr>
          <w:rFonts w:ascii="Times New Roman" w:hAnsi="Times New Roman"/>
          <w:sz w:val="22"/>
        </w:rPr>
        <w:t>protein resources. There is a strong correlation between the microbe activity (polarity, fluidity, permeability </w:t>
      </w:r>
      <w:r>
        <w:rPr>
          <w:rFonts w:ascii="Times New Roman" w:hAnsi="Times New Roman"/>
          <w:i/>
          <w:sz w:val="22"/>
        </w:rPr>
        <w:t>etc</w:t>
      </w:r>
      <w:r>
        <w:rPr>
          <w:rFonts w:ascii="Times New Roman" w:hAnsi="Times New Roman"/>
          <w:sz w:val="22"/>
        </w:rPr>
        <w:t>.) and the cell membrane structure compositions, mainly composited </w:t>
      </w:r>
      <w:r>
        <w:rPr>
          <w:rFonts w:ascii="Times New Roman" w:hAnsi="Times New Roman"/>
          <w:spacing w:val="-3"/>
          <w:sz w:val="22"/>
        </w:rPr>
        <w:t>of </w:t>
      </w:r>
      <w:r>
        <w:rPr>
          <w:rFonts w:ascii="Times New Roman" w:hAnsi="Times New Roman"/>
          <w:sz w:val="22"/>
        </w:rPr>
        <w:t>various fatty acids (</w:t>
      </w:r>
      <w:r>
        <w:rPr>
          <w:rFonts w:ascii="Times New Roman" w:hAnsi="Times New Roman"/>
          <w:i/>
          <w:sz w:val="22"/>
        </w:rPr>
        <w:t>e.g</w:t>
      </w:r>
      <w:r>
        <w:rPr>
          <w:rFonts w:ascii="Times New Roman" w:hAnsi="Times New Roman"/>
          <w:sz w:val="22"/>
        </w:rPr>
        <w:t>., </w:t>
      </w:r>
      <w:hyperlink r:id="rId171">
        <w:r>
          <w:rPr>
            <w:rFonts w:ascii="Times New Roman" w:hAnsi="Times New Roman"/>
            <w:sz w:val="22"/>
          </w:rPr>
          <w:t>phospholipids,</w:t>
        </w:r>
      </w:hyperlink>
      <w:r>
        <w:rPr>
          <w:rFonts w:ascii="Times New Roman" w:hAnsi="Times New Roman"/>
          <w:sz w:val="22"/>
        </w:rPr>
        <w:t> </w:t>
      </w:r>
      <w:hyperlink r:id="rId172">
        <w:r>
          <w:rPr>
            <w:rFonts w:ascii="Times New Roman" w:hAnsi="Times New Roman"/>
            <w:sz w:val="22"/>
          </w:rPr>
          <w:t>glycolipids,</w:t>
        </w:r>
      </w:hyperlink>
      <w:r>
        <w:rPr>
          <w:rFonts w:ascii="Times New Roman" w:hAnsi="Times New Roman"/>
          <w:sz w:val="22"/>
        </w:rPr>
        <w:t> and </w:t>
      </w:r>
      <w:hyperlink r:id="rId173">
        <w:r>
          <w:rPr>
            <w:rFonts w:ascii="Times New Roman" w:hAnsi="Times New Roman"/>
            <w:sz w:val="22"/>
          </w:rPr>
          <w:t>sterols</w:t>
        </w:r>
      </w:hyperlink>
      <w:r>
        <w:rPr>
          <w:rFonts w:ascii="Times New Roman" w:hAnsi="Times New Roman"/>
          <w:sz w:val="22"/>
        </w:rPr>
        <w:t>). Herein, combined with inside fatty acids composition changeable in bacterial and protozoan membrane and other parameters (such as pH, gas pressure </w:t>
      </w:r>
      <w:r>
        <w:rPr>
          <w:rFonts w:ascii="Times New Roman" w:hAnsi="Times New Roman"/>
          <w:spacing w:val="2"/>
          <w:sz w:val="22"/>
        </w:rPr>
        <w:t>and </w:t>
      </w:r>
      <w:r>
        <w:rPr>
          <w:rFonts w:ascii="Times New Roman" w:hAnsi="Times New Roman"/>
          <w:sz w:val="22"/>
        </w:rPr>
        <w:t>temperature) with some outputs (methane mission, </w:t>
      </w:r>
      <w:r>
        <w:rPr>
          <w:rFonts w:ascii="Times New Roman" w:hAnsi="Times New Roman"/>
          <w:spacing w:val="-3"/>
          <w:sz w:val="22"/>
        </w:rPr>
        <w:t>or other </w:t>
      </w:r>
      <w:r>
        <w:rPr>
          <w:rFonts w:ascii="Times New Roman" w:hAnsi="Times New Roman"/>
          <w:sz w:val="22"/>
        </w:rPr>
        <w:t>nutritional elements) of this complex system should  be an interesting thing to reflex the reality </w:t>
      </w:r>
      <w:r>
        <w:rPr>
          <w:rFonts w:ascii="Times New Roman" w:hAnsi="Times New Roman"/>
          <w:spacing w:val="-3"/>
          <w:sz w:val="22"/>
        </w:rPr>
        <w:t>of </w:t>
      </w:r>
      <w:r>
        <w:rPr>
          <w:rFonts w:ascii="Times New Roman" w:hAnsi="Times New Roman"/>
          <w:sz w:val="22"/>
        </w:rPr>
        <w:t>rumen complex metabolism processes [7-9]. Adjusting the rumen fermentation </w:t>
      </w:r>
      <w:r>
        <w:rPr>
          <w:rFonts w:ascii="Times New Roman" w:hAnsi="Times New Roman"/>
          <w:spacing w:val="-3"/>
          <w:sz w:val="22"/>
        </w:rPr>
        <w:t>or </w:t>
      </w:r>
      <w:r>
        <w:rPr>
          <w:rFonts w:ascii="Times New Roman" w:hAnsi="Times New Roman"/>
          <w:sz w:val="22"/>
        </w:rPr>
        <w:t>metabolism pathway with exogenous lipid resources abundant in plant- derived ω-3 PUFAs is an efficient method to enrichment ω-3 PUFAs contents in ruminant </w:t>
      </w:r>
      <w:r>
        <w:rPr>
          <w:rFonts w:ascii="Times New Roman" w:hAnsi="Times New Roman"/>
          <w:spacing w:val="-3"/>
          <w:sz w:val="22"/>
        </w:rPr>
        <w:t>meat or </w:t>
      </w:r>
      <w:r>
        <w:rPr>
          <w:rFonts w:ascii="Times New Roman" w:hAnsi="Times New Roman"/>
          <w:sz w:val="22"/>
        </w:rPr>
        <w:t>milk. However, the complex metabolism </w:t>
      </w:r>
      <w:r>
        <w:rPr>
          <w:rFonts w:ascii="Times New Roman" w:hAnsi="Times New Roman"/>
          <w:spacing w:val="-3"/>
          <w:sz w:val="22"/>
        </w:rPr>
        <w:t>or </w:t>
      </w:r>
      <w:r>
        <w:rPr>
          <w:rFonts w:ascii="Times New Roman" w:hAnsi="Times New Roman"/>
          <w:sz w:val="22"/>
        </w:rPr>
        <w:t>biohydrogenation processes significantly reduce the rumen bypass exogenous PUFAs. To address this problem, it is postulated that fatty acid compositions in bacterial and protozoan membranes changed with supply </w:t>
      </w:r>
      <w:r>
        <w:rPr>
          <w:rFonts w:ascii="Times New Roman" w:hAnsi="Times New Roman"/>
          <w:spacing w:val="-3"/>
          <w:sz w:val="22"/>
        </w:rPr>
        <w:t>of </w:t>
      </w:r>
      <w:r>
        <w:rPr>
          <w:rFonts w:ascii="Times New Roman" w:hAnsi="Times New Roman"/>
          <w:sz w:val="22"/>
        </w:rPr>
        <w:t>different ω-6/ω-3 ratios based on the favorable and detrimental scope in diet. For instance, Petit </w:t>
      </w:r>
      <w:r>
        <w:rPr>
          <w:rFonts w:ascii="Times New Roman" w:hAnsi="Times New Roman"/>
          <w:i/>
          <w:sz w:val="22"/>
        </w:rPr>
        <w:t>et al</w:t>
      </w:r>
      <w:r>
        <w:rPr>
          <w:rFonts w:ascii="Times New Roman" w:hAnsi="Times New Roman"/>
          <w:sz w:val="22"/>
        </w:rPr>
        <w:t>. reported linseed  enrich of linolenic acid provided to cows rations, resulted in the lowest ω-6/ω-3 ratio in milk compared to micronized soybeans </w:t>
      </w:r>
      <w:r>
        <w:rPr>
          <w:rFonts w:ascii="Times New Roman" w:hAnsi="Times New Roman"/>
          <w:spacing w:val="-3"/>
          <w:sz w:val="22"/>
        </w:rPr>
        <w:t>or </w:t>
      </w:r>
      <w:r>
        <w:rPr>
          <w:rFonts w:ascii="Times New Roman" w:hAnsi="Times New Roman"/>
          <w:sz w:val="22"/>
        </w:rPr>
        <w:t>sunflower seeds [10]. </w:t>
      </w:r>
      <w:r>
        <w:rPr>
          <w:rFonts w:ascii="Times New Roman" w:hAnsi="Times New Roman"/>
          <w:spacing w:val="-3"/>
          <w:sz w:val="22"/>
        </w:rPr>
        <w:t>Hess </w:t>
      </w:r>
      <w:r>
        <w:rPr>
          <w:rFonts w:ascii="Times New Roman" w:hAnsi="Times New Roman"/>
          <w:i/>
          <w:sz w:val="22"/>
        </w:rPr>
        <w:t>et al.</w:t>
      </w:r>
      <w:r>
        <w:rPr>
          <w:rFonts w:ascii="Times New Roman" w:hAnsi="Times New Roman"/>
          <w:sz w:val="22"/>
        </w:rPr>
        <w:t>[11] proved that incorporation </w:t>
      </w:r>
      <w:r>
        <w:rPr>
          <w:rFonts w:ascii="Times New Roman" w:hAnsi="Times New Roman"/>
          <w:spacing w:val="-3"/>
          <w:sz w:val="22"/>
        </w:rPr>
        <w:t>of </w:t>
      </w:r>
      <w:r>
        <w:rPr>
          <w:rFonts w:ascii="Times New Roman" w:hAnsi="Times New Roman"/>
          <w:sz w:val="22"/>
        </w:rPr>
        <w:t>ω-3 fatty acids </w:t>
      </w:r>
      <w:r>
        <w:rPr>
          <w:rFonts w:ascii="Times New Roman" w:hAnsi="Times New Roman"/>
          <w:spacing w:val="-3"/>
          <w:sz w:val="22"/>
        </w:rPr>
        <w:t>of </w:t>
      </w:r>
      <w:r>
        <w:rPr>
          <w:rFonts w:ascii="Times New Roman" w:hAnsi="Times New Roman"/>
          <w:sz w:val="22"/>
        </w:rPr>
        <w:t>animal blood and muscle depends directly on the dietary fatty acid type. On the other hand, LCFAs </w:t>
      </w:r>
      <w:r>
        <w:rPr>
          <w:rFonts w:ascii="Times New Roman" w:hAnsi="Times New Roman"/>
          <w:spacing w:val="-3"/>
          <w:sz w:val="22"/>
        </w:rPr>
        <w:t>must </w:t>
      </w:r>
      <w:r>
        <w:rPr>
          <w:rFonts w:ascii="Times New Roman" w:hAnsi="Times New Roman"/>
          <w:sz w:val="22"/>
        </w:rPr>
        <w:t>be methylated by a </w:t>
      </w:r>
      <w:r>
        <w:rPr>
          <w:rFonts w:ascii="Times New Roman" w:hAnsi="Times New Roman"/>
          <w:spacing w:val="-3"/>
          <w:sz w:val="22"/>
        </w:rPr>
        <w:t>means of </w:t>
      </w:r>
      <w:r>
        <w:rPr>
          <w:rFonts w:ascii="Times New Roman" w:hAnsi="Times New Roman"/>
          <w:sz w:val="22"/>
        </w:rPr>
        <w:t>acid-/base- methylation before determined by gas chromatograph</w:t>
      </w:r>
      <w:r>
        <w:rPr>
          <w:rFonts w:ascii="Times New Roman" w:hAnsi="Times New Roman"/>
          <w:spacing w:val="-5"/>
          <w:sz w:val="22"/>
        </w:rPr>
        <w:t> </w:t>
      </w:r>
      <w:r>
        <w:rPr>
          <w:rFonts w:ascii="Times New Roman" w:hAnsi="Times New Roman"/>
          <w:sz w:val="22"/>
        </w:rPr>
        <w:t>[12-14].</w:t>
      </w:r>
    </w:p>
    <w:p>
      <w:pPr>
        <w:spacing w:line="240" w:lineRule="auto" w:before="0"/>
        <w:ind w:left="259" w:right="236" w:firstLine="283"/>
        <w:jc w:val="both"/>
        <w:rPr>
          <w:rFonts w:ascii="Times New Roman"/>
          <w:sz w:val="22"/>
        </w:rPr>
      </w:pPr>
      <w:r>
        <w:rPr/>
        <w:pict>
          <v:line style="position:absolute;mso-position-horizontal-relative:page;mso-position-vertical-relative:paragraph;z-index:-328000" from="266.391998pt,50.369537pt" to="266.391998pt,63.569537pt" stroked="true" strokeweight="4.104pt" strokecolor="#ffffff">
            <w10:wrap type="none"/>
          </v:line>
        </w:pict>
      </w:r>
      <w:r>
        <w:rPr>
          <w:rFonts w:ascii="Times New Roman"/>
          <w:sz w:val="22"/>
        </w:rPr>
        <w:t>In short, the molecular structure of exogenous fatty acids plays a very important role in regulatory mechanism on rumen metabolism pathway and processes. It implies that it is reasonable to combine the molecular structure properties and the amount of fatty acids in bacterial or protozoan membrane to predict the rumen lipid metabolism properties. In this sense,  Chemoinformatics models may become a useful tool [15]. In our opinion, we can combine the idea of Perturbation Theory (PT) [16] and Linear Free-Energy Relationships (LFER) [17, 18] to handle this issue. As the result of this combination we can obtain PT-LFER models that can handle the complex data generated in these studies. In addition, non-linear Machine Learning methods such as Artificial Neural Networks (ANN) [19, 20] can be used to improve the predictive power of Chemoinformatics techniques in the study of complex bio-molecular, ecological, and social systems. As result we can obtain Non-Linear PT-LFER models (PT-NLFER) models.</w:t>
      </w:r>
    </w:p>
    <w:p>
      <w:pPr>
        <w:spacing w:line="240" w:lineRule="auto" w:before="1"/>
        <w:ind w:left="259" w:right="231" w:firstLine="336"/>
        <w:jc w:val="both"/>
        <w:rPr>
          <w:rFonts w:ascii="Times New Roman"/>
          <w:sz w:val="22"/>
        </w:rPr>
      </w:pPr>
      <w:r>
        <w:rPr>
          <w:rFonts w:ascii="Times New Roman"/>
          <w:sz w:val="22"/>
        </w:rPr>
        <w:t>In the present work we </w:t>
      </w:r>
      <w:r>
        <w:rPr>
          <w:rFonts w:ascii="Times New Roman"/>
          <w:spacing w:val="-3"/>
          <w:sz w:val="22"/>
        </w:rPr>
        <w:t>want </w:t>
      </w:r>
      <w:r>
        <w:rPr>
          <w:rFonts w:ascii="Times New Roman"/>
          <w:sz w:val="22"/>
        </w:rPr>
        <w:t>to introduce a new theoretical methodology based PT-LFER methods that is able </w:t>
      </w:r>
      <w:r>
        <w:rPr>
          <w:rFonts w:ascii="Times New Roman"/>
          <w:spacing w:val="2"/>
          <w:sz w:val="22"/>
        </w:rPr>
        <w:t>to </w:t>
      </w:r>
      <w:r>
        <w:rPr>
          <w:rFonts w:ascii="Times New Roman"/>
          <w:sz w:val="22"/>
        </w:rPr>
        <w:t>process complex experimental data from metabolomics studies of methane production. That is why; the present work consists </w:t>
      </w:r>
      <w:r>
        <w:rPr>
          <w:rFonts w:ascii="Times New Roman"/>
          <w:spacing w:val="-3"/>
          <w:sz w:val="22"/>
        </w:rPr>
        <w:t>of </w:t>
      </w:r>
      <w:r>
        <w:rPr>
          <w:rFonts w:ascii="Times New Roman"/>
          <w:sz w:val="22"/>
        </w:rPr>
        <w:t>two main stages. The first stage </w:t>
      </w:r>
      <w:r>
        <w:rPr>
          <w:rFonts w:ascii="Times New Roman"/>
          <w:spacing w:val="-3"/>
          <w:sz w:val="22"/>
        </w:rPr>
        <w:t>of </w:t>
      </w:r>
      <w:r>
        <w:rPr>
          <w:rFonts w:ascii="Times New Roman"/>
          <w:sz w:val="22"/>
        </w:rPr>
        <w:t>the work is aimed to report original experimental dataset </w:t>
      </w:r>
      <w:r>
        <w:rPr>
          <w:rFonts w:ascii="Times New Roman"/>
          <w:spacing w:val="-3"/>
          <w:sz w:val="22"/>
        </w:rPr>
        <w:t>of </w:t>
      </w:r>
      <w:r>
        <w:rPr>
          <w:rFonts w:ascii="Times New Roman"/>
          <w:sz w:val="22"/>
        </w:rPr>
        <w:t>fatty acid distribution in biological membrane. In  the second stage </w:t>
      </w:r>
      <w:r>
        <w:rPr>
          <w:rFonts w:ascii="Times New Roman"/>
          <w:spacing w:val="-3"/>
          <w:sz w:val="22"/>
        </w:rPr>
        <w:t>of </w:t>
      </w:r>
      <w:r>
        <w:rPr>
          <w:rFonts w:ascii="Times New Roman"/>
          <w:sz w:val="22"/>
        </w:rPr>
        <w:t>this work we are going </w:t>
      </w:r>
      <w:r>
        <w:rPr>
          <w:rFonts w:ascii="Times New Roman"/>
          <w:spacing w:val="2"/>
          <w:sz w:val="22"/>
        </w:rPr>
        <w:t>to </w:t>
      </w:r>
      <w:r>
        <w:rPr>
          <w:rFonts w:ascii="Times New Roman"/>
          <w:sz w:val="22"/>
        </w:rPr>
        <w:t>develop a </w:t>
      </w:r>
      <w:r>
        <w:rPr>
          <w:rFonts w:ascii="Times New Roman"/>
          <w:spacing w:val="-3"/>
          <w:sz w:val="22"/>
        </w:rPr>
        <w:t>new </w:t>
      </w:r>
      <w:r>
        <w:rPr>
          <w:rFonts w:ascii="Times New Roman"/>
          <w:sz w:val="22"/>
        </w:rPr>
        <w:t>Chemoinformatics PT-LFER / PT- NLFER </w:t>
      </w:r>
      <w:r>
        <w:rPr>
          <w:rFonts w:ascii="Times New Roman"/>
          <w:spacing w:val="-3"/>
          <w:sz w:val="22"/>
        </w:rPr>
        <w:t>models </w:t>
      </w:r>
      <w:r>
        <w:rPr>
          <w:rFonts w:ascii="Times New Roman"/>
          <w:sz w:val="22"/>
        </w:rPr>
        <w:t>for the data generated. Next, the best PT-LFER model found was used to predict  the effect </w:t>
      </w:r>
      <w:r>
        <w:rPr>
          <w:rFonts w:ascii="Times New Roman"/>
          <w:spacing w:val="-3"/>
          <w:sz w:val="22"/>
        </w:rPr>
        <w:t>of </w:t>
      </w:r>
      <w:r>
        <w:rPr>
          <w:rFonts w:ascii="Times New Roman"/>
          <w:sz w:val="22"/>
        </w:rPr>
        <w:t>perturbations on initial boundary conditions over a large complex network </w:t>
      </w:r>
      <w:r>
        <w:rPr>
          <w:rFonts w:ascii="Times New Roman"/>
          <w:spacing w:val="-3"/>
          <w:sz w:val="22"/>
        </w:rPr>
        <w:t>of </w:t>
      </w:r>
      <w:r>
        <w:rPr>
          <w:rFonts w:ascii="Times New Roman"/>
          <w:sz w:val="22"/>
        </w:rPr>
        <w:t>FA distribution/uptake in the ruminal microbiome. Accordingly, this work paves the way to study the effect </w:t>
      </w:r>
      <w:r>
        <w:rPr>
          <w:rFonts w:ascii="Times New Roman"/>
          <w:spacing w:val="-3"/>
          <w:sz w:val="22"/>
        </w:rPr>
        <w:t>of </w:t>
      </w:r>
      <w:r>
        <w:rPr>
          <w:rFonts w:ascii="Times New Roman"/>
          <w:sz w:val="22"/>
        </w:rPr>
        <w:t>complex molecular perturbation theory in fatty acid chemical structure, the corresponding fermentation parameters and boundary experimental</w:t>
      </w:r>
      <w:r>
        <w:rPr>
          <w:rFonts w:ascii="Times New Roman"/>
          <w:spacing w:val="-30"/>
          <w:sz w:val="22"/>
        </w:rPr>
        <w:t> </w:t>
      </w:r>
      <w:r>
        <w:rPr>
          <w:rFonts w:ascii="Times New Roman"/>
          <w:sz w:val="22"/>
        </w:rPr>
        <w:t>conditions.</w:t>
      </w:r>
    </w:p>
    <w:p>
      <w:pPr>
        <w:spacing w:after="0" w:line="240" w:lineRule="auto"/>
        <w:jc w:val="both"/>
        <w:rPr>
          <w:rFonts w:ascii="Times New Roman"/>
          <w:sz w:val="22"/>
        </w:rPr>
        <w:sectPr>
          <w:pgSz w:w="12240" w:h="15840"/>
          <w:pgMar w:header="684" w:footer="1184" w:top="1380" w:bottom="1380" w:left="1440" w:right="1460"/>
        </w:sectPr>
      </w:pPr>
    </w:p>
    <w:p>
      <w:pPr>
        <w:pStyle w:val="BodyText"/>
        <w:spacing w:before="7"/>
        <w:rPr>
          <w:rFonts w:ascii="Times New Roman"/>
          <w:sz w:val="15"/>
        </w:rPr>
      </w:pPr>
    </w:p>
    <w:p>
      <w:pPr>
        <w:pStyle w:val="ListParagraph"/>
        <w:numPr>
          <w:ilvl w:val="0"/>
          <w:numId w:val="17"/>
        </w:numPr>
        <w:tabs>
          <w:tab w:pos="500" w:val="left" w:leader="none"/>
        </w:tabs>
        <w:spacing w:line="240" w:lineRule="auto" w:before="69" w:after="0"/>
        <w:ind w:left="499" w:right="0" w:hanging="240"/>
        <w:jc w:val="left"/>
        <w:rPr>
          <w:rFonts w:ascii="Times New Roman"/>
          <w:b/>
          <w:sz w:val="24"/>
        </w:rPr>
      </w:pPr>
      <w:r>
        <w:rPr>
          <w:rFonts w:ascii="Times New Roman"/>
          <w:b/>
          <w:sz w:val="24"/>
        </w:rPr>
        <w:t>MATERIALS AND</w:t>
      </w:r>
      <w:r>
        <w:rPr>
          <w:rFonts w:ascii="Times New Roman"/>
          <w:b/>
          <w:spacing w:val="-7"/>
          <w:sz w:val="24"/>
        </w:rPr>
        <w:t> </w:t>
      </w:r>
      <w:r>
        <w:rPr>
          <w:rFonts w:ascii="Times New Roman"/>
          <w:b/>
          <w:sz w:val="24"/>
        </w:rPr>
        <w:t>METHODS</w:t>
      </w:r>
    </w:p>
    <w:p>
      <w:pPr>
        <w:pStyle w:val="ListParagraph"/>
        <w:numPr>
          <w:ilvl w:val="1"/>
          <w:numId w:val="17"/>
        </w:numPr>
        <w:tabs>
          <w:tab w:pos="932" w:val="left" w:leader="none"/>
        </w:tabs>
        <w:spacing w:line="249" w:lineRule="exact" w:before="122" w:after="0"/>
        <w:ind w:left="931" w:right="0" w:hanging="388"/>
        <w:jc w:val="left"/>
        <w:rPr>
          <w:rFonts w:ascii="Times New Roman"/>
          <w:b/>
          <w:sz w:val="22"/>
        </w:rPr>
      </w:pPr>
      <w:r>
        <w:rPr>
          <w:rFonts w:ascii="Times New Roman"/>
          <w:b/>
          <w:sz w:val="22"/>
        </w:rPr>
        <w:t>Experimental</w:t>
      </w:r>
      <w:r>
        <w:rPr>
          <w:rFonts w:ascii="Times New Roman"/>
          <w:b/>
          <w:spacing w:val="-22"/>
          <w:sz w:val="22"/>
        </w:rPr>
        <w:t> </w:t>
      </w:r>
      <w:r>
        <w:rPr>
          <w:rFonts w:ascii="Times New Roman"/>
          <w:b/>
          <w:sz w:val="22"/>
        </w:rPr>
        <w:t>section.</w:t>
      </w:r>
    </w:p>
    <w:p>
      <w:pPr>
        <w:spacing w:line="240" w:lineRule="auto" w:before="0"/>
        <w:ind w:left="259" w:right="239" w:firstLine="283"/>
        <w:jc w:val="both"/>
        <w:rPr>
          <w:rFonts w:ascii="Times New Roman"/>
          <w:sz w:val="22"/>
        </w:rPr>
      </w:pPr>
      <w:r>
        <w:rPr>
          <w:rFonts w:ascii="Times New Roman"/>
          <w:sz w:val="22"/>
        </w:rPr>
        <w:t>The experiment was presented in (</w:t>
      </w:r>
      <w:r>
        <w:rPr>
          <w:rFonts w:ascii="Times New Roman"/>
          <w:b/>
          <w:sz w:val="22"/>
        </w:rPr>
        <w:t>Figure 1</w:t>
      </w:r>
      <w:r>
        <w:rPr>
          <w:rFonts w:ascii="Times New Roman"/>
          <w:sz w:val="22"/>
        </w:rPr>
        <w:t>). (</w:t>
      </w:r>
      <w:r>
        <w:rPr>
          <w:rFonts w:ascii="Times New Roman"/>
          <w:b/>
          <w:sz w:val="22"/>
        </w:rPr>
        <w:t>a</w:t>
      </w:r>
      <w:r>
        <w:rPr>
          <w:rFonts w:ascii="Times New Roman"/>
          <w:sz w:val="22"/>
        </w:rPr>
        <w:t>) the methane production, pH, gas pressure and temperature as well as (</w:t>
      </w:r>
      <w:r>
        <w:rPr>
          <w:rFonts w:ascii="Times New Roman"/>
          <w:b/>
          <w:sz w:val="22"/>
        </w:rPr>
        <w:t>b</w:t>
      </w:r>
      <w:r>
        <w:rPr>
          <w:rFonts w:ascii="Times New Roman"/>
          <w:sz w:val="22"/>
        </w:rPr>
        <w:t>) the chromatographic internal peak areas (IPA%) </w:t>
      </w:r>
      <w:r>
        <w:rPr>
          <w:rFonts w:ascii="Times New Roman"/>
          <w:spacing w:val="-3"/>
          <w:sz w:val="22"/>
        </w:rPr>
        <w:t>of </w:t>
      </w:r>
      <w:r>
        <w:rPr>
          <w:rFonts w:ascii="Times New Roman"/>
          <w:sz w:val="22"/>
        </w:rPr>
        <w:t>(</w:t>
      </w:r>
      <w:r>
        <w:rPr>
          <w:rFonts w:ascii="Times New Roman"/>
          <w:b/>
          <w:sz w:val="22"/>
        </w:rPr>
        <w:t>b1</w:t>
      </w:r>
      <w:r>
        <w:rPr>
          <w:rFonts w:ascii="Times New Roman"/>
          <w:sz w:val="22"/>
        </w:rPr>
        <w:t>) long chain fatty acids (LCFA) in bacterial and protozoan membrane and (</w:t>
      </w:r>
      <w:r>
        <w:rPr>
          <w:rFonts w:ascii="Times New Roman"/>
          <w:b/>
          <w:sz w:val="22"/>
        </w:rPr>
        <w:t>b2</w:t>
      </w:r>
      <w:r>
        <w:rPr>
          <w:rFonts w:ascii="Times New Roman"/>
          <w:sz w:val="22"/>
        </w:rPr>
        <w:t>) volatile fatty acids (VFA) were determined under the different experiments. The general details of the experimental procedures  used are explained as</w:t>
      </w:r>
      <w:r>
        <w:rPr>
          <w:rFonts w:ascii="Times New Roman"/>
          <w:spacing w:val="-16"/>
          <w:sz w:val="22"/>
        </w:rPr>
        <w:t> </w:t>
      </w:r>
      <w:r>
        <w:rPr>
          <w:rFonts w:ascii="Times New Roman"/>
          <w:sz w:val="22"/>
        </w:rPr>
        <w:t>follows.</w:t>
      </w:r>
    </w:p>
    <w:p>
      <w:pPr>
        <w:spacing w:line="251" w:lineRule="exact" w:before="6"/>
        <w:ind w:left="293" w:right="0" w:firstLine="0"/>
        <w:jc w:val="center"/>
        <w:rPr>
          <w:rFonts w:ascii="Times New Roman"/>
          <w:b/>
          <w:sz w:val="22"/>
        </w:rPr>
      </w:pPr>
      <w:r>
        <w:rPr>
          <w:rFonts w:ascii="Times New Roman"/>
          <w:b/>
          <w:sz w:val="22"/>
        </w:rPr>
        <w:t>Figure 1 comes about here</w:t>
      </w:r>
    </w:p>
    <w:p>
      <w:pPr>
        <w:pStyle w:val="ListParagraph"/>
        <w:numPr>
          <w:ilvl w:val="2"/>
          <w:numId w:val="17"/>
        </w:numPr>
        <w:tabs>
          <w:tab w:pos="1100" w:val="left" w:leader="none"/>
        </w:tabs>
        <w:spacing w:line="251" w:lineRule="exact" w:before="0" w:after="0"/>
        <w:ind w:left="1099" w:right="0" w:hanging="556"/>
        <w:jc w:val="left"/>
        <w:rPr>
          <w:rFonts w:ascii="Times New Roman"/>
          <w:i/>
          <w:sz w:val="22"/>
        </w:rPr>
      </w:pPr>
      <w:r>
        <w:rPr>
          <w:rFonts w:ascii="Times New Roman"/>
          <w:i/>
          <w:sz w:val="22"/>
        </w:rPr>
        <w:t>Inoculum</w:t>
      </w:r>
      <w:r>
        <w:rPr>
          <w:rFonts w:ascii="Times New Roman"/>
          <w:i/>
          <w:spacing w:val="-8"/>
          <w:sz w:val="22"/>
        </w:rPr>
        <w:t> </w:t>
      </w:r>
      <w:r>
        <w:rPr>
          <w:rFonts w:ascii="Times New Roman"/>
          <w:i/>
          <w:sz w:val="22"/>
        </w:rPr>
        <w:t>microbes.</w:t>
      </w:r>
    </w:p>
    <w:p>
      <w:pPr>
        <w:spacing w:line="240" w:lineRule="auto" w:before="0"/>
        <w:ind w:left="259" w:right="237" w:firstLine="283"/>
        <w:jc w:val="both"/>
        <w:rPr>
          <w:rFonts w:ascii="Times New Roman" w:hAnsi="Times New Roman"/>
          <w:sz w:val="22"/>
        </w:rPr>
      </w:pPr>
      <w:r>
        <w:rPr>
          <w:rFonts w:ascii="Times New Roman" w:hAnsi="Times New Roman"/>
          <w:sz w:val="22"/>
        </w:rPr>
        <w:t>The inoculum microbes were provided by three adult male Pelibuey sheep with permanent rumen-fistula (body weight, 45.0 ± 5.0 kg). The installation methods of the rumen-fistula were according to the Mexican Official Standard (NOM-220-SSA1-2002). Nutritional compositions of fodder for animal donors were according to the description of NRC [21].</w:t>
      </w:r>
    </w:p>
    <w:p>
      <w:pPr>
        <w:pStyle w:val="ListParagraph"/>
        <w:numPr>
          <w:ilvl w:val="2"/>
          <w:numId w:val="17"/>
        </w:numPr>
        <w:tabs>
          <w:tab w:pos="1100" w:val="left" w:leader="none"/>
        </w:tabs>
        <w:spacing w:line="240" w:lineRule="auto" w:before="1" w:after="0"/>
        <w:ind w:left="1099" w:right="0" w:hanging="556"/>
        <w:jc w:val="left"/>
        <w:rPr>
          <w:rFonts w:ascii="Times New Roman"/>
          <w:i/>
          <w:sz w:val="22"/>
        </w:rPr>
      </w:pPr>
      <w:r>
        <w:rPr>
          <w:rFonts w:ascii="Times New Roman"/>
          <w:i/>
          <w:sz w:val="22"/>
        </w:rPr>
        <w:t>Experimental in vitro</w:t>
      </w:r>
      <w:r>
        <w:rPr>
          <w:rFonts w:ascii="Times New Roman"/>
          <w:i/>
          <w:spacing w:val="-16"/>
          <w:sz w:val="22"/>
        </w:rPr>
        <w:t> </w:t>
      </w:r>
      <w:r>
        <w:rPr>
          <w:rFonts w:ascii="Times New Roman"/>
          <w:i/>
          <w:sz w:val="22"/>
        </w:rPr>
        <w:t>fermentation.</w:t>
      </w:r>
    </w:p>
    <w:p>
      <w:pPr>
        <w:spacing w:line="240" w:lineRule="auto" w:before="1"/>
        <w:ind w:left="259" w:right="238" w:firstLine="283"/>
        <w:jc w:val="both"/>
        <w:rPr>
          <w:rFonts w:ascii="Times New Roman" w:hAnsi="Times New Roman"/>
          <w:sz w:val="22"/>
        </w:rPr>
      </w:pPr>
      <w:r>
        <w:rPr>
          <w:rFonts w:ascii="Times New Roman" w:hAnsi="Times New Roman"/>
          <w:sz w:val="22"/>
        </w:rPr>
        <w:t>The </w:t>
      </w:r>
      <w:r>
        <w:rPr>
          <w:rFonts w:ascii="Times New Roman" w:hAnsi="Times New Roman"/>
          <w:i/>
          <w:sz w:val="22"/>
        </w:rPr>
        <w:t>in vitro </w:t>
      </w:r>
      <w:r>
        <w:rPr>
          <w:rFonts w:ascii="Times New Roman" w:hAnsi="Times New Roman"/>
          <w:sz w:val="22"/>
        </w:rPr>
        <w:t>fermentation details were according to the description of Tang </w:t>
      </w:r>
      <w:r>
        <w:rPr>
          <w:rFonts w:ascii="Times New Roman" w:hAnsi="Times New Roman"/>
          <w:i/>
          <w:sz w:val="22"/>
        </w:rPr>
        <w:t>el at. </w:t>
      </w:r>
      <w:r>
        <w:rPr>
          <w:rFonts w:ascii="Times New Roman" w:hAnsi="Times New Roman"/>
          <w:sz w:val="22"/>
        </w:rPr>
        <w:t>[22] Particle- free rumen fluid was mixed with artificial saliva buffer solution [23] in a ratio of 1:2 (</w:t>
      </w:r>
      <w:r>
        <w:rPr>
          <w:rFonts w:ascii="Times New Roman" w:hAnsi="Times New Roman"/>
          <w:i/>
          <w:sz w:val="22"/>
        </w:rPr>
        <w:t>v/v</w:t>
      </w:r>
      <w:r>
        <w:rPr>
          <w:rFonts w:ascii="Times New Roman" w:hAnsi="Times New Roman"/>
          <w:sz w:val="22"/>
        </w:rPr>
        <w:t>) at 39 ºC </w:t>
      </w:r>
      <w:r>
        <w:rPr>
          <w:rFonts w:ascii="Times New Roman" w:hAnsi="Times New Roman"/>
          <w:position w:val="2"/>
          <w:sz w:val="22"/>
        </w:rPr>
        <w:t>with continuous flushing of CO</w:t>
      </w:r>
      <w:r>
        <w:rPr>
          <w:rFonts w:ascii="Times New Roman" w:hAnsi="Times New Roman"/>
          <w:sz w:val="14"/>
        </w:rPr>
        <w:t>2</w:t>
      </w:r>
      <w:r>
        <w:rPr>
          <w:rFonts w:ascii="Times New Roman" w:hAnsi="Times New Roman"/>
          <w:position w:val="2"/>
          <w:sz w:val="22"/>
        </w:rPr>
        <w:t>. The microbial and protozoal fractions were separated by </w:t>
      </w:r>
      <w:r>
        <w:rPr>
          <w:rFonts w:ascii="Times New Roman" w:hAnsi="Times New Roman"/>
          <w:sz w:val="22"/>
        </w:rPr>
        <w:t>differential centrifugation according to the methods of Legay-Carmier and Bauchart [24]. Microbial fatty acids were prepared according to the method developed by Or-Rashid [14], and catalyzed by base-catalyzed methylation.</w:t>
      </w:r>
    </w:p>
    <w:p>
      <w:pPr>
        <w:spacing w:line="240" w:lineRule="auto" w:before="0"/>
        <w:ind w:left="259" w:right="235" w:firstLine="283"/>
        <w:jc w:val="both"/>
        <w:rPr>
          <w:rFonts w:ascii="Times New Roman" w:hAnsi="Times New Roman"/>
          <w:sz w:val="22"/>
        </w:rPr>
      </w:pPr>
      <w:r>
        <w:rPr>
          <w:rFonts w:ascii="Times New Roman" w:hAnsi="Times New Roman"/>
          <w:position w:val="2"/>
          <w:sz w:val="22"/>
        </w:rPr>
        <w:t>The dataset part (</w:t>
      </w:r>
      <w:r>
        <w:rPr>
          <w:rFonts w:ascii="Times New Roman" w:hAnsi="Times New Roman"/>
          <w:b/>
          <w:position w:val="2"/>
          <w:sz w:val="22"/>
        </w:rPr>
        <w:t>a</w:t>
      </w:r>
      <w:r>
        <w:rPr>
          <w:rFonts w:ascii="Times New Roman" w:hAnsi="Times New Roman"/>
          <w:position w:val="2"/>
          <w:sz w:val="22"/>
        </w:rPr>
        <w:t>) was consisted </w:t>
      </w:r>
      <w:r>
        <w:rPr>
          <w:rFonts w:ascii="Times New Roman" w:hAnsi="Times New Roman"/>
          <w:spacing w:val="-3"/>
          <w:position w:val="2"/>
          <w:sz w:val="22"/>
        </w:rPr>
        <w:t>of </w:t>
      </w:r>
      <w:r>
        <w:rPr>
          <w:rFonts w:ascii="Times New Roman" w:hAnsi="Times New Roman"/>
          <w:position w:val="2"/>
          <w:sz w:val="22"/>
        </w:rPr>
        <w:t>CH</w:t>
      </w:r>
      <w:r>
        <w:rPr>
          <w:rFonts w:ascii="Times New Roman" w:hAnsi="Times New Roman"/>
          <w:sz w:val="14"/>
        </w:rPr>
        <w:t>4</w:t>
      </w:r>
      <w:r>
        <w:rPr>
          <w:rFonts w:ascii="Times New Roman" w:hAnsi="Times New Roman"/>
          <w:position w:val="2"/>
          <w:sz w:val="22"/>
        </w:rPr>
        <w:t>, gas pressure (GP) and temperature (T). These </w:t>
      </w:r>
      <w:r>
        <w:rPr>
          <w:rFonts w:ascii="Times New Roman" w:hAnsi="Times New Roman"/>
          <w:sz w:val="22"/>
        </w:rPr>
        <w:t>parameters were determined after fermented within exogenous different ratios ω-6/ω-3 PUFAs. The ω-6/ω-3 PUFAs were composited of linoleic acid (LA, L1376-5 </w:t>
      </w:r>
      <w:r>
        <w:rPr>
          <w:rFonts w:ascii="Times New Roman" w:hAnsi="Times New Roman"/>
          <w:spacing w:val="-3"/>
          <w:sz w:val="22"/>
        </w:rPr>
        <w:t>g, </w:t>
      </w:r>
      <w:r>
        <w:rPr>
          <w:rFonts w:ascii="Times New Roman" w:hAnsi="Times New Roman"/>
          <w:sz w:val="22"/>
        </w:rPr>
        <w:t>Sigma-Aldrich)/α-linolenic acid (ALA, L2376-500 </w:t>
      </w:r>
      <w:r>
        <w:rPr>
          <w:rFonts w:ascii="Times New Roman" w:hAnsi="Times New Roman"/>
          <w:spacing w:val="-5"/>
          <w:sz w:val="22"/>
        </w:rPr>
        <w:t>mg, </w:t>
      </w:r>
      <w:r>
        <w:rPr>
          <w:rFonts w:ascii="Times New Roman" w:hAnsi="Times New Roman"/>
          <w:sz w:val="22"/>
        </w:rPr>
        <w:t>Sigma-Aldrich) in the ratios </w:t>
      </w:r>
      <w:r>
        <w:rPr>
          <w:rFonts w:ascii="Times New Roman" w:hAnsi="Times New Roman"/>
          <w:spacing w:val="-3"/>
          <w:sz w:val="22"/>
        </w:rPr>
        <w:t>of </w:t>
      </w:r>
      <w:r>
        <w:rPr>
          <w:rFonts w:ascii="Times New Roman" w:hAnsi="Times New Roman"/>
          <w:sz w:val="22"/>
        </w:rPr>
        <w:t>100:0; 90:10; 80:20, 66:33, 50:50, and 20:80, respectively, with a total amount of 100 mg/g in substrate. The dataset part </w:t>
      </w:r>
      <w:r>
        <w:rPr>
          <w:rFonts w:ascii="Times New Roman" w:hAnsi="Times New Roman"/>
          <w:spacing w:val="2"/>
          <w:sz w:val="22"/>
        </w:rPr>
        <w:t>(</w:t>
      </w:r>
      <w:r>
        <w:rPr>
          <w:rFonts w:ascii="Times New Roman" w:hAnsi="Times New Roman"/>
          <w:b/>
          <w:spacing w:val="2"/>
          <w:sz w:val="22"/>
        </w:rPr>
        <w:t>b</w:t>
      </w:r>
      <w:r>
        <w:rPr>
          <w:rFonts w:ascii="Times New Roman" w:hAnsi="Times New Roman"/>
          <w:spacing w:val="2"/>
          <w:sz w:val="22"/>
        </w:rPr>
        <w:t>) </w:t>
      </w:r>
      <w:r>
        <w:rPr>
          <w:rFonts w:ascii="Times New Roman" w:hAnsi="Times New Roman"/>
          <w:sz w:val="22"/>
        </w:rPr>
        <w:t>was composited </w:t>
      </w:r>
      <w:r>
        <w:rPr>
          <w:rFonts w:ascii="Times New Roman" w:hAnsi="Times New Roman"/>
          <w:spacing w:val="-3"/>
          <w:sz w:val="22"/>
        </w:rPr>
        <w:t>of </w:t>
      </w:r>
      <w:r>
        <w:rPr>
          <w:rFonts w:ascii="Times New Roman" w:hAnsi="Times New Roman"/>
          <w:sz w:val="22"/>
        </w:rPr>
        <w:t>Internal Peak Area, IPA (%), </w:t>
      </w:r>
      <w:r>
        <w:rPr>
          <w:rFonts w:ascii="Times New Roman" w:hAnsi="Times New Roman"/>
          <w:spacing w:val="-3"/>
          <w:sz w:val="22"/>
        </w:rPr>
        <w:t>of </w:t>
      </w:r>
      <w:r>
        <w:rPr>
          <w:rFonts w:ascii="Times New Roman" w:hAnsi="Times New Roman"/>
          <w:sz w:val="22"/>
        </w:rPr>
        <w:t>(</w:t>
      </w:r>
      <w:r>
        <w:rPr>
          <w:rFonts w:ascii="Times New Roman" w:hAnsi="Times New Roman"/>
          <w:b/>
          <w:sz w:val="22"/>
        </w:rPr>
        <w:t>b.1</w:t>
      </w:r>
      <w:r>
        <w:rPr>
          <w:rFonts w:ascii="Times New Roman" w:hAnsi="Times New Roman"/>
          <w:sz w:val="22"/>
        </w:rPr>
        <w:t>) LCFA of bacterial and protozoan membrane from two different treatments (catalyzed methylations and fermentation with exogenous ω-6/ω-3 PUFAs),  and (</w:t>
      </w:r>
      <w:r>
        <w:rPr>
          <w:rFonts w:ascii="Times New Roman" w:hAnsi="Times New Roman"/>
          <w:b/>
          <w:sz w:val="22"/>
        </w:rPr>
        <w:t>b.2</w:t>
      </w:r>
      <w:r>
        <w:rPr>
          <w:rFonts w:ascii="Times New Roman" w:hAnsi="Times New Roman"/>
          <w:sz w:val="22"/>
        </w:rPr>
        <w:t>) VFA in the fermentation media. Among, the catalyzed methylations included acid methylation (HCl solution </w:t>
      </w:r>
      <w:r>
        <w:rPr>
          <w:rFonts w:ascii="Times New Roman" w:hAnsi="Times New Roman"/>
          <w:spacing w:val="-3"/>
          <w:sz w:val="22"/>
        </w:rPr>
        <w:t>of </w:t>
      </w:r>
      <w:r>
        <w:rPr>
          <w:rFonts w:ascii="Times New Roman" w:hAnsi="Times New Roman"/>
          <w:sz w:val="22"/>
        </w:rPr>
        <w:t>8% dissolved in methanol/water (</w:t>
      </w:r>
      <w:r>
        <w:rPr>
          <w:rFonts w:ascii="Times New Roman" w:hAnsi="Times New Roman"/>
          <w:i/>
          <w:sz w:val="22"/>
        </w:rPr>
        <w:t>v</w:t>
      </w:r>
      <w:r>
        <w:rPr>
          <w:rFonts w:ascii="Times New Roman" w:hAnsi="Times New Roman"/>
          <w:sz w:val="22"/>
        </w:rPr>
        <w:t>/</w:t>
      </w:r>
      <w:r>
        <w:rPr>
          <w:rFonts w:ascii="Times New Roman" w:hAnsi="Times New Roman"/>
          <w:i/>
          <w:sz w:val="22"/>
        </w:rPr>
        <w:t>v</w:t>
      </w:r>
      <w:r>
        <w:rPr>
          <w:rFonts w:ascii="Times New Roman" w:hAnsi="Times New Roman"/>
          <w:sz w:val="22"/>
        </w:rPr>
        <w:t>, 85/15)) [12], base methylation (Trimethylsilyldiazomethane, TMSD)[14]</w:t>
      </w:r>
      <w:hyperlink w:history="true" w:anchor="_bookmark3">
        <w:r>
          <w:rPr>
            <w:rFonts w:ascii="Times New Roman" w:hAnsi="Times New Roman"/>
            <w:color w:val="0000FF"/>
            <w:sz w:val="24"/>
            <w:u w:val="single" w:color="0000FF"/>
          </w:rPr>
          <w:t>_ENREF_30</w:t>
        </w:r>
        <w:r>
          <w:rPr>
            <w:rFonts w:ascii="Times New Roman" w:hAnsi="Times New Roman"/>
            <w:sz w:val="22"/>
          </w:rPr>
          <w:t>,</w:t>
        </w:r>
      </w:hyperlink>
      <w:r>
        <w:rPr>
          <w:rFonts w:ascii="Times New Roman" w:hAnsi="Times New Roman"/>
          <w:sz w:val="22"/>
        </w:rPr>
        <w:t> combination of acid-/base-methylation (catalyzed with HCl, in turn with TMSD). Fermentation experiment was the same treatments with part (</w:t>
      </w:r>
      <w:r>
        <w:rPr>
          <w:rFonts w:ascii="Times New Roman" w:hAnsi="Times New Roman"/>
          <w:b/>
          <w:sz w:val="22"/>
        </w:rPr>
        <w:t>a</w:t>
      </w:r>
      <w:r>
        <w:rPr>
          <w:rFonts w:ascii="Times New Roman" w:hAnsi="Times New Roman"/>
          <w:sz w:val="22"/>
        </w:rPr>
        <w:t>) using exogenous ω-6/ω-3 PUFAs. The values </w:t>
      </w:r>
      <w:r>
        <w:rPr>
          <w:rFonts w:ascii="Times New Roman" w:hAnsi="Times New Roman"/>
          <w:spacing w:val="-3"/>
          <w:sz w:val="22"/>
        </w:rPr>
        <w:t>of </w:t>
      </w:r>
      <w:r>
        <w:rPr>
          <w:rFonts w:ascii="Times New Roman" w:hAnsi="Times New Roman"/>
          <w:sz w:val="22"/>
        </w:rPr>
        <w:t>Peak Area, PA(i), for each fatty acid under </w:t>
      </w:r>
      <w:r>
        <w:rPr>
          <w:rFonts w:ascii="Times New Roman" w:hAnsi="Times New Roman"/>
          <w:position w:val="2"/>
          <w:sz w:val="22"/>
        </w:rPr>
        <w:t>different sets </w:t>
      </w:r>
      <w:r>
        <w:rPr>
          <w:rFonts w:ascii="Times New Roman" w:hAnsi="Times New Roman"/>
          <w:spacing w:val="-3"/>
          <w:position w:val="2"/>
          <w:sz w:val="22"/>
        </w:rPr>
        <w:t>of </w:t>
      </w:r>
      <w:r>
        <w:rPr>
          <w:rFonts w:ascii="Times New Roman" w:hAnsi="Times New Roman"/>
          <w:position w:val="2"/>
          <w:sz w:val="22"/>
        </w:rPr>
        <w:t>experimental conditions c</w:t>
      </w:r>
      <w:r>
        <w:rPr>
          <w:rFonts w:ascii="Times New Roman" w:hAnsi="Times New Roman"/>
          <w:sz w:val="14"/>
        </w:rPr>
        <w:t>j </w:t>
      </w:r>
      <w:r>
        <w:rPr>
          <w:rFonts w:ascii="Times New Roman" w:hAnsi="Times New Roman"/>
          <w:position w:val="2"/>
          <w:sz w:val="22"/>
        </w:rPr>
        <w:t>(different samples) were determined with Gas </w:t>
      </w:r>
      <w:r>
        <w:rPr>
          <w:rFonts w:ascii="Times New Roman" w:hAnsi="Times New Roman"/>
          <w:sz w:val="22"/>
        </w:rPr>
        <w:t>Chromatography (Model 6890N, USA) with HP-88 Column, whereas VFAs were determined with column of DB-FFAP. The values of peak area obtained by </w:t>
      </w:r>
      <w:r>
        <w:rPr>
          <w:rFonts w:ascii="Times New Roman" w:hAnsi="Times New Roman"/>
          <w:spacing w:val="2"/>
          <w:sz w:val="22"/>
        </w:rPr>
        <w:t>GC </w:t>
      </w:r>
      <w:r>
        <w:rPr>
          <w:rFonts w:ascii="Times New Roman" w:hAnsi="Times New Roman"/>
          <w:sz w:val="22"/>
        </w:rPr>
        <w:t>were used </w:t>
      </w:r>
      <w:r>
        <w:rPr>
          <w:rFonts w:ascii="Times New Roman" w:hAnsi="Times New Roman"/>
          <w:spacing w:val="2"/>
          <w:sz w:val="22"/>
        </w:rPr>
        <w:t>to </w:t>
      </w:r>
      <w:r>
        <w:rPr>
          <w:rFonts w:ascii="Times New Roman" w:hAnsi="Times New Roman"/>
          <w:sz w:val="22"/>
        </w:rPr>
        <w:t>calculate the Internal Peak Area, IPA (%), as</w:t>
      </w:r>
      <w:r>
        <w:rPr>
          <w:rFonts w:ascii="Times New Roman" w:hAnsi="Times New Roman"/>
          <w:spacing w:val="-18"/>
          <w:sz w:val="22"/>
        </w:rPr>
        <w:t> </w:t>
      </w:r>
      <w:r>
        <w:rPr>
          <w:rFonts w:ascii="Times New Roman" w:hAnsi="Times New Roman"/>
          <w:sz w:val="22"/>
        </w:rPr>
        <w:t>follows.</w:t>
      </w:r>
    </w:p>
    <w:p>
      <w:pPr>
        <w:spacing w:after="0" w:line="240" w:lineRule="auto"/>
        <w:jc w:val="both"/>
        <w:rPr>
          <w:rFonts w:ascii="Times New Roman" w:hAnsi="Times New Roman"/>
          <w:sz w:val="22"/>
        </w:rPr>
        <w:sectPr>
          <w:pgSz w:w="12240" w:h="15840"/>
          <w:pgMar w:header="684" w:footer="1184" w:top="1380" w:bottom="1380" w:left="1440" w:right="1460"/>
        </w:sectPr>
      </w:pPr>
    </w:p>
    <w:p>
      <w:pPr>
        <w:pStyle w:val="BodyText"/>
        <w:rPr>
          <w:rFonts w:ascii="Times New Roman"/>
        </w:rPr>
      </w:pPr>
    </w:p>
    <w:p>
      <w:pPr>
        <w:pStyle w:val="BodyText"/>
        <w:spacing w:before="4"/>
        <w:rPr>
          <w:rFonts w:ascii="Times New Roman"/>
          <w:sz w:val="25"/>
        </w:rPr>
      </w:pPr>
    </w:p>
    <w:p>
      <w:pPr>
        <w:pStyle w:val="BodyText"/>
        <w:spacing w:line="108" w:lineRule="exact"/>
        <w:jc w:val="right"/>
        <w:rPr>
          <w:rFonts w:ascii="Times New Roman"/>
        </w:rPr>
      </w:pPr>
      <w:r>
        <w:rPr>
          <w:rFonts w:ascii="Times New Roman"/>
          <w:w w:val="115"/>
        </w:rPr>
        <w:t>IPA(%)</w:t>
      </w:r>
    </w:p>
    <w:p>
      <w:pPr>
        <w:spacing w:line="222" w:lineRule="exact" w:before="33"/>
        <w:ind w:left="0" w:right="0" w:firstLine="0"/>
        <w:jc w:val="right"/>
        <w:rPr>
          <w:rFonts w:ascii="Symbol" w:hAnsi="Symbol"/>
          <w:sz w:val="24"/>
        </w:rPr>
      </w:pPr>
      <w:r>
        <w:rPr/>
        <w:br w:type="column"/>
      </w:r>
      <w:r>
        <w:rPr>
          <w:rFonts w:ascii="Symbol" w:hAnsi="Symbol"/>
          <w:w w:val="120"/>
          <w:sz w:val="24"/>
        </w:rPr>
        <w:t></w:t>
      </w:r>
    </w:p>
    <w:p>
      <w:pPr>
        <w:pStyle w:val="BodyText"/>
        <w:spacing w:line="189" w:lineRule="exact"/>
        <w:jc w:val="right"/>
        <w:rPr>
          <w:rFonts w:ascii="Symbol" w:hAnsi="Symbol"/>
        </w:rPr>
      </w:pPr>
      <w:r>
        <w:rPr>
          <w:rFonts w:ascii="Symbol" w:hAnsi="Symbol"/>
          <w:w w:val="119"/>
        </w:rPr>
        <w:t></w:t>
      </w:r>
    </w:p>
    <w:p>
      <w:pPr>
        <w:pStyle w:val="BodyText"/>
        <w:spacing w:line="232" w:lineRule="exact"/>
        <w:jc w:val="right"/>
        <w:rPr>
          <w:rFonts w:ascii="Symbol" w:hAnsi="Symbol"/>
        </w:rPr>
      </w:pPr>
      <w:r>
        <w:rPr>
          <w:rFonts w:ascii="Symbol" w:hAnsi="Symbol"/>
          <w:w w:val="120"/>
        </w:rPr>
        <w:t></w:t>
      </w:r>
      <w:r>
        <w:rPr>
          <w:rFonts w:ascii="Times New Roman" w:hAnsi="Times New Roman"/>
          <w:w w:val="120"/>
        </w:rPr>
        <w:t>100</w:t>
      </w:r>
      <w:r>
        <w:rPr>
          <w:rFonts w:ascii="Symbol" w:hAnsi="Symbol"/>
          <w:w w:val="120"/>
        </w:rPr>
        <w:t></w:t>
      </w:r>
      <w:r>
        <w:rPr>
          <w:rFonts w:ascii="Symbol" w:hAnsi="Symbol"/>
          <w:w w:val="120"/>
          <w:position w:val="14"/>
        </w:rPr>
        <w:t></w:t>
      </w:r>
    </w:p>
    <w:p>
      <w:pPr>
        <w:pStyle w:val="BodyText"/>
        <w:spacing w:before="7"/>
        <w:rPr>
          <w:rFonts w:ascii="Symbol" w:hAnsi="Symbol"/>
          <w:sz w:val="34"/>
        </w:rPr>
      </w:pPr>
      <w:r>
        <w:rPr/>
        <w:br w:type="column"/>
      </w:r>
      <w:r>
        <w:rPr>
          <w:rFonts w:ascii="Symbol" w:hAnsi="Symbol"/>
          <w:sz w:val="34"/>
        </w:rPr>
      </w:r>
    </w:p>
    <w:p>
      <w:pPr>
        <w:pStyle w:val="BodyText"/>
        <w:spacing w:line="252" w:lineRule="exact"/>
        <w:ind w:left="219" w:right="-17"/>
        <w:rPr>
          <w:rFonts w:ascii="Times New Roman"/>
        </w:rPr>
      </w:pPr>
      <w:r>
        <w:rPr>
          <w:rFonts w:ascii="Times New Roman"/>
          <w:spacing w:val="-11"/>
          <w:w w:val="120"/>
        </w:rPr>
        <w:t>PA(i)</w:t>
      </w:r>
    </w:p>
    <w:p>
      <w:pPr>
        <w:spacing w:line="222" w:lineRule="exact" w:before="33"/>
        <w:ind w:left="236" w:right="0" w:firstLine="0"/>
        <w:jc w:val="left"/>
        <w:rPr>
          <w:rFonts w:ascii="Symbol" w:hAnsi="Symbol"/>
          <w:sz w:val="24"/>
        </w:rPr>
      </w:pPr>
      <w:r>
        <w:rPr/>
        <w:br w:type="column"/>
      </w:r>
      <w:r>
        <w:rPr>
          <w:rFonts w:ascii="Symbol" w:hAnsi="Symbol"/>
          <w:w w:val="120"/>
          <w:sz w:val="24"/>
        </w:rPr>
        <w:t></w:t>
      </w:r>
    </w:p>
    <w:p>
      <w:pPr>
        <w:pStyle w:val="BodyText"/>
        <w:spacing w:line="189" w:lineRule="exact"/>
        <w:ind w:left="236"/>
        <w:rPr>
          <w:rFonts w:ascii="Symbol" w:hAnsi="Symbol"/>
        </w:rPr>
      </w:pPr>
      <w:r>
        <w:rPr>
          <w:rFonts w:ascii="Symbol" w:hAnsi="Symbol"/>
          <w:w w:val="119"/>
        </w:rPr>
        <w:t></w:t>
      </w:r>
    </w:p>
    <w:p>
      <w:pPr>
        <w:tabs>
          <w:tab w:pos="564" w:val="left" w:leader="none"/>
        </w:tabs>
        <w:spacing w:line="232" w:lineRule="exact" w:before="0"/>
        <w:ind w:left="236" w:right="0" w:firstLine="0"/>
        <w:jc w:val="left"/>
        <w:rPr>
          <w:rFonts w:ascii="Symbol" w:hAnsi="Symbol"/>
          <w:sz w:val="30"/>
        </w:rPr>
      </w:pPr>
      <w:r>
        <w:rPr>
          <w:rFonts w:ascii="Symbol" w:hAnsi="Symbol"/>
          <w:w w:val="110"/>
          <w:position w:val="14"/>
          <w:sz w:val="24"/>
        </w:rPr>
        <w:t></w:t>
      </w:r>
      <w:r>
        <w:rPr>
          <w:rFonts w:ascii="Times New Roman" w:hAnsi="Times New Roman"/>
          <w:w w:val="110"/>
          <w:position w:val="14"/>
          <w:sz w:val="24"/>
        </w:rPr>
        <w:tab/>
      </w:r>
      <w:r>
        <w:rPr>
          <w:rFonts w:ascii="Symbol" w:hAnsi="Symbol"/>
          <w:spacing w:val="-19"/>
          <w:w w:val="110"/>
          <w:sz w:val="30"/>
        </w:rPr>
        <w:t></w:t>
      </w:r>
      <w:r>
        <w:rPr>
          <w:rFonts w:ascii="Times New Roman" w:hAnsi="Times New Roman"/>
          <w:spacing w:val="-19"/>
          <w:w w:val="110"/>
          <w:sz w:val="24"/>
        </w:rPr>
        <w:t>1</w:t>
      </w:r>
      <w:r>
        <w:rPr>
          <w:rFonts w:ascii="Symbol" w:hAnsi="Symbol"/>
          <w:spacing w:val="-19"/>
          <w:w w:val="110"/>
          <w:sz w:val="30"/>
        </w:rPr>
        <w:t></w:t>
      </w:r>
    </w:p>
    <w:p>
      <w:pPr>
        <w:spacing w:after="0" w:line="232" w:lineRule="exact"/>
        <w:jc w:val="left"/>
        <w:rPr>
          <w:rFonts w:ascii="Symbol" w:hAnsi="Symbol"/>
          <w:sz w:val="30"/>
        </w:rPr>
        <w:sectPr>
          <w:type w:val="continuous"/>
          <w:pgSz w:w="12240" w:h="15840"/>
          <w:pgMar w:top="3080" w:bottom="2780" w:left="1440" w:right="1460"/>
          <w:cols w:num="4" w:equalWidth="0">
            <w:col w:w="3908" w:space="40"/>
            <w:col w:w="936" w:space="40"/>
            <w:col w:w="807" w:space="40"/>
            <w:col w:w="3569"/>
          </w:cols>
        </w:sectPr>
      </w:pPr>
    </w:p>
    <w:p>
      <w:pPr>
        <w:tabs>
          <w:tab w:pos="1549" w:val="left" w:leader="none"/>
          <w:tab w:pos="2782" w:val="left" w:leader="none"/>
        </w:tabs>
        <w:spacing w:line="189" w:lineRule="exact" w:before="0"/>
        <w:ind w:left="681" w:right="0" w:firstLine="0"/>
        <w:jc w:val="center"/>
        <w:rPr>
          <w:rFonts w:ascii="Symbol" w:hAnsi="Symbol"/>
          <w:sz w:val="24"/>
        </w:rPr>
      </w:pPr>
      <w:r>
        <w:rPr/>
        <w:pict>
          <v:line style="position:absolute;mso-position-horizontal-relative:page;mso-position-vertical-relative:paragraph;z-index:-327976" from="318.102264pt,3.228689pt" to="370.982797pt,3.228693pt" stroked="true" strokeweight=".134267pt" strokecolor="#000000">
            <w10:wrap type="none"/>
          </v:line>
        </w:pict>
      </w:r>
      <w:r>
        <w:rPr>
          <w:rFonts w:ascii="Times New Roman" w:hAnsi="Times New Roman"/>
          <w:spacing w:val="3"/>
          <w:w w:val="120"/>
          <w:position w:val="1"/>
          <w:sz w:val="14"/>
        </w:rPr>
        <w:t>ij</w:t>
        <w:tab/>
      </w:r>
      <w:r>
        <w:rPr>
          <w:rFonts w:ascii="Symbol" w:hAnsi="Symbol"/>
          <w:w w:val="120"/>
          <w:position w:val="-1"/>
          <w:sz w:val="24"/>
        </w:rPr>
        <w:t></w:t>
      </w:r>
      <w:r>
        <w:rPr>
          <w:rFonts w:ascii="Times New Roman" w:hAnsi="Times New Roman"/>
          <w:spacing w:val="-32"/>
          <w:w w:val="120"/>
          <w:position w:val="-1"/>
          <w:sz w:val="24"/>
        </w:rPr>
        <w:t> </w:t>
      </w:r>
      <w:r>
        <w:rPr>
          <w:rFonts w:ascii="Calibri" w:hAnsi="Calibri"/>
          <w:spacing w:val="-6"/>
          <w:w w:val="120"/>
          <w:sz w:val="14"/>
        </w:rPr>
        <w:t>m</w:t>
      </w:r>
      <w:r>
        <w:rPr>
          <w:rFonts w:ascii="Times New Roman" w:hAnsi="Times New Roman"/>
          <w:spacing w:val="-6"/>
          <w:w w:val="120"/>
          <w:position w:val="-2"/>
          <w:sz w:val="10"/>
        </w:rPr>
        <w:t>1</w:t>
      </w:r>
      <w:r>
        <w:rPr>
          <w:rFonts w:ascii="Symbol" w:hAnsi="Symbol"/>
          <w:spacing w:val="-6"/>
          <w:w w:val="120"/>
          <w:sz w:val="14"/>
        </w:rPr>
        <w:t></w:t>
      </w:r>
      <w:r>
        <w:rPr>
          <w:rFonts w:ascii="Calibri" w:hAnsi="Calibri"/>
          <w:spacing w:val="-6"/>
          <w:w w:val="120"/>
          <w:sz w:val="14"/>
        </w:rPr>
        <w:t>m</w:t>
      </w:r>
      <w:r>
        <w:rPr>
          <w:rFonts w:ascii="Calibri" w:hAnsi="Calibri"/>
          <w:spacing w:val="-6"/>
          <w:w w:val="120"/>
          <w:position w:val="-2"/>
          <w:sz w:val="10"/>
        </w:rPr>
        <w:t>i</w:t>
        <w:tab/>
      </w:r>
      <w:r>
        <w:rPr>
          <w:rFonts w:ascii="Symbol" w:hAnsi="Symbol"/>
          <w:w w:val="120"/>
          <w:position w:val="-1"/>
          <w:sz w:val="24"/>
        </w:rPr>
        <w:t></w:t>
      </w:r>
    </w:p>
    <w:p>
      <w:pPr>
        <w:pStyle w:val="BodyText"/>
        <w:spacing w:line="326" w:lineRule="exact"/>
        <w:ind w:left="1549"/>
        <w:jc w:val="center"/>
        <w:rPr>
          <w:rFonts w:ascii="Symbol" w:hAnsi="Symbol"/>
        </w:rPr>
      </w:pPr>
      <w:r>
        <w:rPr/>
        <w:pict>
          <v:shape style="position:absolute;margin-left:372.312683pt;margin-top:1.770501pt;width:5.55pt;height:12.15pt;mso-position-horizontal-relative:page;mso-position-vertical-relative:paragraph;z-index:-327952" type="#_x0000_t202" filled="false" stroked="false">
            <v:textbox inset="0,0,0,0">
              <w:txbxContent>
                <w:p>
                  <w:pPr>
                    <w:pStyle w:val="BodyText"/>
                    <w:spacing w:line="242" w:lineRule="exact"/>
                    <w:rPr>
                      <w:rFonts w:ascii="Symbol" w:hAnsi="Symbol"/>
                    </w:rPr>
                  </w:pPr>
                  <w:r>
                    <w:rPr>
                      <w:rFonts w:ascii="Symbol" w:hAnsi="Symbol"/>
                      <w:w w:val="119"/>
                    </w:rPr>
                    <w:t></w:t>
                  </w:r>
                </w:p>
              </w:txbxContent>
            </v:textbox>
            <w10:wrap type="none"/>
          </v:shape>
        </w:pict>
      </w:r>
      <w:r>
        <w:rPr/>
        <w:pict>
          <v:shape style="position:absolute;margin-left:310.63443pt;margin-top:8.784029pt;width:5.55pt;height:12.15pt;mso-position-horizontal-relative:page;mso-position-vertical-relative:paragraph;z-index:-327928" type="#_x0000_t202" filled="false" stroked="false">
            <v:textbox inset="0,0,0,0">
              <w:txbxContent>
                <w:p>
                  <w:pPr>
                    <w:pStyle w:val="BodyText"/>
                    <w:spacing w:line="242" w:lineRule="exact"/>
                    <w:rPr>
                      <w:rFonts w:ascii="Symbol" w:hAnsi="Symbol"/>
                    </w:rPr>
                  </w:pPr>
                  <w:r>
                    <w:rPr>
                      <w:rFonts w:ascii="Symbol" w:hAnsi="Symbol"/>
                      <w:w w:val="119"/>
                    </w:rPr>
                    <w:t></w:t>
                  </w:r>
                </w:p>
              </w:txbxContent>
            </v:textbox>
            <w10:wrap type="none"/>
          </v:shape>
        </w:pict>
      </w:r>
      <w:r>
        <w:rPr>
          <w:rFonts w:ascii="Symbol" w:hAnsi="Symbol"/>
          <w:w w:val="120"/>
          <w:position w:val="1"/>
        </w:rPr>
        <w:t></w:t>
      </w:r>
      <w:r>
        <w:rPr>
          <w:rFonts w:ascii="Times New Roman" w:hAnsi="Times New Roman"/>
          <w:w w:val="120"/>
          <w:position w:val="1"/>
        </w:rPr>
        <w:t>  </w:t>
      </w:r>
      <w:r>
        <w:rPr>
          <w:rFonts w:ascii="Symbol" w:hAnsi="Symbol"/>
          <w:w w:val="120"/>
          <w:position w:val="-4"/>
          <w:sz w:val="36"/>
        </w:rPr>
        <w:t></w:t>
      </w:r>
      <w:r>
        <w:rPr>
          <w:rFonts w:ascii="Times New Roman" w:hAnsi="Times New Roman"/>
          <w:w w:val="120"/>
        </w:rPr>
        <w:t>PA(i) </w:t>
      </w:r>
      <w:r>
        <w:rPr>
          <w:rFonts w:ascii="Symbol" w:hAnsi="Symbol"/>
          <w:w w:val="120"/>
          <w:position w:val="-12"/>
        </w:rPr>
        <w:t></w:t>
      </w:r>
    </w:p>
    <w:p>
      <w:pPr>
        <w:tabs>
          <w:tab w:pos="2782" w:val="left" w:leader="none"/>
        </w:tabs>
        <w:spacing w:line="254" w:lineRule="exact" w:before="0"/>
        <w:ind w:left="1549" w:right="0" w:firstLine="0"/>
        <w:jc w:val="center"/>
        <w:rPr>
          <w:rFonts w:ascii="Symbol" w:hAnsi="Symbol"/>
          <w:sz w:val="24"/>
        </w:rPr>
      </w:pPr>
      <w:r>
        <w:rPr>
          <w:rFonts w:ascii="Symbol" w:hAnsi="Symbol"/>
          <w:w w:val="120"/>
          <w:position w:val="-5"/>
          <w:sz w:val="24"/>
        </w:rPr>
        <w:t></w:t>
      </w:r>
      <w:r>
        <w:rPr>
          <w:rFonts w:ascii="Times New Roman" w:hAnsi="Times New Roman"/>
          <w:spacing w:val="7"/>
          <w:w w:val="120"/>
          <w:position w:val="-5"/>
          <w:sz w:val="24"/>
        </w:rPr>
        <w:t> </w:t>
      </w:r>
      <w:r>
        <w:rPr>
          <w:rFonts w:ascii="Times New Roman" w:hAnsi="Times New Roman"/>
          <w:w w:val="120"/>
          <w:sz w:val="14"/>
        </w:rPr>
        <w:t>m</w:t>
      </w:r>
      <w:r>
        <w:rPr>
          <w:rFonts w:ascii="Times New Roman" w:hAnsi="Times New Roman"/>
          <w:w w:val="120"/>
          <w:position w:val="-2"/>
          <w:sz w:val="10"/>
        </w:rPr>
        <w:t>i</w:t>
      </w:r>
      <w:r>
        <w:rPr>
          <w:rFonts w:ascii="Times New Roman" w:hAnsi="Times New Roman"/>
          <w:spacing w:val="-9"/>
          <w:w w:val="120"/>
          <w:position w:val="-2"/>
          <w:sz w:val="10"/>
        </w:rPr>
        <w:t> </w:t>
      </w:r>
      <w:r>
        <w:rPr>
          <w:rFonts w:ascii="Symbol" w:hAnsi="Symbol"/>
          <w:spacing w:val="4"/>
          <w:w w:val="120"/>
          <w:sz w:val="14"/>
        </w:rPr>
        <w:t></w:t>
      </w:r>
      <w:r>
        <w:rPr>
          <w:rFonts w:ascii="Times New Roman" w:hAnsi="Times New Roman"/>
          <w:spacing w:val="4"/>
          <w:w w:val="120"/>
          <w:sz w:val="14"/>
        </w:rPr>
        <w:t>c</w:t>
      </w:r>
      <w:r>
        <w:rPr>
          <w:rFonts w:ascii="Times New Roman" w:hAnsi="Times New Roman"/>
          <w:spacing w:val="4"/>
          <w:w w:val="120"/>
          <w:position w:val="-2"/>
          <w:sz w:val="10"/>
        </w:rPr>
        <w:t>j</w:t>
        <w:tab/>
      </w:r>
      <w:r>
        <w:rPr>
          <w:rFonts w:ascii="Symbol" w:hAnsi="Symbol"/>
          <w:w w:val="120"/>
          <w:position w:val="-5"/>
          <w:sz w:val="24"/>
        </w:rPr>
        <w:t></w:t>
      </w:r>
    </w:p>
    <w:p>
      <w:pPr>
        <w:spacing w:line="236" w:lineRule="exact" w:before="32"/>
        <w:ind w:left="259" w:right="247" w:firstLine="283"/>
        <w:jc w:val="both"/>
        <w:rPr>
          <w:rFonts w:ascii="Times New Roman" w:hAnsi="Times New Roman"/>
          <w:sz w:val="22"/>
        </w:rPr>
      </w:pPr>
      <w:r>
        <w:rPr>
          <w:rFonts w:ascii="Times New Roman" w:hAnsi="Times New Roman"/>
          <w:position w:val="2"/>
          <w:sz w:val="22"/>
        </w:rPr>
        <w:t>Where, m</w:t>
      </w:r>
      <w:r>
        <w:rPr>
          <w:rFonts w:ascii="Times New Roman" w:hAnsi="Times New Roman"/>
          <w:sz w:val="14"/>
        </w:rPr>
        <w:t>i </w:t>
      </w:r>
      <w:r>
        <w:rPr>
          <w:rFonts w:ascii="Times New Roman" w:hAnsi="Times New Roman"/>
          <w:position w:val="2"/>
          <w:sz w:val="22"/>
        </w:rPr>
        <w:t>refers to a fatty acid of a sample, m</w:t>
      </w:r>
      <w:r>
        <w:rPr>
          <w:rFonts w:ascii="Times New Roman" w:hAnsi="Times New Roman"/>
          <w:sz w:val="14"/>
        </w:rPr>
        <w:t>i </w:t>
      </w:r>
      <w:r>
        <w:rPr>
          <w:rFonts w:ascii="Symbol" w:hAnsi="Symbol"/>
          <w:position w:val="2"/>
          <w:sz w:val="14"/>
        </w:rPr>
        <w:t></w:t>
      </w:r>
      <w:r>
        <w:rPr>
          <w:rFonts w:ascii="Times New Roman" w:hAnsi="Times New Roman"/>
          <w:position w:val="2"/>
          <w:sz w:val="14"/>
        </w:rPr>
        <w:t> </w:t>
      </w:r>
      <w:r>
        <w:rPr>
          <w:rFonts w:ascii="Times New Roman" w:hAnsi="Times New Roman"/>
          <w:position w:val="2"/>
          <w:sz w:val="22"/>
        </w:rPr>
        <w:t>c</w:t>
      </w:r>
      <w:r>
        <w:rPr>
          <w:rFonts w:ascii="Times New Roman" w:hAnsi="Times New Roman"/>
          <w:sz w:val="14"/>
        </w:rPr>
        <w:t>j </w:t>
      </w:r>
      <w:r>
        <w:rPr>
          <w:rFonts w:ascii="Times New Roman" w:hAnsi="Times New Roman"/>
          <w:position w:val="2"/>
          <w:sz w:val="22"/>
        </w:rPr>
        <w:t>refers to a fatty acid in a specify set of </w:t>
      </w:r>
      <w:r>
        <w:rPr>
          <w:rFonts w:ascii="Times New Roman" w:hAnsi="Times New Roman"/>
          <w:sz w:val="22"/>
        </w:rPr>
        <w:t>experimental condition.</w:t>
      </w:r>
    </w:p>
    <w:p>
      <w:pPr>
        <w:pStyle w:val="ListParagraph"/>
        <w:numPr>
          <w:ilvl w:val="1"/>
          <w:numId w:val="17"/>
        </w:numPr>
        <w:tabs>
          <w:tab w:pos="932" w:val="left" w:leader="none"/>
        </w:tabs>
        <w:spacing w:line="248" w:lineRule="exact" w:before="6" w:after="0"/>
        <w:ind w:left="931" w:right="0" w:hanging="388"/>
        <w:jc w:val="left"/>
        <w:rPr>
          <w:rFonts w:ascii="Times New Roman"/>
          <w:b/>
          <w:sz w:val="22"/>
        </w:rPr>
      </w:pPr>
      <w:r>
        <w:rPr>
          <w:rFonts w:ascii="Times New Roman"/>
          <w:b/>
          <w:sz w:val="22"/>
        </w:rPr>
        <w:t>Theoretical</w:t>
      </w:r>
      <w:r>
        <w:rPr>
          <w:rFonts w:ascii="Times New Roman"/>
          <w:b/>
          <w:spacing w:val="-23"/>
          <w:sz w:val="22"/>
        </w:rPr>
        <w:t> </w:t>
      </w:r>
      <w:r>
        <w:rPr>
          <w:rFonts w:ascii="Times New Roman"/>
          <w:b/>
          <w:sz w:val="22"/>
        </w:rPr>
        <w:t>section.</w:t>
      </w:r>
    </w:p>
    <w:p>
      <w:pPr>
        <w:spacing w:line="240" w:lineRule="auto" w:before="0"/>
        <w:ind w:left="259" w:right="238" w:firstLine="283"/>
        <w:jc w:val="both"/>
        <w:rPr>
          <w:rFonts w:ascii="Times New Roman"/>
          <w:sz w:val="22"/>
        </w:rPr>
      </w:pPr>
      <w:r>
        <w:rPr>
          <w:rFonts w:ascii="Times New Roman"/>
          <w:position w:val="2"/>
          <w:sz w:val="22"/>
        </w:rPr>
        <w:t>The datasets of LCFAs, VFAs, CH</w:t>
      </w:r>
      <w:r>
        <w:rPr>
          <w:rFonts w:ascii="Times New Roman"/>
          <w:sz w:val="14"/>
        </w:rPr>
        <w:t>4 </w:t>
      </w:r>
      <w:r>
        <w:rPr>
          <w:rFonts w:ascii="Times New Roman"/>
          <w:position w:val="2"/>
          <w:sz w:val="22"/>
        </w:rPr>
        <w:t>production in addition of temperature and gas pressure in a </w:t>
      </w:r>
      <w:r>
        <w:rPr>
          <w:rFonts w:ascii="Times New Roman"/>
          <w:sz w:val="22"/>
        </w:rPr>
        <w:t>different set of experimental condition were calculated and dealing with according to the perturbation theory combined with linear free energy relationships. The classification models were made based on these input variables with STATISTICA software.</w:t>
      </w:r>
    </w:p>
    <w:p>
      <w:pPr>
        <w:pStyle w:val="ListParagraph"/>
        <w:numPr>
          <w:ilvl w:val="2"/>
          <w:numId w:val="17"/>
        </w:numPr>
        <w:tabs>
          <w:tab w:pos="1100" w:val="left" w:leader="none"/>
        </w:tabs>
        <w:spacing w:line="240" w:lineRule="auto" w:before="2" w:after="0"/>
        <w:ind w:left="1099" w:right="0" w:hanging="556"/>
        <w:jc w:val="left"/>
        <w:rPr>
          <w:rFonts w:ascii="Times New Roman"/>
          <w:i/>
          <w:sz w:val="22"/>
        </w:rPr>
      </w:pPr>
      <w:r>
        <w:rPr>
          <w:rFonts w:ascii="Times New Roman"/>
          <w:i/>
          <w:sz w:val="22"/>
        </w:rPr>
        <w:t>Datasets and Workflow for PT-LFER Chemoinformatics</w:t>
      </w:r>
      <w:r>
        <w:rPr>
          <w:rFonts w:ascii="Times New Roman"/>
          <w:i/>
          <w:spacing w:val="-23"/>
          <w:sz w:val="22"/>
        </w:rPr>
        <w:t> </w:t>
      </w:r>
      <w:r>
        <w:rPr>
          <w:rFonts w:ascii="Times New Roman"/>
          <w:i/>
          <w:sz w:val="22"/>
        </w:rPr>
        <w:t>study.</w:t>
      </w:r>
    </w:p>
    <w:p>
      <w:pPr>
        <w:spacing w:after="0" w:line="240" w:lineRule="auto"/>
        <w:jc w:val="left"/>
        <w:rPr>
          <w:rFonts w:ascii="Times New Roman"/>
          <w:sz w:val="22"/>
        </w:rPr>
        <w:sectPr>
          <w:type w:val="continuous"/>
          <w:pgSz w:w="12240" w:h="15840"/>
          <w:pgMar w:top="3080" w:bottom="2780" w:left="1440" w:right="1460"/>
        </w:sectPr>
      </w:pPr>
    </w:p>
    <w:p>
      <w:pPr>
        <w:pStyle w:val="BodyText"/>
        <w:spacing w:before="10"/>
        <w:rPr>
          <w:rFonts w:ascii="Times New Roman"/>
          <w:i/>
          <w:sz w:val="14"/>
        </w:rPr>
      </w:pPr>
    </w:p>
    <w:p>
      <w:pPr>
        <w:spacing w:line="237" w:lineRule="auto" w:before="74"/>
        <w:ind w:left="259" w:right="238" w:firstLine="283"/>
        <w:jc w:val="both"/>
        <w:rPr>
          <w:rFonts w:ascii="Times New Roman" w:hAnsi="Times New Roman"/>
          <w:sz w:val="22"/>
        </w:rPr>
      </w:pPr>
      <w:r>
        <w:rPr>
          <w:rFonts w:ascii="Times New Roman" w:hAnsi="Times New Roman"/>
          <w:sz w:val="22"/>
        </w:rPr>
        <w:t>A Chemoinformatics study of the results obtained in the experimental section was carried out. </w:t>
      </w:r>
      <w:r>
        <w:rPr>
          <w:rFonts w:ascii="Times New Roman" w:hAnsi="Times New Roman"/>
          <w:b/>
          <w:sz w:val="22"/>
        </w:rPr>
        <w:t>Figure 2 </w:t>
      </w:r>
      <w:r>
        <w:rPr>
          <w:rFonts w:ascii="Times New Roman" w:hAnsi="Times New Roman"/>
          <w:sz w:val="22"/>
        </w:rPr>
        <w:t>shows a workflow diagram that states the integration </w:t>
      </w:r>
      <w:r>
        <w:rPr>
          <w:rFonts w:ascii="Times New Roman" w:hAnsi="Times New Roman"/>
          <w:spacing w:val="-3"/>
          <w:sz w:val="22"/>
        </w:rPr>
        <w:t>of </w:t>
      </w:r>
      <w:r>
        <w:rPr>
          <w:rFonts w:ascii="Times New Roman" w:hAnsi="Times New Roman"/>
          <w:sz w:val="22"/>
        </w:rPr>
        <w:t>both (experimental and  theoretical) sections. The diagram briefly explains the experimental section, mainly focusing on the subsequent development </w:t>
      </w:r>
      <w:r>
        <w:rPr>
          <w:rFonts w:ascii="Times New Roman" w:hAnsi="Times New Roman"/>
          <w:spacing w:val="-3"/>
          <w:sz w:val="22"/>
        </w:rPr>
        <w:t>of </w:t>
      </w:r>
      <w:r>
        <w:rPr>
          <w:rFonts w:ascii="Times New Roman" w:hAnsi="Times New Roman"/>
          <w:sz w:val="22"/>
        </w:rPr>
        <w:t>PT-LFER model. For the analysis, the parameters (Ω) from experiment </w:t>
      </w:r>
      <w:r>
        <w:rPr>
          <w:rFonts w:ascii="Times New Roman" w:hAnsi="Times New Roman"/>
          <w:position w:val="2"/>
          <w:sz w:val="22"/>
        </w:rPr>
        <w:t>section (</w:t>
      </w:r>
      <w:r>
        <w:rPr>
          <w:rFonts w:ascii="Times New Roman" w:hAnsi="Times New Roman"/>
          <w:b/>
          <w:position w:val="2"/>
          <w:sz w:val="22"/>
        </w:rPr>
        <w:t>a</w:t>
      </w:r>
      <w:r>
        <w:rPr>
          <w:rFonts w:ascii="Times New Roman" w:hAnsi="Times New Roman"/>
          <w:position w:val="2"/>
          <w:sz w:val="22"/>
        </w:rPr>
        <w:t>) and (</w:t>
      </w:r>
      <w:r>
        <w:rPr>
          <w:rFonts w:ascii="Times New Roman" w:hAnsi="Times New Roman"/>
          <w:b/>
          <w:position w:val="2"/>
          <w:sz w:val="22"/>
        </w:rPr>
        <w:t>b</w:t>
      </w:r>
      <w:r>
        <w:rPr>
          <w:rFonts w:ascii="Times New Roman" w:hAnsi="Times New Roman"/>
          <w:position w:val="2"/>
          <w:sz w:val="22"/>
        </w:rPr>
        <w:t>) were calculated based on the set </w:t>
      </w:r>
      <w:r>
        <w:rPr>
          <w:rFonts w:ascii="Times New Roman" w:hAnsi="Times New Roman"/>
          <w:spacing w:val="-3"/>
          <w:position w:val="2"/>
          <w:sz w:val="22"/>
        </w:rPr>
        <w:t>of </w:t>
      </w:r>
      <w:r>
        <w:rPr>
          <w:rFonts w:ascii="Times New Roman" w:hAnsi="Times New Roman"/>
          <w:position w:val="2"/>
          <w:sz w:val="22"/>
        </w:rPr>
        <w:t>experimental conditions c</w:t>
      </w:r>
      <w:r>
        <w:rPr>
          <w:rFonts w:ascii="Times New Roman" w:hAnsi="Times New Roman"/>
          <w:sz w:val="14"/>
        </w:rPr>
        <w:t>j</w:t>
      </w:r>
      <w:r>
        <w:rPr>
          <w:rFonts w:ascii="Times New Roman" w:hAnsi="Times New Roman"/>
          <w:position w:val="2"/>
          <w:sz w:val="22"/>
        </w:rPr>
        <w:t>. After that, the </w:t>
      </w:r>
      <w:r>
        <w:rPr>
          <w:rFonts w:ascii="Times New Roman" w:hAnsi="Times New Roman"/>
          <w:sz w:val="22"/>
        </w:rPr>
        <w:t>difference (</w:t>
      </w:r>
      <w:r>
        <w:rPr>
          <w:rFonts w:ascii="Times New Roman" w:hAnsi="Times New Roman"/>
          <w:b/>
          <w:sz w:val="22"/>
        </w:rPr>
        <w:t>∆</w:t>
      </w:r>
      <w:r>
        <w:rPr>
          <w:rFonts w:ascii="Times New Roman" w:hAnsi="Times New Roman"/>
          <w:sz w:val="22"/>
        </w:rPr>
        <w:t>) and logistical absolute values </w:t>
      </w:r>
      <w:r>
        <w:rPr>
          <w:rFonts w:ascii="Times New Roman" w:hAnsi="Times New Roman"/>
          <w:spacing w:val="-3"/>
          <w:sz w:val="22"/>
        </w:rPr>
        <w:t>of </w:t>
      </w:r>
      <w:r>
        <w:rPr>
          <w:rFonts w:ascii="Times New Roman" w:hAnsi="Times New Roman"/>
          <w:sz w:val="22"/>
        </w:rPr>
        <w:t>difference (log(|∆|)) from the initial </w:t>
      </w:r>
      <w:r>
        <w:rPr>
          <w:rFonts w:ascii="Times New Roman" w:hAnsi="Times New Roman"/>
          <w:spacing w:val="-3"/>
          <w:sz w:val="22"/>
        </w:rPr>
        <w:t>or  </w:t>
      </w:r>
      <w:r>
        <w:rPr>
          <w:rFonts w:ascii="Times New Roman" w:hAnsi="Times New Roman"/>
          <w:sz w:val="22"/>
        </w:rPr>
        <w:t>reference  state (ref) linked </w:t>
      </w:r>
      <w:r>
        <w:rPr>
          <w:rFonts w:ascii="Times New Roman" w:hAnsi="Times New Roman"/>
          <w:spacing w:val="2"/>
          <w:sz w:val="22"/>
        </w:rPr>
        <w:t>to </w:t>
      </w:r>
      <w:r>
        <w:rPr>
          <w:rFonts w:ascii="Times New Roman" w:hAnsi="Times New Roman"/>
          <w:sz w:val="22"/>
        </w:rPr>
        <w:t>their respective new </w:t>
      </w:r>
      <w:r>
        <w:rPr>
          <w:rFonts w:ascii="Times New Roman" w:hAnsi="Times New Roman"/>
          <w:spacing w:val="-3"/>
          <w:sz w:val="22"/>
        </w:rPr>
        <w:t>or </w:t>
      </w:r>
      <w:r>
        <w:rPr>
          <w:rFonts w:ascii="Times New Roman" w:hAnsi="Times New Roman"/>
          <w:sz w:val="22"/>
        </w:rPr>
        <w:t>final (new) were calculated. Then, some input variable </w:t>
      </w:r>
      <w:r>
        <w:rPr>
          <w:rFonts w:ascii="Times New Roman" w:hAnsi="Times New Roman"/>
          <w:position w:val="2"/>
          <w:sz w:val="22"/>
        </w:rPr>
        <w:t>values, including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w:t>
      </w:r>
      <w:r>
        <w:rPr>
          <w:rFonts w:ascii="Times New Roman" w:hAnsi="Times New Roman"/>
          <w:spacing w:val="-3"/>
          <w:position w:val="2"/>
          <w:sz w:val="22"/>
        </w:rPr>
        <w:t>of </w:t>
      </w:r>
      <w:r>
        <w:rPr>
          <w:rFonts w:ascii="Times New Roman" w:hAnsi="Times New Roman"/>
          <w:position w:val="2"/>
          <w:sz w:val="22"/>
        </w:rPr>
        <w:t>class k</w:t>
      </w:r>
      <w:r>
        <w:rPr>
          <w:rFonts w:ascii="Times New Roman" w:hAnsi="Times New Roman"/>
          <w:position w:val="11"/>
          <w:sz w:val="14"/>
        </w:rPr>
        <w:t>th </w:t>
      </w:r>
      <w:r>
        <w:rPr>
          <w:rFonts w:ascii="Times New Roman" w:hAnsi="Times New Roman"/>
          <w:position w:val="2"/>
          <w:sz w:val="22"/>
        </w:rPr>
        <w:t>for every i</w:t>
      </w:r>
      <w:r>
        <w:rPr>
          <w:rFonts w:ascii="Times New Roman" w:hAnsi="Times New Roman"/>
          <w:i/>
          <w:position w:val="10"/>
          <w:sz w:val="14"/>
        </w:rPr>
        <w:t>th </w:t>
      </w:r>
      <w:r>
        <w:rPr>
          <w:rFonts w:ascii="Times New Roman" w:hAnsi="Times New Roman"/>
          <w:position w:val="2"/>
          <w:sz w:val="22"/>
        </w:rPr>
        <w:t>fatty acid molecule, and perturbation operators ΔΔV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were calculated. Next, we defined the PT-LFER model based on </w:t>
      </w:r>
      <w:r>
        <w:rPr>
          <w:rFonts w:ascii="Times New Roman" w:hAnsi="Times New Roman"/>
          <w:sz w:val="22"/>
        </w:rPr>
        <w:t>these input variables obtained from experimental parts and molecular descriptors </w:t>
      </w:r>
      <w:r>
        <w:rPr>
          <w:rFonts w:ascii="Times New Roman" w:hAnsi="Times New Roman"/>
          <w:spacing w:val="-3"/>
          <w:sz w:val="22"/>
        </w:rPr>
        <w:t>of </w:t>
      </w:r>
      <w:r>
        <w:rPr>
          <w:rFonts w:ascii="Times New Roman" w:hAnsi="Times New Roman"/>
          <w:sz w:val="22"/>
        </w:rPr>
        <w:t>each fatty acid. In final, the statistical analysis and obtained the PT-LFER </w:t>
      </w:r>
      <w:r>
        <w:rPr>
          <w:rFonts w:ascii="Times New Roman" w:hAnsi="Times New Roman"/>
          <w:spacing w:val="-3"/>
          <w:sz w:val="22"/>
        </w:rPr>
        <w:t>model </w:t>
      </w:r>
      <w:r>
        <w:rPr>
          <w:rFonts w:ascii="Times New Roman" w:hAnsi="Times New Roman"/>
          <w:sz w:val="22"/>
        </w:rPr>
        <w:t>were performed. </w:t>
      </w:r>
      <w:r>
        <w:rPr>
          <w:rFonts w:ascii="Times New Roman" w:hAnsi="Times New Roman"/>
          <w:spacing w:val="-3"/>
          <w:sz w:val="22"/>
        </w:rPr>
        <w:t>At </w:t>
      </w:r>
      <w:r>
        <w:rPr>
          <w:rFonts w:ascii="Times New Roman" w:hAnsi="Times New Roman"/>
          <w:sz w:val="22"/>
        </w:rPr>
        <w:t>follow, we explained more details in some of these</w:t>
      </w:r>
      <w:r>
        <w:rPr>
          <w:rFonts w:ascii="Times New Roman" w:hAnsi="Times New Roman"/>
          <w:spacing w:val="-21"/>
          <w:sz w:val="22"/>
        </w:rPr>
        <w:t> </w:t>
      </w:r>
      <w:r>
        <w:rPr>
          <w:rFonts w:ascii="Times New Roman" w:hAnsi="Times New Roman"/>
          <w:sz w:val="22"/>
        </w:rPr>
        <w:t>steps.</w:t>
      </w:r>
    </w:p>
    <w:p>
      <w:pPr>
        <w:spacing w:before="6"/>
        <w:ind w:left="294" w:right="0" w:firstLine="0"/>
        <w:jc w:val="center"/>
        <w:rPr>
          <w:rFonts w:ascii="Times New Roman"/>
          <w:b/>
          <w:sz w:val="22"/>
        </w:rPr>
      </w:pPr>
      <w:r>
        <w:rPr>
          <w:rFonts w:ascii="Times New Roman"/>
          <w:b/>
          <w:sz w:val="22"/>
        </w:rPr>
        <w:t>Figure 2 comes from here</w:t>
      </w:r>
    </w:p>
    <w:p>
      <w:pPr>
        <w:pStyle w:val="ListParagraph"/>
        <w:numPr>
          <w:ilvl w:val="2"/>
          <w:numId w:val="17"/>
        </w:numPr>
        <w:tabs>
          <w:tab w:pos="1100" w:val="left" w:leader="none"/>
        </w:tabs>
        <w:spacing w:line="245" w:lineRule="exact" w:before="0" w:after="0"/>
        <w:ind w:left="1099" w:right="0" w:hanging="556"/>
        <w:jc w:val="left"/>
        <w:rPr>
          <w:rFonts w:ascii="Times New Roman"/>
          <w:i/>
          <w:sz w:val="22"/>
        </w:rPr>
      </w:pPr>
      <w:r>
        <w:rPr>
          <w:rFonts w:ascii="Times New Roman"/>
          <w:i/>
          <w:sz w:val="22"/>
        </w:rPr>
        <w:t>PT-LFER model</w:t>
      </w:r>
      <w:r>
        <w:rPr>
          <w:rFonts w:ascii="Times New Roman"/>
          <w:i/>
          <w:spacing w:val="-16"/>
          <w:sz w:val="22"/>
        </w:rPr>
        <w:t> </w:t>
      </w:r>
      <w:r>
        <w:rPr>
          <w:rFonts w:ascii="Times New Roman"/>
          <w:i/>
          <w:sz w:val="22"/>
        </w:rPr>
        <w:t>details.</w:t>
      </w:r>
    </w:p>
    <w:p>
      <w:pPr>
        <w:spacing w:line="235" w:lineRule="auto" w:before="5"/>
        <w:ind w:left="259" w:right="234" w:firstLine="336"/>
        <w:jc w:val="both"/>
        <w:rPr>
          <w:rFonts w:ascii="Times New Roman" w:hAnsi="Times New Roman"/>
          <w:sz w:val="22"/>
        </w:rPr>
      </w:pPr>
      <w:r>
        <w:rPr>
          <w:rFonts w:ascii="Times New Roman" w:hAnsi="Times New Roman"/>
          <w:sz w:val="22"/>
        </w:rPr>
        <w:t>In our opinion, we can combine the idea </w:t>
      </w:r>
      <w:r>
        <w:rPr>
          <w:rFonts w:ascii="Times New Roman" w:hAnsi="Times New Roman"/>
          <w:spacing w:val="-3"/>
          <w:sz w:val="22"/>
        </w:rPr>
        <w:t>of </w:t>
      </w:r>
      <w:r>
        <w:rPr>
          <w:rFonts w:ascii="Times New Roman" w:hAnsi="Times New Roman"/>
          <w:sz w:val="22"/>
        </w:rPr>
        <w:t>Perturbation Theory (PT) [16] and Linear Free- Energy Relationships (LFER) [17, 18] to handle this issue. Recently, Gonzalez-Díaz </w:t>
      </w:r>
      <w:r>
        <w:rPr>
          <w:rFonts w:ascii="Times New Roman" w:hAnsi="Times New Roman"/>
          <w:i/>
          <w:sz w:val="22"/>
        </w:rPr>
        <w:t>et al. </w:t>
      </w:r>
      <w:r>
        <w:rPr>
          <w:rFonts w:ascii="Times New Roman" w:hAnsi="Times New Roman"/>
          <w:sz w:val="22"/>
        </w:rPr>
        <w:t>[16] formulated a general-purpose PT </w:t>
      </w:r>
      <w:r>
        <w:rPr>
          <w:rFonts w:ascii="Times New Roman" w:hAnsi="Times New Roman"/>
          <w:spacing w:val="-3"/>
          <w:sz w:val="22"/>
        </w:rPr>
        <w:t>model </w:t>
      </w:r>
      <w:r>
        <w:rPr>
          <w:rFonts w:ascii="Times New Roman" w:hAnsi="Times New Roman"/>
          <w:sz w:val="22"/>
        </w:rPr>
        <w:t>for multiple-boundary Chemoinformatics problems. The </w:t>
      </w:r>
      <w:r>
        <w:rPr>
          <w:rFonts w:ascii="Times New Roman" w:hAnsi="Times New Roman"/>
          <w:position w:val="2"/>
          <w:sz w:val="22"/>
        </w:rPr>
        <w:t>model calculates a general function f(µ</w:t>
      </w:r>
      <w:r>
        <w:rPr>
          <w:rFonts w:ascii="Times New Roman" w:hAnsi="Times New Roman"/>
          <w:sz w:val="14"/>
        </w:rPr>
        <w:t>nr</w:t>
      </w:r>
      <w:r>
        <w:rPr>
          <w:rFonts w:ascii="Times New Roman" w:hAnsi="Times New Roman"/>
          <w:position w:val="2"/>
          <w:sz w:val="22"/>
        </w:rPr>
        <w:t>) </w:t>
      </w:r>
      <w:r>
        <w:rPr>
          <w:rFonts w:ascii="Times New Roman" w:hAnsi="Times New Roman"/>
          <w:spacing w:val="2"/>
          <w:position w:val="2"/>
          <w:sz w:val="22"/>
        </w:rPr>
        <w:t>to </w:t>
      </w:r>
      <w:r>
        <w:rPr>
          <w:rFonts w:ascii="Times New Roman" w:hAnsi="Times New Roman"/>
          <w:position w:val="2"/>
          <w:sz w:val="22"/>
        </w:rPr>
        <w:t>quantify the occurrence (µ</w:t>
      </w:r>
      <w:r>
        <w:rPr>
          <w:rFonts w:ascii="Times New Roman" w:hAnsi="Times New Roman"/>
          <w:sz w:val="14"/>
        </w:rPr>
        <w:t>nr </w:t>
      </w:r>
      <w:r>
        <w:rPr>
          <w:rFonts w:ascii="Times New Roman" w:hAnsi="Times New Roman"/>
          <w:position w:val="2"/>
          <w:sz w:val="22"/>
        </w:rPr>
        <w:t>= 1) </w:t>
      </w:r>
      <w:r>
        <w:rPr>
          <w:rFonts w:ascii="Times New Roman" w:hAnsi="Times New Roman"/>
          <w:spacing w:val="-3"/>
          <w:position w:val="2"/>
          <w:sz w:val="22"/>
        </w:rPr>
        <w:t>or </w:t>
      </w:r>
      <w:r>
        <w:rPr>
          <w:rFonts w:ascii="Times New Roman" w:hAnsi="Times New Roman"/>
          <w:position w:val="2"/>
          <w:sz w:val="22"/>
        </w:rPr>
        <w:t>not (µ</w:t>
      </w:r>
      <w:r>
        <w:rPr>
          <w:rFonts w:ascii="Times New Roman" w:hAnsi="Times New Roman"/>
          <w:sz w:val="14"/>
        </w:rPr>
        <w:t>nr </w:t>
      </w:r>
      <w:r>
        <w:rPr>
          <w:rFonts w:ascii="Times New Roman" w:hAnsi="Times New Roman"/>
          <w:position w:val="2"/>
          <w:sz w:val="22"/>
        </w:rPr>
        <w:t>= 0) </w:t>
      </w:r>
      <w:r>
        <w:rPr>
          <w:rFonts w:ascii="Times New Roman" w:hAnsi="Times New Roman"/>
          <w:spacing w:val="-3"/>
          <w:position w:val="2"/>
          <w:sz w:val="22"/>
        </w:rPr>
        <w:t>of </w:t>
      </w:r>
      <w:r>
        <w:rPr>
          <w:rFonts w:ascii="Times New Roman" w:hAnsi="Times New Roman"/>
          <w:position w:val="2"/>
          <w:sz w:val="22"/>
        </w:rPr>
        <w:t>a process involving a </w:t>
      </w:r>
      <w:r>
        <w:rPr>
          <w:rFonts w:ascii="Times New Roman" w:hAnsi="Times New Roman"/>
          <w:spacing w:val="-3"/>
          <w:position w:val="2"/>
          <w:sz w:val="22"/>
        </w:rPr>
        <w:t>set of </w:t>
      </w:r>
      <w:r>
        <w:rPr>
          <w:rFonts w:ascii="Times New Roman" w:hAnsi="Times New Roman"/>
          <w:position w:val="2"/>
          <w:sz w:val="22"/>
        </w:rPr>
        <w:t>molecules m</w:t>
      </w:r>
      <w:r>
        <w:rPr>
          <w:rFonts w:ascii="Times New Roman" w:hAnsi="Times New Roman"/>
          <w:sz w:val="14"/>
        </w:rPr>
        <w:t>i </w:t>
      </w:r>
      <w:r>
        <w:rPr>
          <w:rFonts w:ascii="Times New Roman" w:hAnsi="Times New Roman"/>
          <w:position w:val="2"/>
          <w:sz w:val="22"/>
        </w:rPr>
        <w:t>in a complex system. It is considered that all the possible </w:t>
      </w:r>
      <w:r>
        <w:rPr>
          <w:rFonts w:ascii="Times New Roman" w:hAnsi="Times New Roman"/>
          <w:sz w:val="22"/>
        </w:rPr>
        <w:t>states form a network </w:t>
      </w:r>
      <w:r>
        <w:rPr>
          <w:rFonts w:ascii="Times New Roman" w:hAnsi="Times New Roman"/>
          <w:spacing w:val="-3"/>
          <w:sz w:val="22"/>
        </w:rPr>
        <w:t>of </w:t>
      </w:r>
      <w:r>
        <w:rPr>
          <w:rFonts w:ascii="Times New Roman" w:hAnsi="Times New Roman"/>
          <w:sz w:val="22"/>
        </w:rPr>
        <w:t>states. The network nodes are the initial </w:t>
      </w:r>
      <w:r>
        <w:rPr>
          <w:rFonts w:ascii="Times New Roman" w:hAnsi="Times New Roman"/>
          <w:spacing w:val="-3"/>
          <w:sz w:val="22"/>
        </w:rPr>
        <w:t>or </w:t>
      </w:r>
      <w:r>
        <w:rPr>
          <w:rFonts w:ascii="Times New Roman" w:hAnsi="Times New Roman"/>
          <w:sz w:val="22"/>
        </w:rPr>
        <w:t>reference states (r) linked </w:t>
      </w:r>
      <w:r>
        <w:rPr>
          <w:rFonts w:ascii="Times New Roman" w:hAnsi="Times New Roman"/>
          <w:spacing w:val="2"/>
          <w:sz w:val="22"/>
        </w:rPr>
        <w:t>to </w:t>
      </w:r>
      <w:r>
        <w:rPr>
          <w:rFonts w:ascii="Times New Roman" w:hAnsi="Times New Roman"/>
          <w:sz w:val="22"/>
        </w:rPr>
        <w:t>their respective final </w:t>
      </w:r>
      <w:r>
        <w:rPr>
          <w:rFonts w:ascii="Times New Roman" w:hAnsi="Times New Roman"/>
          <w:spacing w:val="-3"/>
          <w:sz w:val="22"/>
        </w:rPr>
        <w:t>or </w:t>
      </w:r>
      <w:r>
        <w:rPr>
          <w:rFonts w:ascii="Times New Roman" w:hAnsi="Times New Roman"/>
          <w:sz w:val="22"/>
        </w:rPr>
        <w:t>new states (n) reached by the system after a perturbation </w:t>
      </w:r>
      <w:r>
        <w:rPr>
          <w:rFonts w:ascii="Times New Roman" w:hAnsi="Times New Roman"/>
          <w:spacing w:val="-3"/>
          <w:sz w:val="22"/>
        </w:rPr>
        <w:t>of </w:t>
      </w:r>
      <w:r>
        <w:rPr>
          <w:rFonts w:ascii="Times New Roman" w:hAnsi="Times New Roman"/>
          <w:sz w:val="22"/>
        </w:rPr>
        <w:t>the initial </w:t>
      </w:r>
      <w:r>
        <w:rPr>
          <w:rFonts w:ascii="Times New Roman" w:hAnsi="Times New Roman"/>
          <w:position w:val="2"/>
          <w:sz w:val="22"/>
        </w:rPr>
        <w:t>conditions. In the PT-LFER model, a </w:t>
      </w:r>
      <w:r>
        <w:rPr>
          <w:rFonts w:ascii="Times New Roman" w:hAnsi="Times New Roman"/>
          <w:spacing w:val="-3"/>
          <w:position w:val="2"/>
          <w:sz w:val="22"/>
        </w:rPr>
        <w:t>set of </w:t>
      </w:r>
      <w:r>
        <w:rPr>
          <w:rFonts w:ascii="Times New Roman" w:hAnsi="Times New Roman"/>
          <w:position w:val="2"/>
          <w:sz w:val="22"/>
        </w:rPr>
        <w:t>multiple initial experimental boundary conditions </w:t>
      </w:r>
      <w:r>
        <w:rPr>
          <w:rFonts w:ascii="Times New Roman" w:hAnsi="Times New Roman"/>
          <w:position w:val="11"/>
          <w:sz w:val="14"/>
        </w:rPr>
        <w:t>ref</w:t>
      </w:r>
      <w:r>
        <w:rPr>
          <w:rFonts w:ascii="Times New Roman" w:hAnsi="Times New Roman"/>
          <w:position w:val="2"/>
          <w:sz w:val="22"/>
        </w:rPr>
        <w:t>c</w:t>
      </w:r>
      <w:r>
        <w:rPr>
          <w:rFonts w:ascii="Times New Roman" w:hAnsi="Times New Roman"/>
          <w:sz w:val="14"/>
        </w:rPr>
        <w:t>j </w:t>
      </w:r>
      <w:r>
        <w:rPr>
          <w:rFonts w:ascii="Times New Roman" w:hAnsi="Times New Roman"/>
          <w:position w:val="2"/>
          <w:sz w:val="22"/>
        </w:rPr>
        <w:t>≡ (c</w:t>
      </w:r>
      <w:r>
        <w:rPr>
          <w:rFonts w:ascii="Times New Roman" w:hAnsi="Times New Roman"/>
          <w:sz w:val="14"/>
        </w:rPr>
        <w:t>0</w:t>
      </w:r>
      <w:r>
        <w:rPr>
          <w:rFonts w:ascii="Times New Roman" w:hAnsi="Times New Roman"/>
          <w:position w:val="2"/>
          <w:sz w:val="22"/>
        </w:rPr>
        <w:t>, c</w:t>
      </w:r>
      <w:r>
        <w:rPr>
          <w:rFonts w:ascii="Times New Roman" w:hAnsi="Times New Roman"/>
          <w:sz w:val="14"/>
        </w:rPr>
        <w:t>1</w:t>
      </w:r>
      <w:r>
        <w:rPr>
          <w:rFonts w:ascii="Times New Roman" w:hAnsi="Times New Roman"/>
          <w:position w:val="2"/>
          <w:sz w:val="22"/>
        </w:rPr>
        <w:t>, c</w:t>
      </w:r>
      <w:r>
        <w:rPr>
          <w:rFonts w:ascii="Times New Roman" w:hAnsi="Times New Roman"/>
          <w:sz w:val="14"/>
        </w:rPr>
        <w:t>2</w:t>
      </w:r>
      <w:r>
        <w:rPr>
          <w:rFonts w:ascii="Times New Roman" w:hAnsi="Times New Roman"/>
          <w:position w:val="2"/>
          <w:sz w:val="22"/>
        </w:rPr>
        <w:t>, c</w:t>
      </w:r>
      <w:r>
        <w:rPr>
          <w:rFonts w:ascii="Times New Roman" w:hAnsi="Times New Roman"/>
          <w:sz w:val="14"/>
        </w:rPr>
        <w:t>3</w:t>
      </w:r>
      <w:r>
        <w:rPr>
          <w:rFonts w:ascii="Times New Roman" w:hAnsi="Times New Roman"/>
          <w:position w:val="2"/>
          <w:sz w:val="22"/>
        </w:rPr>
        <w:t>… c</w:t>
      </w:r>
      <w:r>
        <w:rPr>
          <w:rFonts w:ascii="Times New Roman" w:hAnsi="Times New Roman"/>
          <w:sz w:val="14"/>
        </w:rPr>
        <w:t>n</w:t>
      </w:r>
      <w:r>
        <w:rPr>
          <w:rFonts w:ascii="Times New Roman" w:hAnsi="Times New Roman"/>
          <w:position w:val="2"/>
          <w:sz w:val="22"/>
        </w:rPr>
        <w:t>) and a different </w:t>
      </w:r>
      <w:r>
        <w:rPr>
          <w:rFonts w:ascii="Times New Roman" w:hAnsi="Times New Roman"/>
          <w:spacing w:val="-3"/>
          <w:position w:val="2"/>
          <w:sz w:val="22"/>
        </w:rPr>
        <w:t>or </w:t>
      </w:r>
      <w:r>
        <w:rPr>
          <w:rFonts w:ascii="Times New Roman" w:hAnsi="Times New Roman"/>
          <w:position w:val="2"/>
          <w:sz w:val="22"/>
        </w:rPr>
        <w:t>new set </w:t>
      </w:r>
      <w:r>
        <w:rPr>
          <w:rFonts w:ascii="Times New Roman" w:hAnsi="Times New Roman"/>
          <w:spacing w:val="-3"/>
          <w:position w:val="2"/>
          <w:sz w:val="22"/>
        </w:rPr>
        <w:t>of </w:t>
      </w:r>
      <w:r>
        <w:rPr>
          <w:rFonts w:ascii="Times New Roman" w:hAnsi="Times New Roman"/>
          <w:position w:val="2"/>
          <w:sz w:val="22"/>
        </w:rPr>
        <w:t>boundary conditions </w:t>
      </w:r>
      <w:r>
        <w:rPr>
          <w:rFonts w:ascii="Times New Roman" w:hAnsi="Times New Roman"/>
          <w:position w:val="11"/>
          <w:sz w:val="14"/>
        </w:rPr>
        <w:t>new</w:t>
      </w:r>
      <w:r>
        <w:rPr>
          <w:rFonts w:ascii="Times New Roman" w:hAnsi="Times New Roman"/>
          <w:position w:val="2"/>
          <w:sz w:val="22"/>
        </w:rPr>
        <w:t>c</w:t>
      </w:r>
      <w:r>
        <w:rPr>
          <w:rFonts w:ascii="Times New Roman" w:hAnsi="Times New Roman"/>
          <w:sz w:val="14"/>
        </w:rPr>
        <w:t>j </w:t>
      </w:r>
      <w:r>
        <w:rPr>
          <w:rFonts w:ascii="Times New Roman" w:hAnsi="Times New Roman"/>
          <w:position w:val="2"/>
          <w:sz w:val="22"/>
        </w:rPr>
        <w:t>≡ (c</w:t>
      </w:r>
      <w:r>
        <w:rPr>
          <w:rFonts w:ascii="Times New Roman" w:hAnsi="Times New Roman"/>
          <w:sz w:val="14"/>
        </w:rPr>
        <w:t>0</w:t>
      </w:r>
      <w:r>
        <w:rPr>
          <w:rFonts w:ascii="Times New Roman" w:hAnsi="Times New Roman"/>
          <w:position w:val="2"/>
          <w:sz w:val="22"/>
        </w:rPr>
        <w:t>, c</w:t>
      </w:r>
      <w:r>
        <w:rPr>
          <w:rFonts w:ascii="Times New Roman" w:hAnsi="Times New Roman"/>
          <w:sz w:val="14"/>
        </w:rPr>
        <w:t>1</w:t>
      </w:r>
      <w:r>
        <w:rPr>
          <w:rFonts w:ascii="Times New Roman" w:hAnsi="Times New Roman"/>
          <w:position w:val="2"/>
          <w:sz w:val="22"/>
        </w:rPr>
        <w:t>, c</w:t>
      </w:r>
      <w:r>
        <w:rPr>
          <w:rFonts w:ascii="Times New Roman" w:hAnsi="Times New Roman"/>
          <w:sz w:val="14"/>
        </w:rPr>
        <w:t>2</w:t>
      </w:r>
      <w:r>
        <w:rPr>
          <w:rFonts w:ascii="Times New Roman" w:hAnsi="Times New Roman"/>
          <w:position w:val="2"/>
          <w:sz w:val="22"/>
        </w:rPr>
        <w:t>, c</w:t>
      </w:r>
      <w:r>
        <w:rPr>
          <w:rFonts w:ascii="Times New Roman" w:hAnsi="Times New Roman"/>
          <w:sz w:val="14"/>
        </w:rPr>
        <w:t>3</w:t>
      </w:r>
      <w:r>
        <w:rPr>
          <w:rFonts w:ascii="Times New Roman" w:hAnsi="Times New Roman"/>
          <w:position w:val="2"/>
          <w:sz w:val="22"/>
        </w:rPr>
        <w:t>… c</w:t>
      </w:r>
      <w:r>
        <w:rPr>
          <w:rFonts w:ascii="Times New Roman" w:hAnsi="Times New Roman"/>
          <w:sz w:val="14"/>
        </w:rPr>
        <w:t>n</w:t>
      </w:r>
      <w:r>
        <w:rPr>
          <w:rFonts w:ascii="Times New Roman" w:hAnsi="Times New Roman"/>
          <w:position w:val="2"/>
          <w:sz w:val="22"/>
        </w:rPr>
        <w:t>) are </w:t>
      </w:r>
      <w:r>
        <w:rPr>
          <w:rFonts w:ascii="Times New Roman" w:hAnsi="Times New Roman"/>
          <w:sz w:val="22"/>
        </w:rPr>
        <w:t>considered at the beginning </w:t>
      </w:r>
      <w:r>
        <w:rPr>
          <w:rFonts w:ascii="Times New Roman" w:hAnsi="Times New Roman"/>
          <w:spacing w:val="-3"/>
          <w:sz w:val="22"/>
        </w:rPr>
        <w:t>or </w:t>
      </w:r>
      <w:r>
        <w:rPr>
          <w:rFonts w:ascii="Times New Roman" w:hAnsi="Times New Roman"/>
          <w:sz w:val="22"/>
        </w:rPr>
        <w:t>end of the process after one </w:t>
      </w:r>
      <w:r>
        <w:rPr>
          <w:rFonts w:ascii="Times New Roman" w:hAnsi="Times New Roman"/>
          <w:spacing w:val="-3"/>
          <w:sz w:val="22"/>
        </w:rPr>
        <w:t>or </w:t>
      </w:r>
      <w:r>
        <w:rPr>
          <w:rFonts w:ascii="Times New Roman" w:hAnsi="Times New Roman"/>
          <w:sz w:val="22"/>
        </w:rPr>
        <w:t>multiple perturbations. The PT-LFER model proposed herein is a linear equation with the following</w:t>
      </w:r>
      <w:r>
        <w:rPr>
          <w:rFonts w:ascii="Times New Roman" w:hAnsi="Times New Roman"/>
          <w:spacing w:val="-30"/>
          <w:sz w:val="22"/>
        </w:rPr>
        <w:t> </w:t>
      </w:r>
      <w:r>
        <w:rPr>
          <w:rFonts w:ascii="Times New Roman" w:hAnsi="Times New Roman"/>
          <w:sz w:val="22"/>
        </w:rPr>
        <w:t>form:</w:t>
      </w:r>
    </w:p>
    <w:p>
      <w:pPr>
        <w:spacing w:line="68" w:lineRule="exact" w:before="12"/>
        <w:ind w:left="5813" w:right="0" w:firstLine="0"/>
        <w:jc w:val="left"/>
        <w:rPr>
          <w:rFonts w:ascii="Times New Roman" w:hAnsi="Times New Roman"/>
          <w:sz w:val="13"/>
        </w:rPr>
      </w:pPr>
      <w:r>
        <w:rPr/>
        <w:pict>
          <v:shape style="position:absolute;margin-left:259.372650pt;margin-top:4.001756pt;width:4.2pt;height:17.6pt;mso-position-horizontal-relative:page;mso-position-vertical-relative:paragraph;z-index:-327784" type="#_x0000_t202" filled="false" stroked="false">
            <v:textbox inset="0,0,0,0">
              <w:txbxContent>
                <w:p>
                  <w:pPr>
                    <w:spacing w:line="351" w:lineRule="exact" w:before="0"/>
                    <w:ind w:left="0" w:right="0" w:firstLine="0"/>
                    <w:jc w:val="left"/>
                    <w:rPr>
                      <w:rFonts w:ascii="Symbol" w:hAnsi="Symbol"/>
                      <w:sz w:val="35"/>
                    </w:rPr>
                  </w:pPr>
                  <w:r>
                    <w:rPr>
                      <w:rFonts w:ascii="Symbol" w:hAnsi="Symbol"/>
                      <w:w w:val="71"/>
                      <w:sz w:val="35"/>
                    </w:rPr>
                    <w:t></w:t>
                  </w:r>
                </w:p>
              </w:txbxContent>
            </v:textbox>
            <w10:wrap type="none"/>
          </v:shape>
        </w:pict>
      </w:r>
      <w:r>
        <w:rPr/>
        <w:pict>
          <v:shape style="position:absolute;margin-left:332.368774pt;margin-top:4.001761pt;width:4.2pt;height:17.6pt;mso-position-horizontal-relative:page;mso-position-vertical-relative:paragraph;z-index:-327760" type="#_x0000_t202" filled="false" stroked="false">
            <v:textbox inset="0,0,0,0">
              <w:txbxContent>
                <w:p>
                  <w:pPr>
                    <w:spacing w:line="351" w:lineRule="exact" w:before="0"/>
                    <w:ind w:left="0" w:right="0" w:firstLine="0"/>
                    <w:jc w:val="left"/>
                    <w:rPr>
                      <w:rFonts w:ascii="Symbol" w:hAnsi="Symbol"/>
                      <w:sz w:val="35"/>
                    </w:rPr>
                  </w:pPr>
                  <w:r>
                    <w:rPr>
                      <w:rFonts w:ascii="Symbol" w:hAnsi="Symbol"/>
                      <w:w w:val="71"/>
                      <w:sz w:val="35"/>
                    </w:rPr>
                    <w:t></w:t>
                  </w:r>
                </w:p>
              </w:txbxContent>
            </v:textbox>
            <w10:wrap type="none"/>
          </v:shape>
        </w:pict>
      </w:r>
      <w:r>
        <w:rPr/>
        <w:pict>
          <v:shape style="position:absolute;margin-left:421.451904pt;margin-top:4.001769pt;width:63.65pt;height:17.6pt;mso-position-horizontal-relative:page;mso-position-vertical-relative:paragraph;z-index:-327736" type="#_x0000_t202" filled="false" stroked="false">
            <v:textbox inset="0,0,0,0">
              <w:txbxContent>
                <w:p>
                  <w:pPr>
                    <w:tabs>
                      <w:tab w:pos="982" w:val="left" w:leader="none"/>
                    </w:tabs>
                    <w:spacing w:line="351" w:lineRule="exact" w:before="0"/>
                    <w:ind w:left="0" w:right="0" w:firstLine="0"/>
                    <w:jc w:val="left"/>
                    <w:rPr>
                      <w:rFonts w:ascii="Symbol" w:hAnsi="Symbol"/>
                      <w:sz w:val="29"/>
                    </w:rPr>
                  </w:pPr>
                  <w:r>
                    <w:rPr>
                      <w:rFonts w:ascii="Symbol" w:hAnsi="Symbol"/>
                      <w:sz w:val="35"/>
                    </w:rPr>
                    <w:t></w:t>
                  </w:r>
                  <w:r>
                    <w:rPr>
                      <w:rFonts w:ascii="Times New Roman" w:hAnsi="Times New Roman"/>
                      <w:sz w:val="35"/>
                    </w:rPr>
                    <w:tab/>
                  </w:r>
                  <w:r>
                    <w:rPr>
                      <w:rFonts w:ascii="Symbol" w:hAnsi="Symbol"/>
                      <w:spacing w:val="-2"/>
                      <w:w w:val="95"/>
                      <w:sz w:val="29"/>
                    </w:rPr>
                    <w:t></w:t>
                  </w:r>
                  <w:r>
                    <w:rPr>
                      <w:rFonts w:ascii="Times New Roman" w:hAnsi="Times New Roman"/>
                      <w:spacing w:val="-2"/>
                      <w:w w:val="95"/>
                      <w:sz w:val="22"/>
                    </w:rPr>
                    <w:t>2</w:t>
                  </w:r>
                  <w:r>
                    <w:rPr>
                      <w:rFonts w:ascii="Symbol" w:hAnsi="Symbol"/>
                      <w:spacing w:val="-2"/>
                      <w:w w:val="95"/>
                      <w:sz w:val="29"/>
                    </w:rPr>
                    <w:t></w:t>
                  </w:r>
                </w:p>
              </w:txbxContent>
            </v:textbox>
            <w10:wrap type="none"/>
          </v:shape>
        </w:pict>
      </w:r>
      <w:r>
        <w:rPr/>
        <w:pict>
          <v:shape style="position:absolute;margin-left:405.93399pt;margin-top:4.001767pt;width:9.9pt;height:17.6pt;mso-position-horizontal-relative:page;mso-position-vertical-relative:paragraph;z-index:4624" type="#_x0000_t202" filled="false" stroked="false">
            <v:textbox inset="0,0,0,0">
              <w:txbxContent>
                <w:p>
                  <w:pPr>
                    <w:spacing w:line="351" w:lineRule="exact" w:before="0"/>
                    <w:ind w:left="0" w:right="-10" w:firstLine="0"/>
                    <w:jc w:val="left"/>
                    <w:rPr>
                      <w:rFonts w:ascii="Times New Roman" w:hAnsi="Times New Roman"/>
                      <w:sz w:val="22"/>
                    </w:rPr>
                  </w:pPr>
                  <w:r>
                    <w:rPr>
                      <w:rFonts w:ascii="Symbol" w:hAnsi="Symbol"/>
                      <w:spacing w:val="-8"/>
                      <w:w w:val="90"/>
                      <w:sz w:val="35"/>
                    </w:rPr>
                    <w:t></w:t>
                  </w:r>
                  <w:r>
                    <w:rPr>
                      <w:rFonts w:ascii="Times New Roman" w:hAnsi="Times New Roman"/>
                      <w:spacing w:val="-8"/>
                      <w:w w:val="90"/>
                      <w:sz w:val="22"/>
                    </w:rPr>
                    <w:t>v</w:t>
                  </w:r>
                </w:p>
              </w:txbxContent>
            </v:textbox>
            <w10:wrap type="none"/>
          </v:shape>
        </w:pict>
      </w:r>
      <w:r>
        <w:rPr>
          <w:rFonts w:ascii="Times New Roman" w:hAnsi="Times New Roman"/>
          <w:w w:val="115"/>
          <w:sz w:val="13"/>
        </w:rPr>
        <w:t>q</w:t>
      </w:r>
      <w:r>
        <w:rPr>
          <w:rFonts w:ascii="Symbol" w:hAnsi="Symbol"/>
          <w:w w:val="115"/>
          <w:sz w:val="13"/>
        </w:rPr>
        <w:t></w:t>
      </w:r>
      <w:r>
        <w:rPr>
          <w:rFonts w:ascii="Times New Roman" w:hAnsi="Times New Roman"/>
          <w:w w:val="115"/>
          <w:sz w:val="13"/>
        </w:rPr>
        <w:t>qmax</w:t>
      </w:r>
    </w:p>
    <w:p>
      <w:pPr>
        <w:spacing w:after="0" w:line="68" w:lineRule="exact"/>
        <w:jc w:val="left"/>
        <w:rPr>
          <w:rFonts w:ascii="Times New Roman" w:hAnsi="Times New Roman"/>
          <w:sz w:val="13"/>
        </w:rPr>
        <w:sectPr>
          <w:pgSz w:w="12240" w:h="15840"/>
          <w:pgMar w:header="684" w:footer="1184" w:top="1380" w:bottom="1380" w:left="1440" w:right="1460"/>
        </w:sectPr>
      </w:pPr>
    </w:p>
    <w:p>
      <w:pPr>
        <w:spacing w:before="0"/>
        <w:ind w:left="0" w:right="0" w:firstLine="0"/>
        <w:jc w:val="right"/>
        <w:rPr>
          <w:rFonts w:ascii="Times New Roman" w:hAnsi="Times New Roman"/>
          <w:sz w:val="22"/>
        </w:rPr>
      </w:pPr>
      <w:r>
        <w:rPr/>
        <w:pict>
          <v:shape style="position:absolute;margin-left:162.199997pt;margin-top:325.904449pt;width:3pt;height:18.650pt;mso-position-horizontal-relative:page;mso-position-vertical-relative:paragraph;z-index:4360" coordorigin="3244,6518" coordsize="60,373" path="m6163,78l6102,243m6102,244l6163,410e" filled="false" stroked="true" strokeweight=".133646pt" strokecolor="#000000">
            <v:path arrowok="t"/>
            <w10:wrap type="none"/>
          </v:shape>
        </w:pict>
      </w:r>
      <w:r>
        <w:rPr/>
        <w:pict>
          <v:shape style="position:absolute;margin-left:202.929993pt;margin-top:325.904449pt;width:3pt;height:18.650pt;mso-position-horizontal-relative:page;mso-position-vertical-relative:paragraph;z-index:4384" coordorigin="4059,6518" coordsize="60,373" path="m6930,78l6991,243m6991,244l6930,410e" filled="false" stroked="true" strokeweight=".133646pt" strokecolor="#000000">
            <v:path arrowok="t"/>
            <w10:wrap type="none"/>
          </v:shape>
        </w:pict>
      </w:r>
      <w:r>
        <w:rPr/>
        <w:pict>
          <v:shape style="position:absolute;margin-left:240.659729pt;margin-top:12.033681pt;width:3.75pt;height:6.55pt;mso-position-horizontal-relative:page;mso-position-vertical-relative:paragraph;z-index:-327808" type="#_x0000_t202" filled="false" stroked="false">
            <v:textbox inset="0,0,0,0">
              <w:txbxContent>
                <w:p>
                  <w:pPr>
                    <w:spacing w:line="131" w:lineRule="exact" w:before="0"/>
                    <w:ind w:left="0" w:right="0" w:firstLine="0"/>
                    <w:jc w:val="left"/>
                    <w:rPr>
                      <w:rFonts w:ascii="Times New Roman"/>
                      <w:sz w:val="13"/>
                    </w:rPr>
                  </w:pPr>
                  <w:r>
                    <w:rPr>
                      <w:rFonts w:ascii="Times New Roman"/>
                      <w:w w:val="114"/>
                      <w:sz w:val="13"/>
                    </w:rPr>
                    <w:t>1</w:t>
                  </w:r>
                </w:p>
              </w:txbxContent>
            </v:textbox>
            <w10:wrap type="none"/>
          </v:shape>
        </w:pict>
      </w:r>
      <w:r>
        <w:rPr/>
        <w:pict>
          <v:shape style="position:absolute;margin-left:313.131470pt;margin-top:12.033687pt;width:3.75pt;height:6.55pt;mso-position-horizontal-relative:page;mso-position-vertical-relative:paragraph;z-index:-327664" type="#_x0000_t202" filled="false" stroked="false">
            <v:textbox inset="0,0,0,0">
              <w:txbxContent>
                <w:p>
                  <w:pPr>
                    <w:spacing w:line="131" w:lineRule="exact" w:before="0"/>
                    <w:ind w:left="0" w:right="0" w:firstLine="0"/>
                    <w:jc w:val="left"/>
                    <w:rPr>
                      <w:rFonts w:ascii="Times New Roman"/>
                      <w:sz w:val="13"/>
                    </w:rPr>
                  </w:pPr>
                  <w:r>
                    <w:rPr>
                      <w:rFonts w:ascii="Times New Roman"/>
                      <w:w w:val="114"/>
                      <w:sz w:val="13"/>
                    </w:rPr>
                    <w:t>2</w:t>
                  </w:r>
                </w:p>
              </w:txbxContent>
            </v:textbox>
            <w10:wrap type="none"/>
          </v:shape>
        </w:pict>
      </w:r>
      <w:r>
        <w:rPr>
          <w:rFonts w:ascii="Times New Roman" w:hAnsi="Times New Roman"/>
          <w:w w:val="110"/>
          <w:sz w:val="22"/>
        </w:rPr>
        <w:t>'f </w:t>
      </w:r>
      <w:r>
        <w:rPr>
          <w:rFonts w:ascii="Symbol" w:hAnsi="Symbol"/>
          <w:w w:val="110"/>
          <w:sz w:val="29"/>
        </w:rPr>
        <w:t></w:t>
      </w:r>
      <w:r>
        <w:rPr>
          <w:rFonts w:ascii="Times New Roman" w:hAnsi="Times New Roman"/>
          <w:w w:val="110"/>
          <w:sz w:val="22"/>
        </w:rPr>
        <w:t>µ</w:t>
      </w:r>
    </w:p>
    <w:p>
      <w:pPr>
        <w:spacing w:line="385" w:lineRule="exact" w:before="0"/>
        <w:ind w:left="-38" w:right="-18" w:firstLine="0"/>
        <w:jc w:val="left"/>
        <w:rPr>
          <w:rFonts w:ascii="Times New Roman" w:hAnsi="Times New Roman"/>
          <w:sz w:val="13"/>
        </w:rPr>
      </w:pPr>
      <w:r>
        <w:rPr/>
        <w:br w:type="column"/>
      </w:r>
      <w:r>
        <w:rPr>
          <w:rFonts w:ascii="Times New Roman" w:hAnsi="Times New Roman"/>
          <w:spacing w:val="4"/>
          <w:w w:val="114"/>
          <w:position w:val="1"/>
          <w:sz w:val="13"/>
        </w:rPr>
        <w:t>n</w:t>
      </w:r>
      <w:r>
        <w:rPr>
          <w:rFonts w:ascii="Times New Roman" w:hAnsi="Times New Roman"/>
          <w:w w:val="114"/>
          <w:position w:val="1"/>
          <w:sz w:val="13"/>
        </w:rPr>
        <w:t>r</w:t>
      </w:r>
      <w:r>
        <w:rPr>
          <w:rFonts w:ascii="Times New Roman" w:hAnsi="Times New Roman"/>
          <w:spacing w:val="-3"/>
          <w:position w:val="1"/>
          <w:sz w:val="13"/>
        </w:rPr>
        <w:t> </w:t>
      </w:r>
      <w:r>
        <w:rPr>
          <w:rFonts w:ascii="Symbol" w:hAnsi="Symbol"/>
          <w:spacing w:val="-13"/>
          <w:w w:val="86"/>
          <w:position w:val="7"/>
          <w:sz w:val="29"/>
        </w:rPr>
        <w:t></w:t>
      </w:r>
      <w:r>
        <w:rPr>
          <w:rFonts w:ascii="Times New Roman" w:hAnsi="Times New Roman"/>
          <w:spacing w:val="3"/>
          <w:w w:val="114"/>
          <w:sz w:val="13"/>
        </w:rPr>
        <w:t>n</w:t>
      </w:r>
      <w:r>
        <w:rPr>
          <w:rFonts w:ascii="Times New Roman" w:hAnsi="Times New Roman"/>
          <w:spacing w:val="-4"/>
          <w:w w:val="114"/>
          <w:sz w:val="13"/>
        </w:rPr>
        <w:t>e</w:t>
      </w:r>
      <w:r>
        <w:rPr>
          <w:rFonts w:ascii="Times New Roman" w:hAnsi="Times New Roman"/>
          <w:w w:val="114"/>
          <w:sz w:val="13"/>
        </w:rPr>
        <w:t>w</w:t>
      </w:r>
    </w:p>
    <w:p>
      <w:pPr>
        <w:spacing w:before="70"/>
        <w:ind w:left="37" w:right="-19" w:firstLine="0"/>
        <w:jc w:val="left"/>
        <w:rPr>
          <w:rFonts w:ascii="Times New Roman" w:hAnsi="Times New Roman"/>
          <w:sz w:val="13"/>
        </w:rPr>
      </w:pPr>
      <w:r>
        <w:rPr/>
        <w:br w:type="column"/>
      </w:r>
      <w:r>
        <w:rPr>
          <w:rFonts w:ascii="Symbol" w:hAnsi="Symbol"/>
          <w:w w:val="115"/>
          <w:sz w:val="22"/>
        </w:rPr>
        <w:t></w:t>
      </w:r>
      <w:r>
        <w:rPr>
          <w:rFonts w:ascii="Times New Roman" w:hAnsi="Times New Roman"/>
          <w:w w:val="115"/>
          <w:sz w:val="22"/>
        </w:rPr>
        <w:t> a</w:t>
      </w:r>
      <w:r>
        <w:rPr>
          <w:rFonts w:ascii="Times New Roman" w:hAnsi="Times New Roman"/>
          <w:w w:val="115"/>
          <w:position w:val="-4"/>
          <w:sz w:val="13"/>
        </w:rPr>
        <w:t>0</w:t>
      </w:r>
    </w:p>
    <w:p>
      <w:pPr>
        <w:pStyle w:val="ListParagraph"/>
        <w:numPr>
          <w:ilvl w:val="0"/>
          <w:numId w:val="6"/>
        </w:numPr>
        <w:tabs>
          <w:tab w:pos="202" w:val="left" w:leader="none"/>
        </w:tabs>
        <w:spacing w:line="240" w:lineRule="auto" w:before="70" w:after="0"/>
        <w:ind w:left="201" w:right="0" w:hanging="178"/>
        <w:jc w:val="left"/>
        <w:rPr>
          <w:rFonts w:ascii="Symbol"/>
          <w:sz w:val="22"/>
        </w:rPr>
      </w:pPr>
      <w:r>
        <w:rPr>
          <w:rFonts w:ascii="Times New Roman"/>
          <w:w w:val="115"/>
          <w:sz w:val="22"/>
        </w:rPr>
        <w:br w:type="column"/>
      </w:r>
      <w:r>
        <w:rPr>
          <w:rFonts w:ascii="Times New Roman"/>
          <w:w w:val="115"/>
          <w:sz w:val="22"/>
        </w:rPr>
        <w:t>a</w:t>
      </w:r>
      <w:r>
        <w:rPr>
          <w:rFonts w:ascii="Times New Roman"/>
          <w:w w:val="115"/>
          <w:position w:val="-4"/>
          <w:sz w:val="13"/>
        </w:rPr>
        <w:t>1</w:t>
      </w:r>
    </w:p>
    <w:p>
      <w:pPr>
        <w:spacing w:line="369" w:lineRule="exact" w:before="0"/>
        <w:ind w:left="0" w:right="-17" w:firstLine="0"/>
        <w:jc w:val="left"/>
        <w:rPr>
          <w:rFonts w:ascii="Symbol" w:hAnsi="Symbol"/>
          <w:i/>
          <w:sz w:val="24"/>
        </w:rPr>
      </w:pPr>
      <w:r>
        <w:rPr/>
        <w:br w:type="column"/>
      </w:r>
      <w:r>
        <w:rPr>
          <w:rFonts w:ascii="Symbol" w:hAnsi="Symbol"/>
          <w:w w:val="105"/>
          <w:sz w:val="22"/>
        </w:rPr>
        <w:t></w:t>
      </w:r>
      <w:r>
        <w:rPr>
          <w:rFonts w:ascii="Times New Roman" w:hAnsi="Times New Roman"/>
          <w:w w:val="105"/>
          <w:sz w:val="22"/>
        </w:rPr>
        <w:t> f</w:t>
      </w:r>
      <w:r>
        <w:rPr>
          <w:rFonts w:ascii="Times New Roman" w:hAnsi="Times New Roman"/>
          <w:spacing w:val="-32"/>
          <w:w w:val="105"/>
          <w:sz w:val="22"/>
        </w:rPr>
        <w:t> </w:t>
      </w:r>
      <w:r>
        <w:rPr>
          <w:rFonts w:ascii="Symbol" w:hAnsi="Symbol"/>
          <w:spacing w:val="-15"/>
          <w:w w:val="105"/>
          <w:sz w:val="35"/>
        </w:rPr>
        <w:t></w:t>
      </w:r>
      <w:r>
        <w:rPr>
          <w:rFonts w:ascii="Symbol" w:hAnsi="Symbol"/>
          <w:i/>
          <w:spacing w:val="-15"/>
          <w:w w:val="105"/>
          <w:sz w:val="24"/>
        </w:rPr>
        <w:t></w:t>
      </w:r>
    </w:p>
    <w:p>
      <w:pPr>
        <w:pStyle w:val="BodyText"/>
        <w:spacing w:before="1"/>
        <w:rPr>
          <w:rFonts w:ascii="Symbol" w:hAnsi="Symbol"/>
          <w:i/>
          <w:sz w:val="18"/>
        </w:rPr>
      </w:pPr>
      <w:r>
        <w:rPr/>
        <w:br w:type="column"/>
      </w:r>
      <w:r>
        <w:rPr>
          <w:rFonts w:ascii="Symbol" w:hAnsi="Symbol"/>
          <w:i/>
          <w:sz w:val="18"/>
        </w:rPr>
      </w:r>
    </w:p>
    <w:p>
      <w:pPr>
        <w:spacing w:before="1"/>
        <w:ind w:left="-27" w:right="-8" w:firstLine="0"/>
        <w:jc w:val="left"/>
        <w:rPr>
          <w:rFonts w:ascii="Times New Roman"/>
          <w:sz w:val="13"/>
        </w:rPr>
      </w:pPr>
      <w:r>
        <w:rPr>
          <w:rFonts w:ascii="Times New Roman"/>
          <w:w w:val="115"/>
          <w:position w:val="4"/>
          <w:sz w:val="13"/>
        </w:rPr>
        <w:t>ij  </w:t>
      </w:r>
      <w:r>
        <w:rPr>
          <w:rFonts w:ascii="Times New Roman"/>
          <w:w w:val="115"/>
          <w:sz w:val="13"/>
        </w:rPr>
        <w:t>new</w:t>
      </w:r>
    </w:p>
    <w:p>
      <w:pPr>
        <w:spacing w:before="70"/>
        <w:ind w:left="23" w:right="-11" w:firstLine="0"/>
        <w:jc w:val="left"/>
        <w:rPr>
          <w:rFonts w:ascii="Symbol" w:hAnsi="Symbol"/>
          <w:sz w:val="22"/>
        </w:rPr>
      </w:pPr>
      <w:r>
        <w:rPr/>
        <w:br w:type="column"/>
      </w:r>
      <w:r>
        <w:rPr>
          <w:rFonts w:ascii="Symbol" w:hAnsi="Symbol"/>
          <w:w w:val="115"/>
          <w:sz w:val="22"/>
        </w:rPr>
        <w:t></w:t>
      </w:r>
      <w:r>
        <w:rPr>
          <w:rFonts w:ascii="Times New Roman" w:hAnsi="Times New Roman"/>
          <w:w w:val="115"/>
          <w:sz w:val="22"/>
        </w:rPr>
        <w:t> a</w:t>
      </w:r>
      <w:r>
        <w:rPr>
          <w:rFonts w:ascii="Times New Roman" w:hAnsi="Times New Roman"/>
          <w:w w:val="115"/>
          <w:position w:val="-4"/>
          <w:sz w:val="13"/>
        </w:rPr>
        <w:t>2 </w:t>
      </w:r>
      <w:r>
        <w:rPr>
          <w:rFonts w:ascii="Symbol" w:hAnsi="Symbol"/>
          <w:w w:val="115"/>
          <w:sz w:val="22"/>
        </w:rPr>
        <w:t></w:t>
      </w:r>
    </w:p>
    <w:p>
      <w:pPr>
        <w:spacing w:line="369" w:lineRule="exact" w:before="0"/>
        <w:ind w:left="67" w:right="-19" w:firstLine="0"/>
        <w:jc w:val="left"/>
        <w:rPr>
          <w:rFonts w:ascii="Symbol" w:hAnsi="Symbol"/>
          <w:i/>
          <w:sz w:val="24"/>
        </w:rPr>
      </w:pPr>
      <w:r>
        <w:rPr/>
        <w:br w:type="column"/>
      </w:r>
      <w:r>
        <w:rPr>
          <w:rFonts w:ascii="Times New Roman" w:hAnsi="Times New Roman"/>
          <w:sz w:val="22"/>
        </w:rPr>
        <w:t>f </w:t>
      </w:r>
      <w:r>
        <w:rPr>
          <w:rFonts w:ascii="Symbol" w:hAnsi="Symbol"/>
          <w:spacing w:val="-15"/>
          <w:sz w:val="35"/>
        </w:rPr>
        <w:t></w:t>
      </w:r>
      <w:r>
        <w:rPr>
          <w:rFonts w:ascii="Symbol" w:hAnsi="Symbol"/>
          <w:i/>
          <w:spacing w:val="-15"/>
          <w:sz w:val="24"/>
        </w:rPr>
        <w:t></w:t>
      </w:r>
    </w:p>
    <w:p>
      <w:pPr>
        <w:spacing w:before="72"/>
        <w:ind w:left="-27" w:right="0" w:firstLine="0"/>
        <w:jc w:val="left"/>
        <w:rPr>
          <w:rFonts w:ascii="Symbol" w:hAnsi="Symbol"/>
          <w:sz w:val="22"/>
        </w:rPr>
      </w:pPr>
      <w:r>
        <w:rPr/>
        <w:br w:type="column"/>
      </w:r>
      <w:r>
        <w:rPr>
          <w:rFonts w:ascii="Times New Roman" w:hAnsi="Times New Roman"/>
          <w:w w:val="115"/>
          <w:position w:val="4"/>
          <w:sz w:val="13"/>
        </w:rPr>
        <w:t>ij  </w:t>
      </w:r>
      <w:r>
        <w:rPr>
          <w:rFonts w:ascii="Times New Roman" w:hAnsi="Times New Roman"/>
          <w:w w:val="115"/>
          <w:sz w:val="13"/>
        </w:rPr>
        <w:t>ref    </w:t>
      </w:r>
      <w:r>
        <w:rPr>
          <w:rFonts w:ascii="Symbol" w:hAnsi="Symbol"/>
          <w:w w:val="115"/>
          <w:position w:val="9"/>
          <w:sz w:val="22"/>
        </w:rPr>
        <w:t></w:t>
      </w:r>
    </w:p>
    <w:p>
      <w:pPr>
        <w:spacing w:line="213" w:lineRule="auto" w:before="46"/>
        <w:ind w:left="155" w:right="-15" w:hanging="25"/>
        <w:jc w:val="left"/>
        <w:rPr>
          <w:rFonts w:ascii="Times New Roman" w:hAnsi="Times New Roman"/>
          <w:sz w:val="13"/>
        </w:rPr>
      </w:pPr>
      <w:r>
        <w:rPr/>
        <w:br w:type="column"/>
      </w:r>
      <w:r>
        <w:rPr>
          <w:rFonts w:ascii="Symbol" w:hAnsi="Symbol"/>
          <w:w w:val="116"/>
          <w:position w:val="-4"/>
          <w:sz w:val="33"/>
        </w:rPr>
        <w:t></w:t>
      </w:r>
      <w:r>
        <w:rPr>
          <w:rFonts w:ascii="Times New Roman" w:hAnsi="Times New Roman"/>
          <w:w w:val="115"/>
          <w:sz w:val="22"/>
        </w:rPr>
        <w:t>a</w:t>
      </w:r>
      <w:r>
        <w:rPr>
          <w:rFonts w:ascii="Times New Roman" w:hAnsi="Times New Roman"/>
          <w:w w:val="114"/>
          <w:position w:val="-4"/>
          <w:sz w:val="13"/>
        </w:rPr>
        <w:t>q</w:t>
      </w:r>
      <w:r>
        <w:rPr>
          <w:rFonts w:ascii="Times New Roman" w:hAnsi="Times New Roman"/>
          <w:w w:val="115"/>
          <w:sz w:val="22"/>
        </w:rPr>
        <w:t>·f</w:t>
      </w:r>
      <w:r>
        <w:rPr>
          <w:rFonts w:ascii="Times New Roman" w:hAnsi="Times New Roman"/>
          <w:w w:val="114"/>
          <w:position w:val="-4"/>
          <w:sz w:val="13"/>
        </w:rPr>
        <w:t>q </w:t>
      </w:r>
      <w:r>
        <w:rPr>
          <w:rFonts w:ascii="Times New Roman" w:hAnsi="Times New Roman"/>
          <w:w w:val="115"/>
          <w:sz w:val="13"/>
        </w:rPr>
        <w:t>q</w:t>
      </w:r>
      <w:r>
        <w:rPr>
          <w:rFonts w:ascii="Symbol" w:hAnsi="Symbol"/>
          <w:w w:val="115"/>
          <w:sz w:val="13"/>
        </w:rPr>
        <w:t></w:t>
      </w:r>
      <w:r>
        <w:rPr>
          <w:rFonts w:ascii="Times New Roman" w:hAnsi="Times New Roman"/>
          <w:w w:val="115"/>
          <w:sz w:val="13"/>
        </w:rPr>
        <w:t>1</w:t>
      </w:r>
    </w:p>
    <w:p>
      <w:pPr>
        <w:pStyle w:val="BodyText"/>
        <w:spacing w:before="4"/>
        <w:rPr>
          <w:rFonts w:ascii="Times New Roman"/>
          <w:sz w:val="19"/>
        </w:rPr>
      </w:pPr>
      <w:r>
        <w:rPr/>
        <w:br w:type="column"/>
      </w:r>
      <w:r>
        <w:rPr>
          <w:rFonts w:ascii="Times New Roman"/>
          <w:sz w:val="19"/>
        </w:rPr>
      </w:r>
    </w:p>
    <w:p>
      <w:pPr>
        <w:spacing w:before="0"/>
        <w:ind w:left="188" w:right="0" w:firstLine="0"/>
        <w:jc w:val="left"/>
        <w:rPr>
          <w:rFonts w:ascii="Times New Roman"/>
          <w:sz w:val="13"/>
        </w:rPr>
      </w:pPr>
      <w:r>
        <w:rPr>
          <w:rFonts w:ascii="Times New Roman"/>
          <w:w w:val="115"/>
          <w:position w:val="4"/>
          <w:sz w:val="13"/>
        </w:rPr>
        <w:t>q  </w:t>
      </w:r>
      <w:r>
        <w:rPr>
          <w:rFonts w:ascii="Times New Roman"/>
          <w:w w:val="115"/>
          <w:sz w:val="13"/>
        </w:rPr>
        <w:t>ref</w:t>
      </w:r>
    </w:p>
    <w:p>
      <w:pPr>
        <w:spacing w:after="0"/>
        <w:jc w:val="left"/>
        <w:rPr>
          <w:rFonts w:ascii="Times New Roman"/>
          <w:sz w:val="13"/>
        </w:rPr>
        <w:sectPr>
          <w:type w:val="continuous"/>
          <w:pgSz w:w="12240" w:h="15840"/>
          <w:pgMar w:top="3080" w:bottom="2780" w:left="1440" w:right="1460"/>
          <w:cols w:num="11" w:equalWidth="0">
            <w:col w:w="1786" w:space="40"/>
            <w:col w:w="440" w:space="40"/>
            <w:col w:w="428" w:space="40"/>
            <w:col w:w="391" w:space="40"/>
            <w:col w:w="425" w:space="40"/>
            <w:col w:w="392" w:space="40"/>
            <w:col w:w="522" w:space="40"/>
            <w:col w:w="428" w:space="40"/>
            <w:col w:w="610" w:space="40"/>
            <w:col w:w="876" w:space="40"/>
            <w:col w:w="2642"/>
          </w:cols>
        </w:sectPr>
      </w:pPr>
    </w:p>
    <w:p>
      <w:pPr>
        <w:spacing w:line="118" w:lineRule="exact" w:before="77"/>
        <w:ind w:left="1591" w:right="1060" w:firstLine="0"/>
        <w:jc w:val="center"/>
        <w:rPr>
          <w:rFonts w:ascii="Times New Roman" w:hAnsi="Times New Roman"/>
          <w:sz w:val="13"/>
        </w:rPr>
      </w:pPr>
      <w:r>
        <w:rPr/>
        <w:pict>
          <v:shape style="position:absolute;margin-left:196.249268pt;margin-top:7.251786pt;width:27.15pt;height:17.6pt;mso-position-horizontal-relative:page;mso-position-vertical-relative:paragraph;z-index:-327712" type="#_x0000_t202" filled="false" stroked="false">
            <v:textbox inset="0,0,0,0">
              <w:txbxContent>
                <w:p>
                  <w:pPr>
                    <w:tabs>
                      <w:tab w:pos="459" w:val="left" w:leader="none"/>
                    </w:tabs>
                    <w:spacing w:line="351" w:lineRule="exact" w:before="0"/>
                    <w:ind w:left="0" w:right="0" w:firstLine="0"/>
                    <w:jc w:val="left"/>
                    <w:rPr>
                      <w:rFonts w:ascii="Symbol" w:hAnsi="Symbol"/>
                      <w:sz w:val="35"/>
                    </w:rPr>
                  </w:pPr>
                  <w:r>
                    <w:rPr>
                      <w:rFonts w:ascii="Symbol" w:hAnsi="Symbol"/>
                      <w:w w:val="80"/>
                      <w:sz w:val="35"/>
                    </w:rPr>
                    <w:t></w:t>
                  </w:r>
                  <w:r>
                    <w:rPr>
                      <w:rFonts w:ascii="Times New Roman" w:hAnsi="Times New Roman"/>
                      <w:w w:val="80"/>
                      <w:sz w:val="35"/>
                    </w:rPr>
                    <w:tab/>
                  </w:r>
                  <w:r>
                    <w:rPr>
                      <w:rFonts w:ascii="Symbol" w:hAnsi="Symbol"/>
                      <w:w w:val="70"/>
                      <w:sz w:val="35"/>
                    </w:rPr>
                    <w:t></w:t>
                  </w:r>
                </w:p>
              </w:txbxContent>
            </v:textbox>
            <w10:wrap type="none"/>
          </v:shape>
        </w:pict>
      </w:r>
      <w:r>
        <w:rPr>
          <w:rFonts w:ascii="Times New Roman" w:hAnsi="Times New Roman"/>
          <w:w w:val="115"/>
          <w:sz w:val="13"/>
        </w:rPr>
        <w:t>q</w:t>
      </w:r>
      <w:r>
        <w:rPr>
          <w:rFonts w:ascii="Symbol" w:hAnsi="Symbol"/>
          <w:w w:val="115"/>
          <w:sz w:val="13"/>
        </w:rPr>
        <w:t></w:t>
      </w:r>
      <w:r>
        <w:rPr>
          <w:rFonts w:ascii="Times New Roman" w:hAnsi="Times New Roman"/>
          <w:w w:val="115"/>
          <w:sz w:val="13"/>
        </w:rPr>
        <w:t>qmax</w:t>
      </w:r>
    </w:p>
    <w:p>
      <w:pPr>
        <w:pStyle w:val="ListParagraph"/>
        <w:numPr>
          <w:ilvl w:val="0"/>
          <w:numId w:val="18"/>
        </w:numPr>
        <w:tabs>
          <w:tab w:pos="1714" w:val="left" w:leader="none"/>
        </w:tabs>
        <w:spacing w:line="341" w:lineRule="exact" w:before="0" w:after="0"/>
        <w:ind w:left="1713" w:right="0" w:hanging="311"/>
        <w:jc w:val="left"/>
        <w:rPr>
          <w:rFonts w:ascii="Symbol" w:hAnsi="Symbol"/>
          <w:sz w:val="22"/>
        </w:rPr>
      </w:pPr>
      <w:r>
        <w:rPr>
          <w:rFonts w:ascii="Symbol" w:hAnsi="Symbol"/>
          <w:spacing w:val="13"/>
          <w:w w:val="116"/>
          <w:position w:val="-4"/>
          <w:sz w:val="33"/>
        </w:rPr>
        <w:t></w:t>
      </w:r>
      <w:r>
        <w:rPr>
          <w:rFonts w:ascii="Times New Roman" w:hAnsi="Times New Roman"/>
          <w:spacing w:val="14"/>
          <w:w w:val="115"/>
          <w:sz w:val="22"/>
        </w:rPr>
        <w:t>a</w:t>
      </w:r>
      <w:r>
        <w:rPr>
          <w:rFonts w:ascii="Times New Roman" w:hAnsi="Times New Roman"/>
          <w:spacing w:val="7"/>
          <w:w w:val="114"/>
          <w:position w:val="-4"/>
          <w:sz w:val="13"/>
        </w:rPr>
        <w:t>q</w:t>
      </w:r>
      <w:r>
        <w:rPr>
          <w:rFonts w:ascii="Times New Roman" w:hAnsi="Times New Roman"/>
          <w:spacing w:val="-7"/>
          <w:w w:val="115"/>
          <w:sz w:val="22"/>
        </w:rPr>
        <w:t>·</w:t>
      </w:r>
      <w:r>
        <w:rPr>
          <w:rFonts w:ascii="Times New Roman" w:hAnsi="Times New Roman"/>
          <w:spacing w:val="9"/>
          <w:w w:val="115"/>
          <w:sz w:val="22"/>
        </w:rPr>
        <w:t>f</w:t>
      </w:r>
      <w:r>
        <w:rPr>
          <w:rFonts w:ascii="Times New Roman" w:hAnsi="Times New Roman"/>
          <w:w w:val="114"/>
          <w:position w:val="-4"/>
          <w:sz w:val="13"/>
        </w:rPr>
        <w:t>q</w:t>
      </w:r>
      <w:r>
        <w:rPr>
          <w:rFonts w:ascii="Times New Roman" w:hAnsi="Times New Roman"/>
          <w:position w:val="-4"/>
          <w:sz w:val="13"/>
        </w:rPr>
        <w:t>  </w:t>
      </w:r>
      <w:r>
        <w:rPr>
          <w:rFonts w:ascii="Times New Roman" w:hAnsi="Times New Roman"/>
          <w:spacing w:val="-8"/>
          <w:position w:val="-4"/>
          <w:sz w:val="13"/>
        </w:rPr>
        <w:t> </w:t>
      </w:r>
      <w:r>
        <w:rPr>
          <w:rFonts w:ascii="Times New Roman" w:hAnsi="Times New Roman"/>
          <w:spacing w:val="-9"/>
          <w:w w:val="115"/>
          <w:sz w:val="22"/>
        </w:rPr>
        <w:t>Δ</w:t>
      </w:r>
      <w:r>
        <w:rPr>
          <w:rFonts w:ascii="Times New Roman" w:hAnsi="Times New Roman"/>
          <w:spacing w:val="4"/>
          <w:w w:val="115"/>
          <w:sz w:val="22"/>
        </w:rPr>
        <w:t>v</w:t>
      </w:r>
      <w:r>
        <w:rPr>
          <w:rFonts w:ascii="Times New Roman" w:hAnsi="Times New Roman"/>
          <w:w w:val="114"/>
          <w:position w:val="-4"/>
          <w:sz w:val="13"/>
        </w:rPr>
        <w:t>q</w:t>
      </w:r>
      <w:r>
        <w:rPr>
          <w:rFonts w:ascii="Times New Roman" w:hAnsi="Times New Roman"/>
          <w:position w:val="-4"/>
          <w:sz w:val="13"/>
        </w:rPr>
        <w:t>    </w:t>
      </w:r>
      <w:r>
        <w:rPr>
          <w:rFonts w:ascii="Symbol" w:hAnsi="Symbol"/>
          <w:w w:val="115"/>
          <w:sz w:val="22"/>
        </w:rPr>
        <w:t></w:t>
      </w:r>
    </w:p>
    <w:p>
      <w:pPr>
        <w:spacing w:line="119" w:lineRule="exact" w:before="77"/>
        <w:ind w:left="37" w:right="-18" w:firstLine="0"/>
        <w:jc w:val="left"/>
        <w:rPr>
          <w:rFonts w:ascii="Times New Roman" w:hAnsi="Times New Roman"/>
          <w:sz w:val="13"/>
        </w:rPr>
      </w:pPr>
      <w:r>
        <w:rPr/>
        <w:br w:type="column"/>
      </w:r>
      <w:r>
        <w:rPr>
          <w:rFonts w:ascii="Times New Roman" w:hAnsi="Times New Roman"/>
          <w:spacing w:val="-3"/>
          <w:w w:val="115"/>
          <w:sz w:val="13"/>
        </w:rPr>
        <w:t>q</w:t>
      </w:r>
      <w:r>
        <w:rPr>
          <w:rFonts w:ascii="Symbol" w:hAnsi="Symbol"/>
          <w:spacing w:val="-3"/>
          <w:w w:val="115"/>
          <w:sz w:val="13"/>
        </w:rPr>
        <w:t></w:t>
      </w:r>
      <w:r>
        <w:rPr>
          <w:rFonts w:ascii="Times New Roman" w:hAnsi="Times New Roman"/>
          <w:spacing w:val="-3"/>
          <w:w w:val="115"/>
          <w:sz w:val="13"/>
        </w:rPr>
        <w:t>qmax</w:t>
      </w:r>
    </w:p>
    <w:p>
      <w:pPr>
        <w:spacing w:line="341" w:lineRule="exact" w:before="0"/>
        <w:ind w:left="131" w:right="0" w:firstLine="0"/>
        <w:jc w:val="left"/>
        <w:rPr>
          <w:rFonts w:ascii="Symbol" w:hAnsi="Symbol"/>
          <w:sz w:val="33"/>
        </w:rPr>
      </w:pPr>
      <w:r>
        <w:rPr>
          <w:rFonts w:ascii="Symbol" w:hAnsi="Symbol"/>
          <w:w w:val="116"/>
          <w:sz w:val="33"/>
        </w:rPr>
        <w:t></w:t>
      </w:r>
    </w:p>
    <w:p>
      <w:pPr>
        <w:spacing w:before="44"/>
        <w:ind w:left="-1" w:right="-9" w:firstLine="0"/>
        <w:jc w:val="left"/>
        <w:rPr>
          <w:rFonts w:ascii="Symbol" w:hAnsi="Symbol"/>
          <w:sz w:val="22"/>
        </w:rPr>
      </w:pPr>
      <w:r>
        <w:rPr/>
        <w:br w:type="column"/>
      </w:r>
      <w:r>
        <w:rPr>
          <w:rFonts w:ascii="Times New Roman" w:hAnsi="Times New Roman"/>
          <w:spacing w:val="4"/>
          <w:w w:val="110"/>
          <w:sz w:val="22"/>
        </w:rPr>
        <w:t>a</w:t>
      </w:r>
      <w:r>
        <w:rPr>
          <w:rFonts w:ascii="Times New Roman" w:hAnsi="Times New Roman"/>
          <w:spacing w:val="4"/>
          <w:w w:val="110"/>
          <w:position w:val="-4"/>
          <w:sz w:val="13"/>
        </w:rPr>
        <w:t>q</w:t>
      </w:r>
      <w:r>
        <w:rPr>
          <w:rFonts w:ascii="Times New Roman" w:hAnsi="Times New Roman"/>
          <w:spacing w:val="4"/>
          <w:w w:val="110"/>
          <w:sz w:val="22"/>
        </w:rPr>
        <w:t>·f</w:t>
      </w:r>
      <w:r>
        <w:rPr>
          <w:rFonts w:ascii="Times New Roman" w:hAnsi="Times New Roman"/>
          <w:spacing w:val="4"/>
          <w:w w:val="110"/>
          <w:position w:val="-4"/>
          <w:sz w:val="13"/>
        </w:rPr>
        <w:t>q</w:t>
      </w:r>
      <w:r>
        <w:rPr>
          <w:rFonts w:ascii="Times New Roman" w:hAnsi="Times New Roman"/>
          <w:spacing w:val="-20"/>
          <w:w w:val="110"/>
          <w:position w:val="-4"/>
          <w:sz w:val="13"/>
        </w:rPr>
        <w:t> </w:t>
      </w:r>
      <w:r>
        <w:rPr>
          <w:rFonts w:ascii="Symbol" w:hAnsi="Symbol"/>
          <w:spacing w:val="-14"/>
          <w:w w:val="110"/>
          <w:sz w:val="39"/>
        </w:rPr>
        <w:t></w:t>
      </w:r>
      <w:r>
        <w:rPr>
          <w:rFonts w:ascii="Times New Roman" w:hAnsi="Times New Roman"/>
          <w:spacing w:val="-14"/>
          <w:w w:val="110"/>
          <w:sz w:val="22"/>
        </w:rPr>
        <w:t>log</w:t>
      </w:r>
      <w:r>
        <w:rPr>
          <w:rFonts w:ascii="Times New Roman" w:hAnsi="Times New Roman"/>
          <w:spacing w:val="-34"/>
          <w:w w:val="110"/>
          <w:sz w:val="22"/>
        </w:rPr>
        <w:t> </w:t>
      </w:r>
      <w:r>
        <w:rPr>
          <w:rFonts w:ascii="Symbol" w:hAnsi="Symbol"/>
          <w:w w:val="110"/>
          <w:sz w:val="22"/>
        </w:rPr>
        <w:t></w:t>
      </w:r>
      <w:r>
        <w:rPr>
          <w:rFonts w:ascii="Times New Roman" w:hAnsi="Times New Roman"/>
          <w:w w:val="110"/>
          <w:sz w:val="22"/>
        </w:rPr>
        <w:t>v</w:t>
      </w:r>
      <w:r>
        <w:rPr>
          <w:rFonts w:ascii="Times New Roman" w:hAnsi="Times New Roman"/>
          <w:w w:val="110"/>
          <w:position w:val="-4"/>
          <w:sz w:val="13"/>
        </w:rPr>
        <w:t>q</w:t>
      </w:r>
      <w:r>
        <w:rPr>
          <w:rFonts w:ascii="Times New Roman" w:hAnsi="Times New Roman"/>
          <w:spacing w:val="-1"/>
          <w:w w:val="110"/>
          <w:position w:val="-4"/>
          <w:sz w:val="13"/>
        </w:rPr>
        <w:t> </w:t>
      </w:r>
      <w:r>
        <w:rPr>
          <w:rFonts w:ascii="Symbol" w:hAnsi="Symbol"/>
          <w:spacing w:val="3"/>
          <w:w w:val="110"/>
          <w:sz w:val="39"/>
        </w:rPr>
        <w:t></w:t>
      </w:r>
      <w:r>
        <w:rPr>
          <w:rFonts w:ascii="Symbol" w:hAnsi="Symbol"/>
          <w:spacing w:val="3"/>
          <w:w w:val="110"/>
          <w:sz w:val="22"/>
        </w:rPr>
        <w:t></w:t>
      </w:r>
    </w:p>
    <w:p>
      <w:pPr>
        <w:spacing w:line="150" w:lineRule="exact" w:before="77"/>
        <w:ind w:left="1" w:right="0" w:firstLine="0"/>
        <w:jc w:val="left"/>
        <w:rPr>
          <w:rFonts w:ascii="Times New Roman" w:hAnsi="Times New Roman"/>
          <w:sz w:val="13"/>
        </w:rPr>
      </w:pPr>
      <w:r>
        <w:rPr/>
        <w:br w:type="column"/>
      </w:r>
      <w:r>
        <w:rPr>
          <w:rFonts w:ascii="Times New Roman" w:hAnsi="Times New Roman"/>
          <w:w w:val="115"/>
          <w:sz w:val="13"/>
        </w:rPr>
        <w:t>(i,k,j)</w:t>
      </w:r>
      <w:r>
        <w:rPr>
          <w:rFonts w:ascii="Symbol" w:hAnsi="Symbol"/>
          <w:w w:val="115"/>
          <w:sz w:val="13"/>
        </w:rPr>
        <w:t></w:t>
      </w:r>
      <w:r>
        <w:rPr>
          <w:rFonts w:ascii="Times New Roman" w:hAnsi="Times New Roman"/>
          <w:w w:val="115"/>
          <w:sz w:val="13"/>
        </w:rPr>
        <w:t>(i,k,j)max</w:t>
      </w:r>
    </w:p>
    <w:p>
      <w:pPr>
        <w:spacing w:line="140" w:lineRule="exact" w:before="0"/>
        <w:ind w:left="0" w:right="1237" w:firstLine="0"/>
        <w:jc w:val="center"/>
        <w:rPr>
          <w:rFonts w:ascii="Times New Roman"/>
          <w:sz w:val="13"/>
        </w:rPr>
      </w:pPr>
      <w:r>
        <w:rPr/>
        <w:pict>
          <v:shape style="position:absolute;margin-left:358.699432pt;margin-top:-4.099752pt;width:80.6pt;height:20.150pt;mso-position-horizontal-relative:page;mso-position-vertical-relative:paragraph;z-index:-327688" type="#_x0000_t202" filled="false" stroked="false">
            <v:textbox inset="0,0,0,0">
              <w:txbxContent>
                <w:p>
                  <w:pPr>
                    <w:spacing w:line="402" w:lineRule="exact" w:before="0"/>
                    <w:ind w:left="0" w:right="0" w:firstLine="0"/>
                    <w:jc w:val="left"/>
                    <w:rPr>
                      <w:rFonts w:ascii="Symbol" w:hAnsi="Symbol"/>
                      <w:sz w:val="35"/>
                    </w:rPr>
                  </w:pPr>
                  <w:r>
                    <w:rPr>
                      <w:rFonts w:ascii="Symbol" w:hAnsi="Symbol"/>
                      <w:spacing w:val="6"/>
                      <w:w w:val="105"/>
                      <w:position w:val="-4"/>
                      <w:sz w:val="33"/>
                    </w:rPr>
                    <w:t></w:t>
                  </w:r>
                  <w:r>
                    <w:rPr>
                      <w:rFonts w:ascii="Times New Roman" w:hAnsi="Times New Roman"/>
                      <w:spacing w:val="6"/>
                      <w:w w:val="105"/>
                      <w:sz w:val="22"/>
                    </w:rPr>
                    <w:t>a   </w:t>
                  </w:r>
                  <w:r>
                    <w:rPr>
                      <w:rFonts w:ascii="Times New Roman" w:hAnsi="Times New Roman"/>
                      <w:spacing w:val="-5"/>
                      <w:w w:val="105"/>
                      <w:sz w:val="22"/>
                    </w:rPr>
                    <w:t>·ΔΔ </w:t>
                  </w:r>
                  <w:r>
                    <w:rPr>
                      <w:rFonts w:ascii="Tahoma" w:hAnsi="Tahoma"/>
                      <w:w w:val="105"/>
                      <w:sz w:val="22"/>
                    </w:rPr>
                    <w:t>V </w:t>
                  </w:r>
                  <w:r>
                    <w:rPr>
                      <w:rFonts w:ascii="Symbol" w:hAnsi="Symbol"/>
                      <w:spacing w:val="-11"/>
                      <w:w w:val="105"/>
                      <w:sz w:val="35"/>
                    </w:rPr>
                    <w:t></w:t>
                  </w:r>
                  <w:r>
                    <w:rPr>
                      <w:rFonts w:ascii="Times New Roman" w:hAnsi="Times New Roman"/>
                      <w:spacing w:val="-11"/>
                      <w:w w:val="105"/>
                      <w:sz w:val="22"/>
                    </w:rPr>
                    <w:t>c  </w:t>
                  </w:r>
                  <w:r>
                    <w:rPr>
                      <w:rFonts w:ascii="Symbol" w:hAnsi="Symbol"/>
                      <w:sz w:val="35"/>
                    </w:rPr>
                    <w:t></w:t>
                  </w:r>
                </w:p>
              </w:txbxContent>
            </v:textbox>
            <w10:wrap type="none"/>
          </v:shape>
        </w:pict>
      </w:r>
      <w:r>
        <w:rPr>
          <w:rFonts w:ascii="Times New Roman"/>
          <w:w w:val="114"/>
          <w:sz w:val="13"/>
        </w:rPr>
        <w:t>i</w:t>
      </w:r>
    </w:p>
    <w:p>
      <w:pPr>
        <w:tabs>
          <w:tab w:pos="749" w:val="left" w:leader="none"/>
          <w:tab w:pos="1048" w:val="left" w:leader="none"/>
        </w:tabs>
        <w:spacing w:before="2"/>
        <w:ind w:left="0" w:right="1301" w:firstLine="0"/>
        <w:jc w:val="center"/>
        <w:rPr>
          <w:rFonts w:ascii="Times New Roman"/>
          <w:sz w:val="13"/>
        </w:rPr>
      </w:pPr>
      <w:r>
        <w:rPr>
          <w:rFonts w:ascii="Times New Roman"/>
          <w:spacing w:val="2"/>
          <w:w w:val="115"/>
          <w:sz w:val="13"/>
        </w:rPr>
        <w:t>ikj</w:t>
        <w:tab/>
      </w:r>
      <w:r>
        <w:rPr>
          <w:rFonts w:ascii="Times New Roman"/>
          <w:w w:val="115"/>
          <w:sz w:val="13"/>
        </w:rPr>
        <w:t>k</w:t>
        <w:tab/>
        <w:t>j</w:t>
      </w:r>
    </w:p>
    <w:p>
      <w:pPr>
        <w:spacing w:after="0"/>
        <w:jc w:val="center"/>
        <w:rPr>
          <w:rFonts w:ascii="Times New Roman"/>
          <w:sz w:val="13"/>
        </w:rPr>
        <w:sectPr>
          <w:type w:val="continuous"/>
          <w:pgSz w:w="12240" w:h="15840"/>
          <w:pgMar w:top="3080" w:bottom="2780" w:left="1440" w:right="1460"/>
          <w:cols w:num="4" w:equalWidth="0">
            <w:col w:w="3181" w:space="40"/>
            <w:col w:w="510" w:space="40"/>
            <w:col w:w="1537" w:space="40"/>
            <w:col w:w="3992"/>
          </w:cols>
        </w:sectPr>
      </w:pPr>
    </w:p>
    <w:p>
      <w:pPr>
        <w:spacing w:line="136" w:lineRule="exact" w:before="0"/>
        <w:ind w:left="0" w:right="0" w:firstLine="0"/>
        <w:jc w:val="right"/>
        <w:rPr>
          <w:rFonts w:ascii="Times New Roman" w:hAnsi="Times New Roman"/>
          <w:sz w:val="13"/>
        </w:rPr>
      </w:pPr>
      <w:r>
        <w:rPr>
          <w:rFonts w:ascii="Times New Roman" w:hAnsi="Times New Roman"/>
          <w:w w:val="115"/>
          <w:sz w:val="13"/>
        </w:rPr>
        <w:t>q</w:t>
      </w:r>
      <w:r>
        <w:rPr>
          <w:rFonts w:ascii="Symbol" w:hAnsi="Symbol"/>
          <w:w w:val="115"/>
          <w:sz w:val="13"/>
        </w:rPr>
        <w:t></w:t>
      </w:r>
      <w:r>
        <w:rPr>
          <w:rFonts w:ascii="Times New Roman" w:hAnsi="Times New Roman"/>
          <w:w w:val="115"/>
          <w:sz w:val="13"/>
        </w:rPr>
        <w:t>1</w:t>
      </w:r>
    </w:p>
    <w:p>
      <w:pPr>
        <w:spacing w:line="136" w:lineRule="exact" w:before="0"/>
        <w:ind w:left="0" w:right="0" w:firstLine="0"/>
        <w:jc w:val="right"/>
        <w:rPr>
          <w:rFonts w:ascii="Times New Roman" w:hAnsi="Times New Roman"/>
          <w:sz w:val="13"/>
        </w:rPr>
      </w:pPr>
      <w:r>
        <w:rPr/>
        <w:br w:type="column"/>
      </w:r>
      <w:r>
        <w:rPr>
          <w:rFonts w:ascii="Times New Roman" w:hAnsi="Times New Roman"/>
          <w:w w:val="115"/>
          <w:sz w:val="13"/>
        </w:rPr>
        <w:t>q</w:t>
      </w:r>
      <w:r>
        <w:rPr>
          <w:rFonts w:ascii="Symbol" w:hAnsi="Symbol"/>
          <w:w w:val="115"/>
          <w:sz w:val="13"/>
        </w:rPr>
        <w:t></w:t>
      </w:r>
      <w:r>
        <w:rPr>
          <w:rFonts w:ascii="Times New Roman" w:hAnsi="Times New Roman"/>
          <w:w w:val="115"/>
          <w:sz w:val="13"/>
        </w:rPr>
        <w:t>1</w:t>
      </w:r>
    </w:p>
    <w:p>
      <w:pPr>
        <w:spacing w:line="136" w:lineRule="exact" w:before="0"/>
        <w:ind w:left="1738" w:right="0" w:firstLine="0"/>
        <w:jc w:val="left"/>
        <w:rPr>
          <w:rFonts w:ascii="Times New Roman" w:hAnsi="Times New Roman"/>
          <w:sz w:val="13"/>
        </w:rPr>
      </w:pPr>
      <w:r>
        <w:rPr/>
        <w:br w:type="column"/>
      </w:r>
      <w:r>
        <w:rPr>
          <w:rFonts w:ascii="Times New Roman" w:hAnsi="Times New Roman"/>
          <w:w w:val="115"/>
          <w:sz w:val="13"/>
        </w:rPr>
        <w:t>(i,k,j)</w:t>
      </w:r>
      <w:r>
        <w:rPr>
          <w:rFonts w:ascii="Symbol" w:hAnsi="Symbol"/>
          <w:w w:val="115"/>
          <w:sz w:val="13"/>
        </w:rPr>
        <w:t></w:t>
      </w:r>
      <w:r>
        <w:rPr>
          <w:rFonts w:ascii="Times New Roman" w:hAnsi="Times New Roman"/>
          <w:w w:val="115"/>
          <w:sz w:val="13"/>
        </w:rPr>
        <w:t>1</w:t>
      </w:r>
    </w:p>
    <w:p>
      <w:pPr>
        <w:spacing w:after="0" w:line="136" w:lineRule="exact"/>
        <w:jc w:val="left"/>
        <w:rPr>
          <w:rFonts w:ascii="Times New Roman" w:hAnsi="Times New Roman"/>
          <w:sz w:val="13"/>
        </w:rPr>
        <w:sectPr>
          <w:type w:val="continuous"/>
          <w:pgSz w:w="12240" w:h="15840"/>
          <w:pgMar w:top="3080" w:bottom="2780" w:left="1440" w:right="1460"/>
          <w:cols w:num="3" w:equalWidth="0">
            <w:col w:w="1964" w:space="40"/>
            <w:col w:w="1599" w:space="285"/>
            <w:col w:w="5452"/>
          </w:cols>
        </w:sectPr>
      </w:pPr>
    </w:p>
    <w:p>
      <w:pPr>
        <w:spacing w:line="232" w:lineRule="auto" w:before="31"/>
        <w:ind w:left="259" w:right="235" w:firstLine="283"/>
        <w:jc w:val="both"/>
        <w:rPr>
          <w:rFonts w:ascii="Times New Roman" w:hAnsi="Times New Roman"/>
          <w:sz w:val="22"/>
        </w:rPr>
      </w:pPr>
      <w:r>
        <w:rPr/>
        <w:pict>
          <v:line style="position:absolute;mso-position-horizontal-relative:page;mso-position-vertical-relative:paragraph;z-index:-327856" from="304.249573pt,-21.903526pt" to="304.249576pt,-6.487242pt" stroked="true" strokeweight=".142273pt" strokecolor="#000000">
            <w10:wrap type="none"/>
          </v:line>
        </w:pict>
      </w:r>
      <w:r>
        <w:rPr/>
        <w:pict>
          <v:line style="position:absolute;mso-position-horizontal-relative:page;mso-position-vertical-relative:paragraph;z-index:-327832" from="324.818176pt,-21.903524pt" to="324.818179pt,-6.48724pt" stroked="true" strokeweight=".142273pt" strokecolor="#000000">
            <w10:wrap type="none"/>
          </v:line>
        </w:pict>
      </w:r>
      <w:r>
        <w:rPr>
          <w:rFonts w:ascii="Times New Roman" w:hAnsi="Times New Roman"/>
          <w:position w:val="2"/>
          <w:sz w:val="22"/>
        </w:rPr>
        <w:t>The output function '</w:t>
      </w:r>
      <w:r>
        <w:rPr>
          <w:rFonts w:ascii="Times New Roman" w:hAnsi="Times New Roman"/>
          <w:i/>
          <w:position w:val="2"/>
          <w:sz w:val="22"/>
        </w:rPr>
        <w:t>f</w:t>
      </w:r>
      <w:r>
        <w:rPr>
          <w:rFonts w:ascii="Times New Roman" w:hAnsi="Times New Roman"/>
          <w:position w:val="2"/>
          <w:sz w:val="22"/>
        </w:rPr>
        <w:t>(µ</w:t>
      </w:r>
      <w:r>
        <w:rPr>
          <w:rFonts w:ascii="Times New Roman" w:hAnsi="Times New Roman"/>
          <w:sz w:val="14"/>
        </w:rPr>
        <w:t>nr</w:t>
      </w:r>
      <w:r>
        <w:rPr>
          <w:rFonts w:ascii="Times New Roman" w:hAnsi="Times New Roman"/>
          <w:position w:val="2"/>
          <w:sz w:val="22"/>
        </w:rPr>
        <w:t>)</w:t>
      </w:r>
      <w:r>
        <w:rPr>
          <w:rFonts w:ascii="Times New Roman" w:hAnsi="Times New Roman"/>
          <w:sz w:val="14"/>
        </w:rPr>
        <w:t>new </w:t>
      </w:r>
      <w:r>
        <w:rPr>
          <w:rFonts w:ascii="Times New Roman" w:hAnsi="Times New Roman"/>
          <w:position w:val="2"/>
          <w:sz w:val="22"/>
        </w:rPr>
        <w:t>is a score used </w:t>
      </w:r>
      <w:r>
        <w:rPr>
          <w:rFonts w:ascii="Times New Roman" w:hAnsi="Times New Roman"/>
          <w:spacing w:val="2"/>
          <w:position w:val="2"/>
          <w:sz w:val="22"/>
        </w:rPr>
        <w:t>to </w:t>
      </w:r>
      <w:r>
        <w:rPr>
          <w:rFonts w:ascii="Times New Roman" w:hAnsi="Times New Roman"/>
          <w:position w:val="2"/>
          <w:sz w:val="22"/>
        </w:rPr>
        <w:t>calculate the probability </w:t>
      </w:r>
      <w:r>
        <w:rPr>
          <w:rFonts w:ascii="Times New Roman" w:hAnsi="Times New Roman"/>
          <w:spacing w:val="-3"/>
          <w:position w:val="2"/>
          <w:sz w:val="22"/>
        </w:rPr>
        <w:t>of </w:t>
      </w:r>
      <w:r>
        <w:rPr>
          <w:rFonts w:ascii="Times New Roman" w:hAnsi="Times New Roman"/>
          <w:position w:val="2"/>
          <w:sz w:val="22"/>
        </w:rPr>
        <w:t>binary classification  </w:t>
      </w:r>
      <w:r>
        <w:rPr>
          <w:rFonts w:ascii="Times New Roman" w:hAnsi="Times New Roman"/>
          <w:spacing w:val="-3"/>
          <w:position w:val="2"/>
          <w:sz w:val="22"/>
        </w:rPr>
        <w:t>of </w:t>
      </w:r>
      <w:r>
        <w:rPr>
          <w:rFonts w:ascii="Times New Roman" w:hAnsi="Times New Roman"/>
          <w:position w:val="2"/>
          <w:sz w:val="22"/>
        </w:rPr>
        <w:t>an input as µ</w:t>
      </w:r>
      <w:r>
        <w:rPr>
          <w:rFonts w:ascii="Times New Roman" w:hAnsi="Times New Roman"/>
          <w:sz w:val="14"/>
        </w:rPr>
        <w:t>nr </w:t>
      </w:r>
      <w:r>
        <w:rPr>
          <w:rFonts w:ascii="Times New Roman" w:hAnsi="Times New Roman"/>
          <w:position w:val="2"/>
          <w:sz w:val="22"/>
        </w:rPr>
        <w:t>= 1 </w:t>
      </w:r>
      <w:r>
        <w:rPr>
          <w:rFonts w:ascii="Times New Roman" w:hAnsi="Times New Roman"/>
          <w:spacing w:val="-3"/>
          <w:position w:val="2"/>
          <w:sz w:val="22"/>
        </w:rPr>
        <w:t>or </w:t>
      </w:r>
      <w:r>
        <w:rPr>
          <w:rFonts w:ascii="Times New Roman" w:hAnsi="Times New Roman"/>
          <w:position w:val="2"/>
          <w:sz w:val="22"/>
        </w:rPr>
        <w:t>µ</w:t>
      </w:r>
      <w:r>
        <w:rPr>
          <w:rFonts w:ascii="Times New Roman" w:hAnsi="Times New Roman"/>
          <w:sz w:val="14"/>
        </w:rPr>
        <w:t>nr </w:t>
      </w:r>
      <w:r>
        <w:rPr>
          <w:rFonts w:ascii="Times New Roman" w:hAnsi="Times New Roman"/>
          <w:position w:val="2"/>
          <w:sz w:val="22"/>
        </w:rPr>
        <w:t>= 0 (outputs).[25] The vectors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 [</w:t>
      </w:r>
      <w:r>
        <w:rPr>
          <w:rFonts w:ascii="Times New Roman" w:hAnsi="Times New Roman"/>
          <w:i/>
          <w:position w:val="2"/>
          <w:sz w:val="22"/>
        </w:rPr>
        <w:t>f</w:t>
      </w:r>
      <w:r>
        <w:rPr>
          <w:rFonts w:ascii="Times New Roman" w:hAnsi="Times New Roman"/>
          <w:position w:val="2"/>
          <w:sz w:val="22"/>
        </w:rPr>
        <w:t>(ε</w:t>
      </w:r>
      <w:r>
        <w:rPr>
          <w:rFonts w:ascii="Times New Roman" w:hAnsi="Times New Roman"/>
          <w:sz w:val="14"/>
        </w:rPr>
        <w:t>ij</w:t>
      </w:r>
      <w:r>
        <w:rPr>
          <w:rFonts w:ascii="Times New Roman" w:hAnsi="Times New Roman"/>
          <w:position w:val="2"/>
          <w:sz w:val="22"/>
        </w:rPr>
        <w:t>)</w:t>
      </w:r>
      <w:r>
        <w:rPr>
          <w:rFonts w:ascii="Times New Roman" w:hAnsi="Times New Roman"/>
          <w:sz w:val="14"/>
        </w:rPr>
        <w:t>new</w:t>
      </w:r>
      <w:r>
        <w:rPr>
          <w:rFonts w:ascii="Times New Roman" w:hAnsi="Times New Roman"/>
          <w:position w:val="2"/>
          <w:sz w:val="22"/>
        </w:rPr>
        <w:t>, &lt;f(ɛ</w:t>
      </w:r>
      <w:r>
        <w:rPr>
          <w:rFonts w:ascii="Times New Roman" w:hAnsi="Times New Roman"/>
          <w:sz w:val="14"/>
        </w:rPr>
        <w:t>ij</w:t>
      </w:r>
      <w:r>
        <w:rPr>
          <w:rFonts w:ascii="Times New Roman" w:hAnsi="Times New Roman"/>
          <w:position w:val="2"/>
          <w:sz w:val="22"/>
        </w:rPr>
        <w:t>)&gt;</w:t>
      </w:r>
      <w:r>
        <w:rPr>
          <w:rFonts w:ascii="Times New Roman" w:hAnsi="Times New Roman"/>
          <w:sz w:val="14"/>
        </w:rPr>
        <w:t>ref</w:t>
      </w:r>
      <w:r>
        <w:rPr>
          <w:rFonts w:ascii="Times New Roman" w:hAnsi="Times New Roman"/>
          <w:position w:val="2"/>
          <w:sz w:val="22"/>
        </w:rPr>
        <w:t>, ω-6, ω-3, CH</w:t>
      </w:r>
      <w:r>
        <w:rPr>
          <w:rFonts w:ascii="Times New Roman" w:hAnsi="Times New Roman"/>
          <w:sz w:val="14"/>
        </w:rPr>
        <w:t>4</w:t>
      </w:r>
      <w:r>
        <w:rPr>
          <w:rFonts w:ascii="Times New Roman" w:hAnsi="Times New Roman"/>
          <w:position w:val="2"/>
          <w:sz w:val="22"/>
        </w:rPr>
        <w:t>,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1</w:t>
      </w:r>
      <w:r>
        <w:rPr>
          <w:rFonts w:ascii="Times New Roman" w:hAnsi="Times New Roman"/>
          <w:position w:val="2"/>
          <w:sz w:val="22"/>
        </w:rPr>
        <w:t>,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kmax</w:t>
      </w:r>
      <w:r>
        <w:rPr>
          <w:rFonts w:ascii="Times New Roman" w:hAnsi="Times New Roman"/>
          <w:position w:val="2"/>
          <w:sz w:val="22"/>
        </w:rPr>
        <w:t>, ΔV</w:t>
      </w:r>
      <w:r>
        <w:rPr>
          <w:rFonts w:ascii="Times New Roman" w:hAnsi="Times New Roman"/>
          <w:sz w:val="14"/>
        </w:rPr>
        <w:t>1</w:t>
      </w:r>
      <w:r>
        <w:rPr>
          <w:rFonts w:ascii="Times New Roman" w:hAnsi="Times New Roman"/>
          <w:position w:val="2"/>
          <w:sz w:val="22"/>
        </w:rPr>
        <w:t>(c</w:t>
      </w:r>
      <w:r>
        <w:rPr>
          <w:rFonts w:ascii="Times New Roman" w:hAnsi="Times New Roman"/>
          <w:sz w:val="14"/>
        </w:rPr>
        <w:t>1</w:t>
      </w:r>
      <w:r>
        <w:rPr>
          <w:rFonts w:ascii="Times New Roman" w:hAnsi="Times New Roman"/>
          <w:position w:val="2"/>
          <w:sz w:val="22"/>
        </w:rPr>
        <w:t>), …ΔV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ΔV</w:t>
      </w:r>
      <w:r>
        <w:rPr>
          <w:rFonts w:ascii="Times New Roman" w:hAnsi="Times New Roman"/>
          <w:sz w:val="14"/>
        </w:rPr>
        <w:t>kmax</w:t>
      </w:r>
      <w:r>
        <w:rPr>
          <w:rFonts w:ascii="Times New Roman" w:hAnsi="Times New Roman"/>
          <w:position w:val="2"/>
          <w:sz w:val="22"/>
        </w:rPr>
        <w:t>(c</w:t>
      </w:r>
      <w:r>
        <w:rPr>
          <w:rFonts w:ascii="Times New Roman" w:hAnsi="Times New Roman"/>
          <w:sz w:val="14"/>
        </w:rPr>
        <w:t>jmax</w:t>
      </w:r>
      <w:r>
        <w:rPr>
          <w:rFonts w:ascii="Times New Roman" w:hAnsi="Times New Roman"/>
          <w:position w:val="2"/>
          <w:sz w:val="22"/>
        </w:rPr>
        <w:t>), ΔΔV</w:t>
      </w:r>
      <w:r>
        <w:rPr>
          <w:rFonts w:ascii="Times New Roman" w:hAnsi="Times New Roman"/>
          <w:sz w:val="14"/>
        </w:rPr>
        <w:t>1</w:t>
      </w:r>
      <w:r>
        <w:rPr>
          <w:rFonts w:ascii="Times New Roman" w:hAnsi="Times New Roman"/>
          <w:position w:val="2"/>
          <w:sz w:val="22"/>
        </w:rPr>
        <w:t>(c</w:t>
      </w:r>
      <w:r>
        <w:rPr>
          <w:rFonts w:ascii="Times New Roman" w:hAnsi="Times New Roman"/>
          <w:sz w:val="14"/>
        </w:rPr>
        <w:t>1</w:t>
      </w:r>
      <w:r>
        <w:rPr>
          <w:rFonts w:ascii="Times New Roman" w:hAnsi="Times New Roman"/>
          <w:position w:val="2"/>
          <w:sz w:val="22"/>
        </w:rPr>
        <w:t>), …ΔΔV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ΔΔV</w:t>
      </w:r>
      <w:r>
        <w:rPr>
          <w:rFonts w:ascii="Times New Roman" w:hAnsi="Times New Roman"/>
          <w:sz w:val="14"/>
        </w:rPr>
        <w:t>kmax</w:t>
      </w:r>
      <w:r>
        <w:rPr>
          <w:rFonts w:ascii="Times New Roman" w:hAnsi="Times New Roman"/>
          <w:position w:val="2"/>
          <w:sz w:val="22"/>
        </w:rPr>
        <w:t>(c</w:t>
      </w:r>
      <w:r>
        <w:rPr>
          <w:rFonts w:ascii="Times New Roman" w:hAnsi="Times New Roman"/>
          <w:sz w:val="14"/>
        </w:rPr>
        <w:t>jmax</w:t>
      </w:r>
      <w:r>
        <w:rPr>
          <w:rFonts w:ascii="Times New Roman" w:hAnsi="Times New Roman"/>
          <w:position w:val="2"/>
          <w:sz w:val="22"/>
        </w:rPr>
        <w:t>)] are the inputs </w:t>
      </w:r>
      <w:r>
        <w:rPr>
          <w:rFonts w:ascii="Times New Roman" w:hAnsi="Times New Roman"/>
          <w:spacing w:val="-3"/>
          <w:position w:val="2"/>
          <w:sz w:val="22"/>
        </w:rPr>
        <w:t>of </w:t>
      </w:r>
      <w:r>
        <w:rPr>
          <w:rFonts w:ascii="Times New Roman" w:hAnsi="Times New Roman"/>
          <w:position w:val="2"/>
          <w:sz w:val="22"/>
        </w:rPr>
        <w:t>this model. Each vector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represents a statistical case (i</w:t>
      </w:r>
      <w:r>
        <w:rPr>
          <w:rFonts w:ascii="Times New Roman" w:hAnsi="Times New Roman"/>
          <w:position w:val="11"/>
          <w:sz w:val="14"/>
        </w:rPr>
        <w:t>th </w:t>
      </w:r>
      <w:r>
        <w:rPr>
          <w:rFonts w:ascii="Times New Roman" w:hAnsi="Times New Roman"/>
          <w:position w:val="2"/>
          <w:sz w:val="22"/>
        </w:rPr>
        <w:t>case) out of a total </w:t>
      </w:r>
      <w:r>
        <w:rPr>
          <w:rFonts w:ascii="Times New Roman" w:hAnsi="Times New Roman"/>
          <w:spacing w:val="-3"/>
          <w:position w:val="2"/>
          <w:sz w:val="22"/>
        </w:rPr>
        <w:t>of </w:t>
      </w:r>
      <w:r>
        <w:rPr>
          <w:rFonts w:ascii="Times New Roman" w:hAnsi="Times New Roman"/>
          <w:position w:val="2"/>
          <w:sz w:val="22"/>
        </w:rPr>
        <w:t>n =  545,695 </w:t>
      </w:r>
      <w:r>
        <w:rPr>
          <w:rFonts w:ascii="Times New Roman" w:hAnsi="Times New Roman"/>
          <w:spacing w:val="-3"/>
          <w:position w:val="2"/>
          <w:sz w:val="22"/>
        </w:rPr>
        <w:t>cases </w:t>
      </w:r>
      <w:r>
        <w:rPr>
          <w:rFonts w:ascii="Times New Roman" w:hAnsi="Times New Roman"/>
          <w:position w:val="2"/>
          <w:sz w:val="22"/>
        </w:rPr>
        <w:t>(perturbations). These statistical cases encoded by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vectors are perturbations </w:t>
      </w:r>
      <w:r>
        <w:rPr>
          <w:rFonts w:ascii="Times New Roman" w:hAnsi="Times New Roman"/>
          <w:spacing w:val="-3"/>
          <w:position w:val="2"/>
          <w:sz w:val="22"/>
        </w:rPr>
        <w:t>of </w:t>
      </w:r>
      <w:r>
        <w:rPr>
          <w:rFonts w:ascii="Times New Roman" w:hAnsi="Times New Roman"/>
          <w:position w:val="2"/>
          <w:sz w:val="22"/>
        </w:rPr>
        <w:t>one </w:t>
      </w:r>
      <w:r>
        <w:rPr>
          <w:rFonts w:ascii="Times New Roman" w:hAnsi="Times New Roman"/>
          <w:sz w:val="22"/>
        </w:rPr>
        <w:t>entry </w:t>
      </w:r>
      <w:r>
        <w:rPr>
          <w:rFonts w:ascii="Times New Roman" w:hAnsi="Times New Roman"/>
          <w:spacing w:val="-3"/>
          <w:sz w:val="22"/>
        </w:rPr>
        <w:t>or </w:t>
      </w:r>
      <w:r>
        <w:rPr>
          <w:rFonts w:ascii="Times New Roman" w:hAnsi="Times New Roman"/>
          <w:sz w:val="22"/>
        </w:rPr>
        <w:t>state of reference (changes in input parameters) that yield an output </w:t>
      </w:r>
      <w:r>
        <w:rPr>
          <w:rFonts w:ascii="Times New Roman" w:hAnsi="Times New Roman"/>
          <w:spacing w:val="-3"/>
          <w:sz w:val="22"/>
        </w:rPr>
        <w:t>or </w:t>
      </w:r>
      <w:r>
        <w:rPr>
          <w:rFonts w:ascii="Times New Roman" w:hAnsi="Times New Roman"/>
          <w:sz w:val="22"/>
        </w:rPr>
        <w:t>new state. The input </w:t>
      </w:r>
      <w:r>
        <w:rPr>
          <w:rFonts w:ascii="Times New Roman" w:hAnsi="Times New Roman"/>
          <w:position w:val="2"/>
          <w:sz w:val="22"/>
        </w:rPr>
        <w:t>vectors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include the value of </w:t>
      </w:r>
      <w:r>
        <w:rPr>
          <w:rFonts w:ascii="Times New Roman" w:hAnsi="Times New Roman"/>
          <w:i/>
          <w:position w:val="2"/>
          <w:sz w:val="22"/>
        </w:rPr>
        <w:t>f</w:t>
      </w:r>
      <w:r>
        <w:rPr>
          <w:rFonts w:ascii="Times New Roman" w:hAnsi="Times New Roman"/>
          <w:position w:val="2"/>
          <w:sz w:val="22"/>
        </w:rPr>
        <w:t>(ε</w:t>
      </w:r>
      <w:r>
        <w:rPr>
          <w:rFonts w:ascii="Times New Roman" w:hAnsi="Times New Roman"/>
          <w:sz w:val="14"/>
        </w:rPr>
        <w:t>ij</w:t>
      </w:r>
      <w:r>
        <w:rPr>
          <w:rFonts w:ascii="Times New Roman" w:hAnsi="Times New Roman"/>
          <w:position w:val="2"/>
          <w:sz w:val="22"/>
        </w:rPr>
        <w:t>)</w:t>
      </w:r>
      <w:r>
        <w:rPr>
          <w:rFonts w:ascii="Times New Roman" w:hAnsi="Times New Roman"/>
          <w:sz w:val="14"/>
        </w:rPr>
        <w:t>ref </w:t>
      </w:r>
      <w:r>
        <w:rPr>
          <w:rFonts w:ascii="Times New Roman" w:hAnsi="Times New Roman"/>
          <w:position w:val="2"/>
          <w:sz w:val="22"/>
        </w:rPr>
        <w:t>for the state </w:t>
      </w:r>
      <w:r>
        <w:rPr>
          <w:rFonts w:ascii="Times New Roman" w:hAnsi="Times New Roman"/>
          <w:spacing w:val="-3"/>
          <w:position w:val="2"/>
          <w:sz w:val="22"/>
        </w:rPr>
        <w:t>of </w:t>
      </w:r>
      <w:r>
        <w:rPr>
          <w:rFonts w:ascii="Times New Roman" w:hAnsi="Times New Roman"/>
          <w:position w:val="2"/>
          <w:sz w:val="22"/>
        </w:rPr>
        <w:t>reference (known value). The vectors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also </w:t>
      </w:r>
      <w:r>
        <w:rPr>
          <w:rFonts w:ascii="Times New Roman" w:hAnsi="Times New Roman"/>
          <w:sz w:val="22"/>
        </w:rPr>
        <w:t>take the amounts </w:t>
      </w:r>
      <w:r>
        <w:rPr>
          <w:rFonts w:ascii="Times New Roman" w:hAnsi="Times New Roman"/>
          <w:spacing w:val="-3"/>
          <w:sz w:val="22"/>
        </w:rPr>
        <w:t>of </w:t>
      </w:r>
      <w:r>
        <w:rPr>
          <w:rFonts w:ascii="Times New Roman" w:hAnsi="Times New Roman"/>
          <w:sz w:val="22"/>
        </w:rPr>
        <w:t>ω-6 and ω-3 in the new state (after perturbation) into account. The values </w:t>
      </w:r>
      <w:r>
        <w:rPr>
          <w:rFonts w:ascii="Times New Roman" w:hAnsi="Times New Roman"/>
          <w:spacing w:val="-3"/>
          <w:sz w:val="22"/>
        </w:rPr>
        <w:t>of </w:t>
      </w:r>
      <w:r>
        <w:rPr>
          <w:rFonts w:ascii="Times New Roman" w:hAnsi="Times New Roman"/>
          <w:position w:val="2"/>
          <w:sz w:val="22"/>
        </w:rPr>
        <w:t>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w:t>
      </w:r>
      <w:r>
        <w:rPr>
          <w:rFonts w:ascii="Times New Roman" w:hAnsi="Times New Roman"/>
          <w:spacing w:val="2"/>
          <w:position w:val="2"/>
          <w:sz w:val="22"/>
        </w:rPr>
        <w:t>and </w:t>
      </w:r>
      <w:r>
        <w:rPr>
          <w:rFonts w:ascii="Times New Roman" w:hAnsi="Times New Roman"/>
          <w:position w:val="2"/>
          <w:sz w:val="22"/>
        </w:rPr>
        <w:t>PT-LFER operators ΔΔV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were also included in vectors </w:t>
      </w:r>
      <w:r>
        <w:rPr>
          <w:rFonts w:ascii="Times New Roman" w:hAnsi="Times New Roman"/>
          <w:b/>
          <w:position w:val="2"/>
          <w:sz w:val="22"/>
        </w:rPr>
        <w:t>v</w:t>
      </w:r>
      <w:r>
        <w:rPr>
          <w:rFonts w:ascii="Times New Roman" w:hAnsi="Times New Roman"/>
          <w:sz w:val="14"/>
        </w:rPr>
        <w:t>i </w:t>
      </w:r>
      <w:r>
        <w:rPr>
          <w:rFonts w:ascii="Times New Roman" w:hAnsi="Times New Roman"/>
          <w:position w:val="2"/>
          <w:sz w:val="22"/>
        </w:rPr>
        <w:t>(See </w:t>
      </w:r>
      <w:r>
        <w:rPr>
          <w:rFonts w:ascii="Times New Roman" w:hAnsi="Times New Roman"/>
          <w:sz w:val="22"/>
        </w:rPr>
        <w:t>details in Supplementary Material file SM01.pdf, available in journal </w:t>
      </w:r>
      <w:r>
        <w:rPr>
          <w:rFonts w:ascii="Times New Roman" w:hAnsi="Times New Roman"/>
          <w:spacing w:val="-3"/>
          <w:sz w:val="22"/>
        </w:rPr>
        <w:t>web or </w:t>
      </w:r>
      <w:r>
        <w:rPr>
          <w:rFonts w:ascii="Times New Roman" w:hAnsi="Times New Roman"/>
          <w:sz w:val="22"/>
        </w:rPr>
        <w:t>upon author</w:t>
      </w:r>
      <w:r>
        <w:rPr>
          <w:rFonts w:ascii="Times New Roman" w:hAnsi="Times New Roman"/>
          <w:spacing w:val="-25"/>
          <w:sz w:val="22"/>
        </w:rPr>
        <w:t> </w:t>
      </w:r>
      <w:r>
        <w:rPr>
          <w:rFonts w:ascii="Times New Roman" w:hAnsi="Times New Roman"/>
          <w:sz w:val="22"/>
        </w:rPr>
        <w:t>request).</w:t>
      </w:r>
    </w:p>
    <w:p>
      <w:pPr>
        <w:pStyle w:val="ListParagraph"/>
        <w:numPr>
          <w:ilvl w:val="1"/>
          <w:numId w:val="17"/>
        </w:numPr>
        <w:tabs>
          <w:tab w:pos="932" w:val="left" w:leader="none"/>
        </w:tabs>
        <w:spacing w:line="251" w:lineRule="exact" w:before="3" w:after="0"/>
        <w:ind w:left="931" w:right="0" w:hanging="388"/>
        <w:jc w:val="left"/>
        <w:rPr>
          <w:rFonts w:ascii="Times New Roman"/>
          <w:i/>
          <w:sz w:val="22"/>
        </w:rPr>
      </w:pPr>
      <w:r>
        <w:rPr>
          <w:rFonts w:ascii="Times New Roman"/>
          <w:i/>
          <w:sz w:val="22"/>
        </w:rPr>
        <w:t>Calculation of molecular</w:t>
      </w:r>
      <w:r>
        <w:rPr>
          <w:rFonts w:ascii="Times New Roman"/>
          <w:i/>
          <w:spacing w:val="-15"/>
          <w:sz w:val="22"/>
        </w:rPr>
        <w:t> </w:t>
      </w:r>
      <w:r>
        <w:rPr>
          <w:rFonts w:ascii="Times New Roman"/>
          <w:i/>
          <w:sz w:val="22"/>
        </w:rPr>
        <w:t>descriptors.</w:t>
      </w:r>
    </w:p>
    <w:p>
      <w:pPr>
        <w:spacing w:line="235" w:lineRule="auto" w:before="2"/>
        <w:ind w:left="259" w:right="235" w:firstLine="283"/>
        <w:jc w:val="both"/>
        <w:rPr>
          <w:rFonts w:ascii="Times New Roman"/>
          <w:sz w:val="22"/>
        </w:rPr>
      </w:pPr>
      <w:r>
        <w:rPr>
          <w:rFonts w:ascii="Times New Roman"/>
          <w:sz w:val="22"/>
        </w:rPr>
        <w:t>The Simplified Molecular-Input Line Entry System (SMILES) </w:t>
      </w:r>
      <w:r>
        <w:rPr>
          <w:rFonts w:ascii="Times New Roman"/>
          <w:spacing w:val="-3"/>
          <w:sz w:val="22"/>
        </w:rPr>
        <w:t>codes </w:t>
      </w:r>
      <w:r>
        <w:rPr>
          <w:rFonts w:ascii="Times New Roman"/>
          <w:sz w:val="22"/>
        </w:rPr>
        <w:t>of each fatty acid were downloaded from the website data </w:t>
      </w:r>
      <w:r>
        <w:rPr>
          <w:rFonts w:ascii="Times New Roman"/>
          <w:spacing w:val="-3"/>
          <w:sz w:val="22"/>
        </w:rPr>
        <w:t>of </w:t>
      </w:r>
      <w:r>
        <w:rPr>
          <w:rFonts w:ascii="Times New Roman"/>
          <w:sz w:val="22"/>
        </w:rPr>
        <w:t>Chemical Entities </w:t>
      </w:r>
      <w:r>
        <w:rPr>
          <w:rFonts w:ascii="Times New Roman"/>
          <w:spacing w:val="-3"/>
          <w:sz w:val="22"/>
        </w:rPr>
        <w:t>of </w:t>
      </w:r>
      <w:r>
        <w:rPr>
          <w:rFonts w:ascii="Times New Roman"/>
          <w:sz w:val="22"/>
        </w:rPr>
        <w:t>Biological Interest (ChEBI: </w:t>
      </w:r>
      <w:hyperlink r:id="rId66">
        <w:r>
          <w:rPr>
            <w:rFonts w:ascii="Times New Roman"/>
            <w:color w:val="0000FF"/>
            <w:sz w:val="22"/>
            <w:u w:val="single" w:color="0000FF"/>
          </w:rPr>
          <w:t>http://www.ebi.ac.uk/chebi/</w:t>
        </w:r>
      </w:hyperlink>
      <w:r>
        <w:rPr>
          <w:rFonts w:ascii="Times New Roman"/>
          <w:sz w:val="22"/>
        </w:rPr>
        <w:t>). Then, SMILES codes </w:t>
      </w:r>
      <w:r>
        <w:rPr>
          <w:rFonts w:ascii="Times New Roman"/>
          <w:spacing w:val="-3"/>
          <w:sz w:val="22"/>
        </w:rPr>
        <w:t>of </w:t>
      </w:r>
      <w:r>
        <w:rPr>
          <w:rFonts w:ascii="Times New Roman"/>
          <w:sz w:val="22"/>
        </w:rPr>
        <w:t>each fatty acid were uploaded </w:t>
      </w:r>
      <w:r>
        <w:rPr>
          <w:rFonts w:ascii="Times New Roman"/>
          <w:spacing w:val="2"/>
          <w:sz w:val="22"/>
        </w:rPr>
        <w:t>to </w:t>
      </w:r>
      <w:r>
        <w:rPr>
          <w:rFonts w:ascii="Times New Roman"/>
          <w:sz w:val="22"/>
        </w:rPr>
        <w:t>software </w:t>
      </w:r>
      <w:r>
        <w:rPr>
          <w:rFonts w:ascii="Times New Roman"/>
          <w:position w:val="2"/>
          <w:sz w:val="22"/>
        </w:rPr>
        <w:t>DRAGON</w:t>
      </w:r>
      <w:hyperlink w:history="true" w:anchor="_bookmark4">
        <w:r>
          <w:rPr>
            <w:rFonts w:ascii="Times New Roman"/>
            <w:position w:val="11"/>
            <w:sz w:val="14"/>
          </w:rPr>
          <w:t>43,</w:t>
        </w:r>
      </w:hyperlink>
      <w:r>
        <w:rPr>
          <w:rFonts w:ascii="Times New Roman"/>
          <w:position w:val="11"/>
          <w:sz w:val="14"/>
        </w:rPr>
        <w:t> </w:t>
      </w:r>
      <w:hyperlink w:history="true" w:anchor="_bookmark5">
        <w:r>
          <w:rPr>
            <w:rFonts w:ascii="Times New Roman"/>
            <w:position w:val="11"/>
            <w:sz w:val="14"/>
          </w:rPr>
          <w:t>44</w:t>
        </w:r>
      </w:hyperlink>
      <w:r>
        <w:rPr>
          <w:rFonts w:ascii="Times New Roman"/>
          <w:position w:val="11"/>
          <w:sz w:val="14"/>
        </w:rPr>
        <w:t> </w:t>
      </w:r>
      <w:r>
        <w:rPr>
          <w:rFonts w:ascii="Times New Roman"/>
          <w:spacing w:val="2"/>
          <w:position w:val="2"/>
          <w:sz w:val="22"/>
        </w:rPr>
        <w:t>to </w:t>
      </w:r>
      <w:r>
        <w:rPr>
          <w:rFonts w:ascii="Times New Roman"/>
          <w:position w:val="2"/>
          <w:sz w:val="22"/>
        </w:rPr>
        <w:t>obtain some molecular descriptors (</w:t>
      </w:r>
      <w:r>
        <w:rPr>
          <w:rFonts w:ascii="Times New Roman"/>
          <w:position w:val="11"/>
          <w:sz w:val="14"/>
        </w:rPr>
        <w:t>i</w:t>
      </w:r>
      <w:r>
        <w:rPr>
          <w:rFonts w:ascii="Times New Roman"/>
          <w:position w:val="2"/>
          <w:sz w:val="22"/>
        </w:rPr>
        <w:t>V</w:t>
      </w:r>
      <w:r>
        <w:rPr>
          <w:rFonts w:ascii="Times New Roman"/>
          <w:sz w:val="14"/>
        </w:rPr>
        <w:t>k</w:t>
      </w:r>
      <w:r>
        <w:rPr>
          <w:rFonts w:ascii="Times New Roman"/>
          <w:position w:val="2"/>
          <w:sz w:val="22"/>
        </w:rPr>
        <w:t>). SMILES codes are very  useful  </w:t>
      </w:r>
      <w:r>
        <w:rPr>
          <w:rFonts w:ascii="Times New Roman"/>
          <w:spacing w:val="2"/>
          <w:position w:val="2"/>
          <w:sz w:val="22"/>
        </w:rPr>
        <w:t>to </w:t>
      </w:r>
      <w:r>
        <w:rPr>
          <w:rFonts w:ascii="Times New Roman"/>
          <w:sz w:val="22"/>
        </w:rPr>
        <w:t>manage molecular structures [26-28] and </w:t>
      </w:r>
      <w:r>
        <w:rPr>
          <w:rFonts w:ascii="Times New Roman"/>
          <w:spacing w:val="-3"/>
          <w:sz w:val="22"/>
        </w:rPr>
        <w:t>for </w:t>
      </w:r>
      <w:r>
        <w:rPr>
          <w:rFonts w:ascii="Times New Roman"/>
          <w:sz w:val="22"/>
        </w:rPr>
        <w:t>further calculation </w:t>
      </w:r>
      <w:r>
        <w:rPr>
          <w:rFonts w:ascii="Times New Roman"/>
          <w:spacing w:val="-3"/>
          <w:sz w:val="22"/>
        </w:rPr>
        <w:t>of </w:t>
      </w:r>
      <w:r>
        <w:rPr>
          <w:rFonts w:ascii="Times New Roman"/>
          <w:sz w:val="22"/>
        </w:rPr>
        <w:t>molecular descriptors [29, 30]. </w:t>
      </w:r>
      <w:r>
        <w:rPr>
          <w:rFonts w:ascii="Times New Roman"/>
          <w:position w:val="2"/>
          <w:sz w:val="22"/>
        </w:rPr>
        <w:t>First, structural variables (</w:t>
      </w:r>
      <w:r>
        <w:rPr>
          <w:rFonts w:ascii="Times New Roman"/>
          <w:position w:val="11"/>
          <w:sz w:val="14"/>
        </w:rPr>
        <w:t>i</w:t>
      </w:r>
      <w:r>
        <w:rPr>
          <w:rFonts w:ascii="Times New Roman"/>
          <w:position w:val="2"/>
          <w:sz w:val="22"/>
        </w:rPr>
        <w:t>V</w:t>
      </w:r>
      <w:r>
        <w:rPr>
          <w:rFonts w:ascii="Times New Roman"/>
          <w:sz w:val="14"/>
        </w:rPr>
        <w:t>k</w:t>
      </w:r>
      <w:r>
        <w:rPr>
          <w:rFonts w:ascii="Times New Roman"/>
          <w:position w:val="2"/>
          <w:sz w:val="22"/>
        </w:rPr>
        <w:t>) </w:t>
      </w:r>
      <w:r>
        <w:rPr>
          <w:rFonts w:ascii="Times New Roman"/>
          <w:spacing w:val="-3"/>
          <w:position w:val="2"/>
          <w:sz w:val="22"/>
        </w:rPr>
        <w:t>of </w:t>
      </w:r>
      <w:r>
        <w:rPr>
          <w:rFonts w:ascii="Times New Roman"/>
          <w:position w:val="2"/>
          <w:sz w:val="22"/>
        </w:rPr>
        <w:t>each fatty acid were used as a new set </w:t>
      </w:r>
      <w:r>
        <w:rPr>
          <w:rFonts w:ascii="Times New Roman"/>
          <w:spacing w:val="-3"/>
          <w:position w:val="2"/>
          <w:sz w:val="22"/>
        </w:rPr>
        <w:t>of </w:t>
      </w:r>
      <w:r>
        <w:rPr>
          <w:rFonts w:ascii="Times New Roman"/>
          <w:position w:val="2"/>
          <w:sz w:val="22"/>
        </w:rPr>
        <w:t>molecular descriptors. </w:t>
      </w:r>
      <w:r>
        <w:rPr>
          <w:rFonts w:ascii="Times New Roman"/>
          <w:sz w:val="22"/>
        </w:rPr>
        <w:t>These variables are the same classes </w:t>
      </w:r>
      <w:r>
        <w:rPr>
          <w:rFonts w:ascii="Times New Roman"/>
          <w:spacing w:val="-3"/>
          <w:sz w:val="22"/>
        </w:rPr>
        <w:t>of </w:t>
      </w:r>
      <w:r>
        <w:rPr>
          <w:rFonts w:ascii="Times New Roman"/>
          <w:sz w:val="22"/>
        </w:rPr>
        <w:t>molecular descriptors used in Hansch analysis to quantify </w:t>
      </w:r>
      <w:r>
        <w:rPr>
          <w:rFonts w:ascii="Times New Roman"/>
          <w:position w:val="2"/>
          <w:sz w:val="22"/>
        </w:rPr>
        <w:t>the molecular structures. The first class </w:t>
      </w:r>
      <w:r>
        <w:rPr>
          <w:rFonts w:ascii="Times New Roman"/>
          <w:spacing w:val="-3"/>
          <w:position w:val="2"/>
          <w:sz w:val="22"/>
        </w:rPr>
        <w:t>of </w:t>
      </w:r>
      <w:r>
        <w:rPr>
          <w:rFonts w:ascii="Times New Roman"/>
          <w:position w:val="2"/>
          <w:sz w:val="22"/>
        </w:rPr>
        <w:t>molecular descriptors calculated was </w:t>
      </w:r>
      <w:r>
        <w:rPr>
          <w:rFonts w:ascii="Times New Roman"/>
          <w:spacing w:val="4"/>
          <w:position w:val="2"/>
          <w:sz w:val="22"/>
        </w:rPr>
        <w:t>V</w:t>
      </w:r>
      <w:r>
        <w:rPr>
          <w:rFonts w:ascii="Times New Roman"/>
          <w:spacing w:val="4"/>
          <w:sz w:val="14"/>
        </w:rPr>
        <w:t>1 </w:t>
      </w:r>
      <w:r>
        <w:rPr>
          <w:rFonts w:ascii="Times New Roman"/>
          <w:position w:val="2"/>
          <w:sz w:val="22"/>
        </w:rPr>
        <w:t>= </w:t>
      </w:r>
      <w:r>
        <w:rPr>
          <w:rFonts w:ascii="Times New Roman"/>
          <w:spacing w:val="2"/>
          <w:position w:val="2"/>
          <w:sz w:val="22"/>
        </w:rPr>
        <w:t>Mw  </w:t>
      </w:r>
      <w:r>
        <w:rPr>
          <w:rFonts w:ascii="Times New Roman"/>
          <w:position w:val="2"/>
          <w:sz w:val="22"/>
        </w:rPr>
        <w:t>(Molecular weight). The second class of molecular descriptors V</w:t>
      </w:r>
      <w:r>
        <w:rPr>
          <w:rFonts w:ascii="Times New Roman"/>
          <w:sz w:val="14"/>
        </w:rPr>
        <w:t>2  </w:t>
      </w:r>
      <w:r>
        <w:rPr>
          <w:rFonts w:ascii="Times New Roman"/>
          <w:position w:val="2"/>
          <w:sz w:val="22"/>
        </w:rPr>
        <w:t>= AEigv, V</w:t>
      </w:r>
      <w:r>
        <w:rPr>
          <w:rFonts w:ascii="Times New Roman"/>
          <w:sz w:val="14"/>
        </w:rPr>
        <w:t>3  </w:t>
      </w:r>
      <w:r>
        <w:rPr>
          <w:rFonts w:ascii="Times New Roman"/>
          <w:position w:val="2"/>
          <w:sz w:val="22"/>
        </w:rPr>
        <w:t>= AEige, and  </w:t>
      </w:r>
      <w:r>
        <w:rPr>
          <w:rFonts w:ascii="Times New Roman"/>
          <w:spacing w:val="42"/>
          <w:position w:val="2"/>
          <w:sz w:val="22"/>
        </w:rPr>
        <w:t> </w:t>
      </w:r>
      <w:r>
        <w:rPr>
          <w:rFonts w:ascii="Times New Roman"/>
          <w:position w:val="2"/>
          <w:sz w:val="22"/>
        </w:rPr>
        <w:t>V</w:t>
      </w:r>
      <w:r>
        <w:rPr>
          <w:rFonts w:ascii="Times New Roman"/>
          <w:sz w:val="14"/>
        </w:rPr>
        <w:t>4  </w:t>
      </w:r>
      <w:r>
        <w:rPr>
          <w:rFonts w:ascii="Times New Roman"/>
          <w:position w:val="2"/>
          <w:sz w:val="22"/>
        </w:rPr>
        <w:t>=</w:t>
      </w:r>
    </w:p>
    <w:p>
      <w:pPr>
        <w:spacing w:after="0" w:line="235" w:lineRule="auto"/>
        <w:jc w:val="both"/>
        <w:rPr>
          <w:rFonts w:ascii="Times New Roman"/>
          <w:sz w:val="22"/>
        </w:rPr>
        <w:sectPr>
          <w:type w:val="continuous"/>
          <w:pgSz w:w="12240" w:h="15840"/>
          <w:pgMar w:top="3080" w:bottom="2780" w:left="1440" w:right="1460"/>
        </w:sectPr>
      </w:pPr>
    </w:p>
    <w:p>
      <w:pPr>
        <w:pStyle w:val="BodyText"/>
        <w:spacing w:before="10"/>
        <w:rPr>
          <w:rFonts w:ascii="Times New Roman"/>
          <w:sz w:val="14"/>
        </w:rPr>
      </w:pPr>
    </w:p>
    <w:p>
      <w:pPr>
        <w:spacing w:line="240" w:lineRule="auto" w:before="72"/>
        <w:ind w:left="259" w:right="240" w:firstLine="0"/>
        <w:jc w:val="both"/>
        <w:rPr>
          <w:rFonts w:ascii="Times New Roman"/>
          <w:sz w:val="22"/>
        </w:rPr>
      </w:pPr>
      <w:r>
        <w:rPr>
          <w:rFonts w:ascii="Times New Roman"/>
          <w:sz w:val="22"/>
        </w:rPr>
        <w:t>AEigp were also included, which are the Eigenvalues average </w:t>
      </w:r>
      <w:r>
        <w:rPr>
          <w:rFonts w:ascii="Times New Roman"/>
          <w:spacing w:val="-3"/>
          <w:sz w:val="22"/>
        </w:rPr>
        <w:t>of </w:t>
      </w:r>
      <w:r>
        <w:rPr>
          <w:rFonts w:ascii="Times New Roman"/>
          <w:sz w:val="22"/>
        </w:rPr>
        <w:t>topological distance matrices weighted with atomic van </w:t>
      </w:r>
      <w:r>
        <w:rPr>
          <w:rFonts w:ascii="Times New Roman"/>
          <w:spacing w:val="-3"/>
          <w:sz w:val="22"/>
        </w:rPr>
        <w:t>der </w:t>
      </w:r>
      <w:r>
        <w:rPr>
          <w:rFonts w:ascii="Times New Roman"/>
          <w:sz w:val="22"/>
        </w:rPr>
        <w:t>Waals </w:t>
      </w:r>
      <w:r>
        <w:rPr>
          <w:rFonts w:ascii="Times New Roman"/>
          <w:spacing w:val="-3"/>
          <w:sz w:val="22"/>
        </w:rPr>
        <w:t>volumes </w:t>
      </w:r>
      <w:r>
        <w:rPr>
          <w:rFonts w:ascii="Times New Roman"/>
          <w:sz w:val="22"/>
        </w:rPr>
        <w:t>(v), Polarizabilities (p), </w:t>
      </w:r>
      <w:r>
        <w:rPr>
          <w:rFonts w:ascii="Times New Roman"/>
          <w:spacing w:val="-3"/>
          <w:sz w:val="22"/>
        </w:rPr>
        <w:t>or </w:t>
      </w:r>
      <w:r>
        <w:rPr>
          <w:rFonts w:ascii="Times New Roman"/>
          <w:sz w:val="22"/>
        </w:rPr>
        <w:t>Electronegativities (e). </w:t>
      </w:r>
      <w:r>
        <w:rPr>
          <w:rFonts w:ascii="Times New Roman"/>
          <w:position w:val="2"/>
          <w:sz w:val="22"/>
        </w:rPr>
        <w:t>Last, </w:t>
      </w:r>
      <w:r>
        <w:rPr>
          <w:rFonts w:ascii="Times New Roman"/>
          <w:spacing w:val="-3"/>
          <w:position w:val="2"/>
          <w:sz w:val="22"/>
        </w:rPr>
        <w:t>V</w:t>
      </w:r>
      <w:r>
        <w:rPr>
          <w:rFonts w:ascii="Times New Roman"/>
          <w:spacing w:val="-3"/>
          <w:sz w:val="14"/>
        </w:rPr>
        <w:t>5 </w:t>
      </w:r>
      <w:r>
        <w:rPr>
          <w:rFonts w:ascii="Times New Roman"/>
          <w:position w:val="2"/>
          <w:sz w:val="22"/>
        </w:rPr>
        <w:t>= MR (Molecular Refractivity), V</w:t>
      </w:r>
      <w:r>
        <w:rPr>
          <w:rFonts w:ascii="Times New Roman"/>
          <w:sz w:val="14"/>
        </w:rPr>
        <w:t>6 </w:t>
      </w:r>
      <w:r>
        <w:rPr>
          <w:rFonts w:ascii="Times New Roman"/>
          <w:position w:val="2"/>
          <w:sz w:val="22"/>
        </w:rPr>
        <w:t>= LogP (logarithm of the n-Octanol/Water partition </w:t>
      </w:r>
      <w:r>
        <w:rPr>
          <w:rFonts w:ascii="Times New Roman"/>
          <w:sz w:val="22"/>
        </w:rPr>
        <w:t>coefficient) were also</w:t>
      </w:r>
      <w:r>
        <w:rPr>
          <w:rFonts w:ascii="Times New Roman"/>
          <w:spacing w:val="-18"/>
          <w:sz w:val="22"/>
        </w:rPr>
        <w:t> </w:t>
      </w:r>
      <w:r>
        <w:rPr>
          <w:rFonts w:ascii="Times New Roman"/>
          <w:sz w:val="22"/>
        </w:rPr>
        <w:t>proposed.</w:t>
      </w:r>
    </w:p>
    <w:p>
      <w:pPr>
        <w:pStyle w:val="ListParagraph"/>
        <w:numPr>
          <w:ilvl w:val="1"/>
          <w:numId w:val="17"/>
        </w:numPr>
        <w:tabs>
          <w:tab w:pos="932" w:val="left" w:leader="none"/>
        </w:tabs>
        <w:spacing w:line="240" w:lineRule="auto" w:before="1" w:after="0"/>
        <w:ind w:left="931" w:right="0" w:hanging="388"/>
        <w:jc w:val="left"/>
        <w:rPr>
          <w:rFonts w:ascii="Times New Roman"/>
          <w:i/>
          <w:sz w:val="22"/>
        </w:rPr>
      </w:pPr>
      <w:r>
        <w:rPr>
          <w:rFonts w:ascii="Times New Roman"/>
          <w:i/>
          <w:sz w:val="22"/>
        </w:rPr>
        <w:t>Chemometric classification</w:t>
      </w:r>
      <w:r>
        <w:rPr>
          <w:rFonts w:ascii="Times New Roman"/>
          <w:i/>
          <w:spacing w:val="-16"/>
          <w:sz w:val="22"/>
        </w:rPr>
        <w:t> </w:t>
      </w:r>
      <w:r>
        <w:rPr>
          <w:rFonts w:ascii="Times New Roman"/>
          <w:i/>
          <w:sz w:val="22"/>
        </w:rPr>
        <w:t>models.</w:t>
      </w:r>
    </w:p>
    <w:p>
      <w:pPr>
        <w:spacing w:line="240" w:lineRule="auto" w:before="1"/>
        <w:ind w:left="259" w:right="233" w:firstLine="283"/>
        <w:jc w:val="both"/>
        <w:rPr>
          <w:rFonts w:ascii="Times New Roman"/>
          <w:sz w:val="22"/>
        </w:rPr>
      </w:pPr>
      <w:r>
        <w:rPr>
          <w:rFonts w:ascii="Times New Roman"/>
          <w:sz w:val="22"/>
        </w:rPr>
        <w:t>The Linear Discriminant Analysis (LDA) [25] algorithm implemented in the STATISTICA software was used to find the best PT-LFER model. Sometimes the relationship between the input variables and the output is more complex and the linearity cannot solve the problem. Therefore, the non-linear models could provide a better solution. Thus, the Artificial Neural Network (ANNs) [31] were tested: non-linear Multi-Layer Perceptron (MLPs) [25]. The full datasets were split into training and validation subsets with a ratio of 75: 25 used for model construction and validation, respectively. All independent variables are unified and standardized with the STATISTICA software, prior to model construction.</w:t>
      </w:r>
    </w:p>
    <w:p>
      <w:pPr>
        <w:pStyle w:val="BodyText"/>
        <w:spacing w:before="4"/>
        <w:rPr>
          <w:rFonts w:ascii="Times New Roman"/>
        </w:rPr>
      </w:pPr>
    </w:p>
    <w:p>
      <w:pPr>
        <w:pStyle w:val="ListParagraph"/>
        <w:numPr>
          <w:ilvl w:val="0"/>
          <w:numId w:val="17"/>
        </w:numPr>
        <w:tabs>
          <w:tab w:pos="486" w:val="left" w:leader="none"/>
        </w:tabs>
        <w:spacing w:line="240" w:lineRule="auto" w:before="0" w:after="0"/>
        <w:ind w:left="485" w:right="0" w:hanging="226"/>
        <w:jc w:val="both"/>
        <w:rPr>
          <w:rFonts w:ascii="Times New Roman"/>
          <w:b/>
          <w:sz w:val="22"/>
        </w:rPr>
      </w:pPr>
      <w:r>
        <w:rPr>
          <w:rFonts w:ascii="Times New Roman"/>
          <w:b/>
          <w:sz w:val="24"/>
        </w:rPr>
        <w:t>RESULTS AND</w:t>
      </w:r>
      <w:r>
        <w:rPr>
          <w:rFonts w:ascii="Times New Roman"/>
          <w:b/>
          <w:spacing w:val="-14"/>
          <w:sz w:val="24"/>
        </w:rPr>
        <w:t> </w:t>
      </w:r>
      <w:r>
        <w:rPr>
          <w:rFonts w:ascii="Times New Roman"/>
          <w:b/>
          <w:sz w:val="24"/>
        </w:rPr>
        <w:t>DISCUSSION</w:t>
      </w:r>
    </w:p>
    <w:p>
      <w:pPr>
        <w:pStyle w:val="ListParagraph"/>
        <w:numPr>
          <w:ilvl w:val="1"/>
          <w:numId w:val="17"/>
        </w:numPr>
        <w:tabs>
          <w:tab w:pos="932" w:val="left" w:leader="none"/>
        </w:tabs>
        <w:spacing w:line="240" w:lineRule="auto" w:before="117" w:after="0"/>
        <w:ind w:left="931" w:right="0" w:hanging="388"/>
        <w:jc w:val="left"/>
        <w:rPr>
          <w:rFonts w:ascii="Times New Roman"/>
          <w:i/>
          <w:sz w:val="22"/>
        </w:rPr>
      </w:pPr>
      <w:r>
        <w:rPr>
          <w:rFonts w:ascii="Times New Roman"/>
          <w:i/>
          <w:sz w:val="22"/>
        </w:rPr>
        <w:t>Experimental study, catalyzed</w:t>
      </w:r>
      <w:r>
        <w:rPr>
          <w:rFonts w:ascii="Times New Roman"/>
          <w:i/>
          <w:spacing w:val="-19"/>
          <w:sz w:val="22"/>
        </w:rPr>
        <w:t> </w:t>
      </w:r>
      <w:r>
        <w:rPr>
          <w:rFonts w:ascii="Times New Roman"/>
          <w:i/>
          <w:sz w:val="22"/>
        </w:rPr>
        <w:t>methylation.</w:t>
      </w:r>
    </w:p>
    <w:p>
      <w:pPr>
        <w:spacing w:line="240" w:lineRule="auto" w:before="2"/>
        <w:ind w:left="259" w:right="238" w:firstLine="283"/>
        <w:jc w:val="both"/>
        <w:rPr>
          <w:rFonts w:ascii="Times New Roman"/>
          <w:sz w:val="22"/>
        </w:rPr>
      </w:pPr>
      <w:r>
        <w:rPr>
          <w:rFonts w:ascii="Times New Roman"/>
          <w:b/>
          <w:sz w:val="22"/>
        </w:rPr>
        <w:t>Table 1 </w:t>
      </w:r>
      <w:r>
        <w:rPr>
          <w:rFonts w:ascii="Times New Roman"/>
          <w:sz w:val="22"/>
        </w:rPr>
        <w:t>shows the results obtained in the experimental determination </w:t>
      </w:r>
      <w:r>
        <w:rPr>
          <w:rFonts w:ascii="Times New Roman"/>
          <w:spacing w:val="-3"/>
          <w:sz w:val="22"/>
        </w:rPr>
        <w:t>of </w:t>
      </w:r>
      <w:r>
        <w:rPr>
          <w:rFonts w:ascii="Times New Roman"/>
          <w:sz w:val="22"/>
        </w:rPr>
        <w:t>the values </w:t>
      </w:r>
      <w:r>
        <w:rPr>
          <w:rFonts w:ascii="Times New Roman"/>
          <w:spacing w:val="-3"/>
          <w:sz w:val="22"/>
        </w:rPr>
        <w:t>of </w:t>
      </w:r>
      <w:r>
        <w:rPr>
          <w:rFonts w:ascii="Times New Roman"/>
          <w:sz w:val="22"/>
        </w:rPr>
        <w:t>IPA (%) after different acid/base methylations. In general, the base-catalyzed methylation proceeds more rapidly under a mild temperature condition than acid-catalyzed methylation [32]. In this work, the results showed that combined base-/acid- methylation seems </w:t>
      </w:r>
      <w:r>
        <w:rPr>
          <w:rFonts w:ascii="Times New Roman"/>
          <w:spacing w:val="2"/>
          <w:sz w:val="22"/>
        </w:rPr>
        <w:t>to </w:t>
      </w:r>
      <w:r>
        <w:rPr>
          <w:rFonts w:ascii="Times New Roman"/>
          <w:sz w:val="22"/>
        </w:rPr>
        <w:t>yield higher proportions </w:t>
      </w:r>
      <w:r>
        <w:rPr>
          <w:rFonts w:ascii="Times New Roman"/>
          <w:spacing w:val="-3"/>
          <w:sz w:val="22"/>
        </w:rPr>
        <w:t>of </w:t>
      </w:r>
      <w:r>
        <w:rPr>
          <w:rFonts w:ascii="Times New Roman"/>
          <w:sz w:val="22"/>
        </w:rPr>
        <w:t>C18:3 n3, C18:3 n6, C20:2, C22:0 and C20:3 n6, unsaturated FAs, </w:t>
      </w:r>
      <w:r>
        <w:rPr>
          <w:rFonts w:ascii="Times New Roman"/>
          <w:i/>
          <w:sz w:val="22"/>
        </w:rPr>
        <w:t>odd</w:t>
      </w:r>
      <w:r>
        <w:rPr>
          <w:rFonts w:ascii="Times New Roman"/>
          <w:sz w:val="22"/>
        </w:rPr>
        <w:t>-carbon FAs, and </w:t>
      </w:r>
      <w:r>
        <w:rPr>
          <w:rFonts w:ascii="Times New Roman"/>
          <w:i/>
          <w:sz w:val="22"/>
        </w:rPr>
        <w:t>even</w:t>
      </w:r>
      <w:r>
        <w:rPr>
          <w:rFonts w:ascii="Times New Roman"/>
          <w:sz w:val="22"/>
        </w:rPr>
        <w:t>-carbon unsaturated FAs, but with lower proportions </w:t>
      </w:r>
      <w:r>
        <w:rPr>
          <w:rFonts w:ascii="Times New Roman"/>
          <w:spacing w:val="-3"/>
          <w:sz w:val="22"/>
        </w:rPr>
        <w:t>of </w:t>
      </w:r>
      <w:r>
        <w:rPr>
          <w:rFonts w:ascii="Times New Roman"/>
          <w:sz w:val="22"/>
        </w:rPr>
        <w:t>C18:0 and </w:t>
      </w:r>
      <w:r>
        <w:rPr>
          <w:rFonts w:ascii="Times New Roman"/>
          <w:i/>
          <w:sz w:val="22"/>
        </w:rPr>
        <w:t>cis</w:t>
      </w:r>
      <w:r>
        <w:rPr>
          <w:rFonts w:ascii="Times New Roman"/>
          <w:sz w:val="22"/>
        </w:rPr>
        <w:t>-FAs compared </w:t>
      </w:r>
      <w:r>
        <w:rPr>
          <w:rFonts w:ascii="Times New Roman"/>
          <w:spacing w:val="2"/>
          <w:sz w:val="22"/>
        </w:rPr>
        <w:t>to </w:t>
      </w:r>
      <w:r>
        <w:rPr>
          <w:rFonts w:ascii="Times New Roman"/>
          <w:sz w:val="22"/>
        </w:rPr>
        <w:t>base- </w:t>
      </w:r>
      <w:r>
        <w:rPr>
          <w:rFonts w:ascii="Times New Roman"/>
          <w:spacing w:val="-3"/>
          <w:sz w:val="22"/>
        </w:rPr>
        <w:t>or </w:t>
      </w:r>
      <w:r>
        <w:rPr>
          <w:rFonts w:ascii="Times New Roman"/>
          <w:sz w:val="22"/>
        </w:rPr>
        <w:t>acid- catalyzed methylation methods, respectively. It implied the base-/acid- methylation was the best methylation method </w:t>
      </w:r>
      <w:r>
        <w:rPr>
          <w:rFonts w:ascii="Times New Roman"/>
          <w:spacing w:val="2"/>
          <w:sz w:val="22"/>
        </w:rPr>
        <w:t>to </w:t>
      </w:r>
      <w:r>
        <w:rPr>
          <w:rFonts w:ascii="Times New Roman"/>
          <w:sz w:val="22"/>
        </w:rPr>
        <w:t>catalyze the free fatty acids for determining the fatty acids proportion with GC, compared to acid- and base-</w:t>
      </w:r>
      <w:r>
        <w:rPr>
          <w:rFonts w:ascii="Times New Roman"/>
          <w:spacing w:val="-18"/>
          <w:sz w:val="22"/>
        </w:rPr>
        <w:t> </w:t>
      </w:r>
      <w:r>
        <w:rPr>
          <w:rFonts w:ascii="Times New Roman"/>
          <w:sz w:val="22"/>
        </w:rPr>
        <w:t>methylation.</w:t>
      </w:r>
    </w:p>
    <w:p>
      <w:pPr>
        <w:spacing w:line="251" w:lineRule="exact" w:before="1"/>
        <w:ind w:left="292" w:right="0" w:firstLine="0"/>
        <w:jc w:val="center"/>
        <w:rPr>
          <w:rFonts w:ascii="Times New Roman"/>
          <w:b/>
          <w:sz w:val="22"/>
        </w:rPr>
      </w:pPr>
      <w:r>
        <w:rPr>
          <w:rFonts w:ascii="Times New Roman"/>
          <w:b/>
          <w:sz w:val="22"/>
        </w:rPr>
        <w:t>Table 1 comes about here</w:t>
      </w:r>
    </w:p>
    <w:p>
      <w:pPr>
        <w:pStyle w:val="ListParagraph"/>
        <w:numPr>
          <w:ilvl w:val="1"/>
          <w:numId w:val="17"/>
        </w:numPr>
        <w:tabs>
          <w:tab w:pos="932" w:val="left" w:leader="none"/>
        </w:tabs>
        <w:spacing w:line="251" w:lineRule="exact" w:before="0" w:after="0"/>
        <w:ind w:left="931" w:right="0" w:hanging="388"/>
        <w:jc w:val="left"/>
        <w:rPr>
          <w:rFonts w:ascii="Times New Roman"/>
          <w:i/>
          <w:sz w:val="22"/>
        </w:rPr>
      </w:pPr>
      <w:r>
        <w:rPr>
          <w:rFonts w:ascii="Times New Roman"/>
          <w:i/>
          <w:sz w:val="22"/>
        </w:rPr>
        <w:t>Experimental study,  LCFAs in bacteria and</w:t>
      </w:r>
      <w:r>
        <w:rPr>
          <w:rFonts w:ascii="Times New Roman"/>
          <w:i/>
          <w:spacing w:val="-17"/>
          <w:sz w:val="22"/>
        </w:rPr>
        <w:t> </w:t>
      </w:r>
      <w:r>
        <w:rPr>
          <w:rFonts w:ascii="Times New Roman"/>
          <w:i/>
          <w:sz w:val="22"/>
        </w:rPr>
        <w:t>protozoa.</w:t>
      </w:r>
    </w:p>
    <w:p>
      <w:pPr>
        <w:spacing w:line="240" w:lineRule="auto" w:before="1"/>
        <w:ind w:left="259" w:right="241" w:firstLine="283"/>
        <w:jc w:val="both"/>
        <w:rPr>
          <w:rFonts w:ascii="Times New Roman" w:hAnsi="Times New Roman"/>
          <w:b/>
          <w:sz w:val="22"/>
        </w:rPr>
      </w:pPr>
      <w:r>
        <w:rPr>
          <w:rFonts w:ascii="Times New Roman" w:hAnsi="Times New Roman"/>
          <w:sz w:val="22"/>
        </w:rPr>
        <w:t>This work was focused on the lipid metabolism and fermentation performance of ruminal microbes in addition of exogenous ω-6/ω-3 PUFAs by direct determination of the IPA (%) values of LCFA from ruminal microbe/protozoan biological membrane, including FAs from bacteria   (</w:t>
      </w:r>
      <w:r>
        <w:rPr>
          <w:rFonts w:ascii="Times New Roman" w:hAnsi="Times New Roman"/>
          <w:b/>
          <w:sz w:val="22"/>
        </w:rPr>
        <w:t>Table</w:t>
      </w:r>
    </w:p>
    <w:p>
      <w:pPr>
        <w:spacing w:line="255" w:lineRule="exact" w:before="0"/>
        <w:ind w:left="259" w:right="0" w:firstLine="0"/>
        <w:jc w:val="both"/>
        <w:rPr>
          <w:rFonts w:ascii="Times New Roman"/>
          <w:sz w:val="22"/>
        </w:rPr>
      </w:pPr>
      <w:r>
        <w:rPr>
          <w:rFonts w:ascii="Times New Roman"/>
          <w:b/>
          <w:position w:val="2"/>
          <w:sz w:val="22"/>
        </w:rPr>
        <w:t>2</w:t>
      </w:r>
      <w:r>
        <w:rPr>
          <w:rFonts w:ascii="Times New Roman"/>
          <w:position w:val="2"/>
          <w:sz w:val="22"/>
        </w:rPr>
        <w:t>) and protozoa (</w:t>
      </w:r>
      <w:r>
        <w:rPr>
          <w:rFonts w:ascii="Times New Roman"/>
          <w:b/>
          <w:position w:val="2"/>
          <w:sz w:val="22"/>
        </w:rPr>
        <w:t>Table 3</w:t>
      </w:r>
      <w:r>
        <w:rPr>
          <w:rFonts w:ascii="Times New Roman"/>
          <w:position w:val="2"/>
          <w:sz w:val="22"/>
        </w:rPr>
        <w:t>) biological membrane under different experimental conditions (c</w:t>
      </w:r>
      <w:r>
        <w:rPr>
          <w:rFonts w:ascii="Times New Roman"/>
          <w:sz w:val="14"/>
        </w:rPr>
        <w:t>j</w:t>
      </w:r>
      <w:r>
        <w:rPr>
          <w:rFonts w:ascii="Times New Roman"/>
          <w:position w:val="2"/>
          <w:sz w:val="22"/>
        </w:rPr>
        <w:t>).</w:t>
      </w:r>
    </w:p>
    <w:p>
      <w:pPr>
        <w:spacing w:line="251" w:lineRule="exact" w:before="0"/>
        <w:ind w:left="292" w:right="0" w:firstLine="0"/>
        <w:jc w:val="center"/>
        <w:rPr>
          <w:rFonts w:ascii="Times New Roman"/>
          <w:b/>
          <w:sz w:val="22"/>
        </w:rPr>
      </w:pPr>
      <w:r>
        <w:rPr>
          <w:rFonts w:ascii="Times New Roman"/>
          <w:b/>
          <w:sz w:val="22"/>
        </w:rPr>
        <w:t>Table 2 and Table 3 come from here</w:t>
      </w:r>
    </w:p>
    <w:p>
      <w:pPr>
        <w:spacing w:line="240" w:lineRule="auto" w:before="0"/>
        <w:ind w:left="259" w:right="236" w:firstLine="283"/>
        <w:jc w:val="both"/>
        <w:rPr>
          <w:rFonts w:ascii="Times New Roman" w:hAnsi="Times New Roman"/>
          <w:sz w:val="22"/>
        </w:rPr>
      </w:pPr>
      <w:r>
        <w:rPr>
          <w:rFonts w:ascii="Times New Roman" w:hAnsi="Times New Roman"/>
          <w:spacing w:val="-3"/>
          <w:sz w:val="22"/>
        </w:rPr>
        <w:t>As </w:t>
      </w:r>
      <w:r>
        <w:rPr>
          <w:rFonts w:ascii="Times New Roman" w:hAnsi="Times New Roman"/>
          <w:sz w:val="22"/>
        </w:rPr>
        <w:t>expected, the </w:t>
      </w:r>
      <w:r>
        <w:rPr>
          <w:rFonts w:ascii="Times New Roman" w:hAnsi="Times New Roman"/>
          <w:spacing w:val="3"/>
          <w:sz w:val="22"/>
        </w:rPr>
        <w:t>FA </w:t>
      </w:r>
      <w:r>
        <w:rPr>
          <w:rFonts w:ascii="Times New Roman" w:hAnsi="Times New Roman"/>
          <w:sz w:val="22"/>
        </w:rPr>
        <w:t>composition </w:t>
      </w:r>
      <w:r>
        <w:rPr>
          <w:rFonts w:ascii="Times New Roman" w:hAnsi="Times New Roman"/>
          <w:spacing w:val="-3"/>
          <w:sz w:val="22"/>
        </w:rPr>
        <w:t>of </w:t>
      </w:r>
      <w:r>
        <w:rPr>
          <w:rFonts w:ascii="Times New Roman" w:hAnsi="Times New Roman"/>
          <w:sz w:val="22"/>
        </w:rPr>
        <w:t>ruminal bacteria and protozoa biological membrane in present work were indeed changeable with the exogenous ω-6/ω-3 ratios. First </w:t>
      </w:r>
      <w:r>
        <w:rPr>
          <w:rFonts w:ascii="Times New Roman" w:hAnsi="Times New Roman"/>
          <w:spacing w:val="-3"/>
          <w:sz w:val="22"/>
        </w:rPr>
        <w:t>of </w:t>
      </w:r>
      <w:r>
        <w:rPr>
          <w:rFonts w:ascii="Times New Roman" w:hAnsi="Times New Roman"/>
          <w:sz w:val="22"/>
        </w:rPr>
        <w:t>all, </w:t>
      </w:r>
      <w:r>
        <w:rPr>
          <w:rFonts w:ascii="Times New Roman" w:hAnsi="Times New Roman"/>
          <w:i/>
          <w:sz w:val="22"/>
        </w:rPr>
        <w:t>cis</w:t>
      </w:r>
      <w:r>
        <w:rPr>
          <w:rFonts w:ascii="Times New Roman" w:hAnsi="Times New Roman"/>
          <w:sz w:val="22"/>
        </w:rPr>
        <w:t>-FA increased</w:t>
      </w:r>
      <w:r>
        <w:rPr>
          <w:rFonts w:ascii="Times New Roman" w:hAnsi="Times New Roman"/>
          <w:spacing w:val="-6"/>
          <w:sz w:val="22"/>
        </w:rPr>
        <w:t> </w:t>
      </w:r>
      <w:r>
        <w:rPr>
          <w:rFonts w:ascii="Times New Roman" w:hAnsi="Times New Roman"/>
          <w:sz w:val="22"/>
        </w:rPr>
        <w:t>with</w:t>
      </w:r>
      <w:r>
        <w:rPr>
          <w:rFonts w:ascii="Times New Roman" w:hAnsi="Times New Roman"/>
          <w:spacing w:val="-6"/>
          <w:sz w:val="22"/>
        </w:rPr>
        <w:t> </w:t>
      </w:r>
      <w:r>
        <w:rPr>
          <w:rFonts w:ascii="Times New Roman" w:hAnsi="Times New Roman"/>
          <w:sz w:val="22"/>
        </w:rPr>
        <w:t>exogenous</w:t>
      </w:r>
      <w:r>
        <w:rPr>
          <w:rFonts w:ascii="Times New Roman" w:hAnsi="Times New Roman"/>
          <w:spacing w:val="-3"/>
          <w:sz w:val="22"/>
        </w:rPr>
        <w:t> </w:t>
      </w:r>
      <w:r>
        <w:rPr>
          <w:rFonts w:ascii="Times New Roman" w:hAnsi="Times New Roman"/>
          <w:sz w:val="22"/>
        </w:rPr>
        <w:t>ω-3</w:t>
      </w:r>
      <w:r>
        <w:rPr>
          <w:rFonts w:ascii="Times New Roman" w:hAnsi="Times New Roman"/>
          <w:spacing w:val="-19"/>
          <w:sz w:val="22"/>
        </w:rPr>
        <w:t> </w:t>
      </w:r>
      <w:r>
        <w:rPr>
          <w:rFonts w:ascii="Times New Roman" w:hAnsi="Times New Roman"/>
          <w:sz w:val="22"/>
        </w:rPr>
        <w:t>PUFA, whereas</w:t>
      </w:r>
      <w:r>
        <w:rPr>
          <w:rFonts w:ascii="Times New Roman" w:hAnsi="Times New Roman"/>
          <w:spacing w:val="-4"/>
          <w:sz w:val="22"/>
        </w:rPr>
        <w:t> </w:t>
      </w:r>
      <w:r>
        <w:rPr>
          <w:rFonts w:ascii="Times New Roman" w:hAnsi="Times New Roman"/>
          <w:i/>
          <w:sz w:val="22"/>
        </w:rPr>
        <w:t>trans</w:t>
      </w:r>
      <w:r>
        <w:rPr>
          <w:rFonts w:ascii="Times New Roman" w:hAnsi="Times New Roman"/>
          <w:sz w:val="22"/>
        </w:rPr>
        <w:t>-FAs</w:t>
      </w:r>
      <w:r>
        <w:rPr>
          <w:rFonts w:ascii="Times New Roman" w:hAnsi="Times New Roman"/>
          <w:spacing w:val="-1"/>
          <w:sz w:val="22"/>
        </w:rPr>
        <w:t> </w:t>
      </w:r>
      <w:r>
        <w:rPr>
          <w:rFonts w:ascii="Times New Roman" w:hAnsi="Times New Roman"/>
          <w:sz w:val="22"/>
        </w:rPr>
        <w:t>decreased</w:t>
      </w:r>
      <w:r>
        <w:rPr>
          <w:rFonts w:ascii="Times New Roman" w:hAnsi="Times New Roman"/>
          <w:spacing w:val="-6"/>
          <w:sz w:val="22"/>
        </w:rPr>
        <w:t> </w:t>
      </w:r>
      <w:r>
        <w:rPr>
          <w:rFonts w:ascii="Times New Roman" w:hAnsi="Times New Roman"/>
          <w:sz w:val="22"/>
        </w:rPr>
        <w:t>in</w:t>
      </w:r>
      <w:r>
        <w:rPr>
          <w:rFonts w:ascii="Times New Roman" w:hAnsi="Times New Roman"/>
          <w:spacing w:val="-6"/>
          <w:sz w:val="22"/>
        </w:rPr>
        <w:t> </w:t>
      </w:r>
      <w:r>
        <w:rPr>
          <w:rFonts w:ascii="Times New Roman" w:hAnsi="Times New Roman"/>
          <w:sz w:val="22"/>
        </w:rPr>
        <w:t>bacteria</w:t>
      </w:r>
      <w:r>
        <w:rPr>
          <w:rFonts w:ascii="Times New Roman" w:hAnsi="Times New Roman"/>
          <w:spacing w:val="-3"/>
          <w:sz w:val="22"/>
        </w:rPr>
        <w:t> </w:t>
      </w:r>
      <w:r>
        <w:rPr>
          <w:rFonts w:ascii="Times New Roman" w:hAnsi="Times New Roman"/>
          <w:sz w:val="22"/>
        </w:rPr>
        <w:t>biological</w:t>
      </w:r>
      <w:r>
        <w:rPr>
          <w:rFonts w:ascii="Times New Roman" w:hAnsi="Times New Roman"/>
          <w:spacing w:val="-5"/>
          <w:sz w:val="22"/>
        </w:rPr>
        <w:t> </w:t>
      </w:r>
      <w:r>
        <w:rPr>
          <w:rFonts w:ascii="Times New Roman" w:hAnsi="Times New Roman"/>
          <w:sz w:val="22"/>
        </w:rPr>
        <w:t>phase.</w:t>
      </w:r>
      <w:r>
        <w:rPr>
          <w:rFonts w:ascii="Times New Roman" w:hAnsi="Times New Roman"/>
          <w:spacing w:val="-4"/>
          <w:sz w:val="22"/>
        </w:rPr>
        <w:t> </w:t>
      </w:r>
      <w:r>
        <w:rPr>
          <w:rFonts w:ascii="Times New Roman" w:hAnsi="Times New Roman"/>
          <w:sz w:val="22"/>
        </w:rPr>
        <w:t>For example, </w:t>
      </w:r>
      <w:r>
        <w:rPr>
          <w:rFonts w:ascii="Times New Roman" w:hAnsi="Times New Roman"/>
          <w:i/>
          <w:sz w:val="22"/>
        </w:rPr>
        <w:t>cis- </w:t>
      </w:r>
      <w:r>
        <w:rPr>
          <w:rFonts w:ascii="Times New Roman" w:hAnsi="Times New Roman"/>
          <w:sz w:val="22"/>
        </w:rPr>
        <w:t>fatty acids in ω-6/ω-3 = 20:80 was 1.76 times (bacterial phase)/1.60 </w:t>
      </w:r>
      <w:r>
        <w:rPr>
          <w:rFonts w:ascii="Times New Roman" w:hAnsi="Times New Roman"/>
          <w:spacing w:val="-3"/>
          <w:sz w:val="22"/>
        </w:rPr>
        <w:t>times </w:t>
      </w:r>
      <w:r>
        <w:rPr>
          <w:rFonts w:ascii="Times New Roman" w:hAnsi="Times New Roman"/>
          <w:sz w:val="22"/>
        </w:rPr>
        <w:t>(protozoan phase) than that in ω-6/ω-3 = 20:80; and </w:t>
      </w:r>
      <w:r>
        <w:rPr>
          <w:rFonts w:ascii="Times New Roman" w:hAnsi="Times New Roman"/>
          <w:i/>
          <w:sz w:val="22"/>
        </w:rPr>
        <w:t>trans- </w:t>
      </w:r>
      <w:r>
        <w:rPr>
          <w:rFonts w:ascii="Times New Roman" w:hAnsi="Times New Roman"/>
          <w:sz w:val="22"/>
        </w:rPr>
        <w:t>fatty acids in ω-6/ω-3 = 100:0 was 1.24 times (bacterial phase)/0.98 time (protozoan phase) than that in ω-6/ω-3 = 20:80. Thus, </w:t>
      </w:r>
      <w:r>
        <w:rPr>
          <w:rFonts w:ascii="Times New Roman" w:hAnsi="Times New Roman"/>
          <w:i/>
          <w:sz w:val="22"/>
        </w:rPr>
        <w:t>cis-</w:t>
      </w:r>
      <w:r>
        <w:rPr>
          <w:rFonts w:ascii="Times New Roman" w:hAnsi="Times New Roman"/>
          <w:sz w:val="22"/>
        </w:rPr>
        <w:t>/</w:t>
      </w:r>
      <w:r>
        <w:rPr>
          <w:rFonts w:ascii="Times New Roman" w:hAnsi="Times New Roman"/>
          <w:i/>
          <w:sz w:val="22"/>
        </w:rPr>
        <w:t>trans- </w:t>
      </w:r>
      <w:r>
        <w:rPr>
          <w:rFonts w:ascii="Times New Roman" w:hAnsi="Times New Roman"/>
          <w:sz w:val="22"/>
        </w:rPr>
        <w:t>FA ratios were decreasing with exogenous ω-3 PUFA. It </w:t>
      </w:r>
      <w:r>
        <w:rPr>
          <w:rFonts w:ascii="Times New Roman" w:hAnsi="Times New Roman"/>
          <w:spacing w:val="-3"/>
          <w:sz w:val="22"/>
        </w:rPr>
        <w:t>means </w:t>
      </w:r>
      <w:r>
        <w:rPr>
          <w:rFonts w:ascii="Times New Roman" w:hAnsi="Times New Roman"/>
          <w:sz w:val="22"/>
        </w:rPr>
        <w:t>exogenous PUFAs are degraded </w:t>
      </w:r>
      <w:r>
        <w:rPr>
          <w:rFonts w:ascii="Times New Roman" w:hAnsi="Times New Roman"/>
          <w:spacing w:val="5"/>
          <w:sz w:val="22"/>
        </w:rPr>
        <w:t>by </w:t>
      </w:r>
      <w:r>
        <w:rPr>
          <w:rFonts w:ascii="Times New Roman" w:hAnsi="Times New Roman"/>
          <w:sz w:val="22"/>
        </w:rPr>
        <w:t>ruminal microorganisms, </w:t>
      </w:r>
      <w:r>
        <w:rPr>
          <w:rFonts w:ascii="Times New Roman" w:hAnsi="Times New Roman"/>
          <w:spacing w:val="-3"/>
          <w:sz w:val="22"/>
        </w:rPr>
        <w:t>or </w:t>
      </w:r>
      <w:r>
        <w:rPr>
          <w:rFonts w:ascii="Times New Roman" w:hAnsi="Times New Roman"/>
          <w:sz w:val="22"/>
        </w:rPr>
        <w:t>have more complex metabolism processes </w:t>
      </w:r>
      <w:r>
        <w:rPr>
          <w:rFonts w:ascii="Times New Roman" w:hAnsi="Times New Roman"/>
          <w:spacing w:val="2"/>
          <w:sz w:val="22"/>
        </w:rPr>
        <w:t>to </w:t>
      </w:r>
      <w:r>
        <w:rPr>
          <w:rFonts w:ascii="Times New Roman" w:hAnsi="Times New Roman"/>
          <w:sz w:val="22"/>
        </w:rPr>
        <w:t>produce the intermediate metabolism with both </w:t>
      </w:r>
      <w:r>
        <w:rPr>
          <w:rFonts w:ascii="Times New Roman" w:hAnsi="Times New Roman"/>
          <w:spacing w:val="-3"/>
          <w:sz w:val="22"/>
        </w:rPr>
        <w:t>of </w:t>
      </w:r>
      <w:r>
        <w:rPr>
          <w:rFonts w:ascii="Times New Roman" w:hAnsi="Times New Roman"/>
          <w:i/>
          <w:sz w:val="22"/>
        </w:rPr>
        <w:t>cis</w:t>
      </w:r>
      <w:r>
        <w:rPr>
          <w:rFonts w:ascii="Times New Roman" w:hAnsi="Times New Roman"/>
          <w:sz w:val="22"/>
        </w:rPr>
        <w:t>- and </w:t>
      </w:r>
      <w:r>
        <w:rPr>
          <w:rFonts w:ascii="Times New Roman" w:hAnsi="Times New Roman"/>
          <w:i/>
          <w:sz w:val="22"/>
        </w:rPr>
        <w:t>trans</w:t>
      </w:r>
      <w:r>
        <w:rPr>
          <w:rFonts w:ascii="Times New Roman" w:hAnsi="Times New Roman"/>
          <w:sz w:val="22"/>
        </w:rPr>
        <w:t>- unsaturated FAs formulation. The bio-hydrogenation </w:t>
      </w:r>
      <w:r>
        <w:rPr>
          <w:rFonts w:ascii="Times New Roman" w:hAnsi="Times New Roman"/>
          <w:spacing w:val="-3"/>
          <w:sz w:val="22"/>
        </w:rPr>
        <w:t>of </w:t>
      </w:r>
      <w:r>
        <w:rPr>
          <w:rFonts w:ascii="Times New Roman" w:hAnsi="Times New Roman"/>
          <w:sz w:val="22"/>
        </w:rPr>
        <w:t>linoleic acid (LA, </w:t>
      </w:r>
      <w:r>
        <w:rPr>
          <w:rFonts w:ascii="Times New Roman" w:hAnsi="Times New Roman"/>
          <w:i/>
          <w:sz w:val="22"/>
        </w:rPr>
        <w:t>cis </w:t>
      </w:r>
      <w:r>
        <w:rPr>
          <w:rFonts w:ascii="Times New Roman" w:hAnsi="Times New Roman"/>
          <w:sz w:val="22"/>
        </w:rPr>
        <w:t>9, </w:t>
      </w:r>
      <w:r>
        <w:rPr>
          <w:rFonts w:ascii="Times New Roman" w:hAnsi="Times New Roman"/>
          <w:i/>
          <w:sz w:val="22"/>
        </w:rPr>
        <w:t>cis </w:t>
      </w:r>
      <w:r>
        <w:rPr>
          <w:rFonts w:ascii="Times New Roman" w:hAnsi="Times New Roman"/>
          <w:sz w:val="22"/>
        </w:rPr>
        <w:t>12- C18:2) in rumen is isomerized </w:t>
      </w:r>
      <w:r>
        <w:rPr>
          <w:rFonts w:ascii="Times New Roman" w:hAnsi="Times New Roman"/>
          <w:spacing w:val="2"/>
          <w:sz w:val="22"/>
        </w:rPr>
        <w:t>to </w:t>
      </w:r>
      <w:r>
        <w:rPr>
          <w:rFonts w:ascii="Times New Roman" w:hAnsi="Times New Roman"/>
          <w:i/>
          <w:sz w:val="22"/>
        </w:rPr>
        <w:t>cis </w:t>
      </w:r>
      <w:r>
        <w:rPr>
          <w:rFonts w:ascii="Times New Roman" w:hAnsi="Times New Roman"/>
          <w:sz w:val="22"/>
        </w:rPr>
        <w:t>9, </w:t>
      </w:r>
      <w:r>
        <w:rPr>
          <w:rFonts w:ascii="Times New Roman" w:hAnsi="Times New Roman"/>
          <w:i/>
          <w:sz w:val="22"/>
        </w:rPr>
        <w:t>trans </w:t>
      </w:r>
      <w:r>
        <w:rPr>
          <w:rFonts w:ascii="Times New Roman" w:hAnsi="Times New Roman"/>
          <w:sz w:val="22"/>
        </w:rPr>
        <w:t>11- C18:2 </w:t>
      </w:r>
      <w:r>
        <w:rPr>
          <w:rFonts w:ascii="Times New Roman" w:hAnsi="Times New Roman"/>
          <w:spacing w:val="-3"/>
          <w:sz w:val="22"/>
        </w:rPr>
        <w:t>isomer </w:t>
      </w:r>
      <w:r>
        <w:rPr>
          <w:rFonts w:ascii="Times New Roman" w:hAnsi="Times New Roman"/>
          <w:sz w:val="22"/>
        </w:rPr>
        <w:t>(conjugated linoleic acid, CLA), conversion of this </w:t>
      </w:r>
      <w:r>
        <w:rPr>
          <w:rFonts w:ascii="Times New Roman" w:hAnsi="Times New Roman"/>
          <w:spacing w:val="-3"/>
          <w:sz w:val="22"/>
        </w:rPr>
        <w:t>isomer </w:t>
      </w:r>
      <w:r>
        <w:rPr>
          <w:rFonts w:ascii="Times New Roman" w:hAnsi="Times New Roman"/>
          <w:sz w:val="22"/>
        </w:rPr>
        <w:t>to </w:t>
      </w:r>
      <w:r>
        <w:rPr>
          <w:rFonts w:ascii="Times New Roman" w:hAnsi="Times New Roman"/>
          <w:i/>
          <w:sz w:val="22"/>
        </w:rPr>
        <w:t>trans </w:t>
      </w:r>
      <w:r>
        <w:rPr>
          <w:rFonts w:ascii="Times New Roman" w:hAnsi="Times New Roman"/>
          <w:sz w:val="22"/>
        </w:rPr>
        <w:t>11- C18:1 (vaccenic acid), and reduction </w:t>
      </w:r>
      <w:r>
        <w:rPr>
          <w:rFonts w:ascii="Times New Roman" w:hAnsi="Times New Roman"/>
          <w:spacing w:val="2"/>
          <w:sz w:val="22"/>
        </w:rPr>
        <w:t>to </w:t>
      </w:r>
      <w:r>
        <w:rPr>
          <w:rFonts w:ascii="Times New Roman" w:hAnsi="Times New Roman"/>
          <w:sz w:val="22"/>
        </w:rPr>
        <w:t>stearic acid (C18:0) [33]. Whereas the bio-hydrogenation </w:t>
      </w:r>
      <w:r>
        <w:rPr>
          <w:rFonts w:ascii="Times New Roman" w:hAnsi="Times New Roman"/>
          <w:spacing w:val="-3"/>
          <w:sz w:val="22"/>
        </w:rPr>
        <w:t>of </w:t>
      </w:r>
      <w:r>
        <w:rPr>
          <w:rFonts w:ascii="Times New Roman" w:hAnsi="Times New Roman"/>
          <w:sz w:val="22"/>
        </w:rPr>
        <w:t>α-linolenic acid (ALA) is characterized by isomerization </w:t>
      </w:r>
      <w:r>
        <w:rPr>
          <w:rFonts w:ascii="Times New Roman" w:hAnsi="Times New Roman"/>
          <w:spacing w:val="2"/>
          <w:sz w:val="22"/>
        </w:rPr>
        <w:t>to </w:t>
      </w:r>
      <w:r>
        <w:rPr>
          <w:rFonts w:ascii="Times New Roman" w:hAnsi="Times New Roman"/>
          <w:sz w:val="22"/>
        </w:rPr>
        <w:t>9, 11, 15- </w:t>
      </w:r>
      <w:r>
        <w:rPr>
          <w:rFonts w:ascii="Times New Roman" w:hAnsi="Times New Roman"/>
          <w:i/>
          <w:sz w:val="22"/>
        </w:rPr>
        <w:t>cis, trans, cis</w:t>
      </w:r>
      <w:r>
        <w:rPr>
          <w:rFonts w:ascii="Times New Roman" w:hAnsi="Times New Roman"/>
          <w:sz w:val="22"/>
        </w:rPr>
        <w:t>- C18:3 isomer and subsequent reduction via </w:t>
      </w:r>
      <w:r>
        <w:rPr>
          <w:rFonts w:ascii="Times New Roman" w:hAnsi="Times New Roman"/>
          <w:i/>
          <w:sz w:val="22"/>
        </w:rPr>
        <w:t>cis-</w:t>
      </w:r>
      <w:r>
        <w:rPr>
          <w:rFonts w:ascii="Times New Roman" w:hAnsi="Times New Roman"/>
          <w:sz w:val="22"/>
        </w:rPr>
        <w:t>, </w:t>
      </w:r>
      <w:r>
        <w:rPr>
          <w:rFonts w:ascii="Times New Roman" w:hAnsi="Times New Roman"/>
          <w:i/>
          <w:sz w:val="22"/>
        </w:rPr>
        <w:t>trans- </w:t>
      </w:r>
      <w:r>
        <w:rPr>
          <w:rFonts w:ascii="Times New Roman" w:hAnsi="Times New Roman"/>
          <w:sz w:val="22"/>
        </w:rPr>
        <w:t>isomers C18:2, C18:1 and then </w:t>
      </w:r>
      <w:r>
        <w:rPr>
          <w:rFonts w:ascii="Times New Roman" w:hAnsi="Times New Roman"/>
          <w:spacing w:val="2"/>
          <w:sz w:val="22"/>
        </w:rPr>
        <w:t>to </w:t>
      </w:r>
      <w:r>
        <w:rPr>
          <w:rFonts w:ascii="Times New Roman" w:hAnsi="Times New Roman"/>
          <w:sz w:val="22"/>
        </w:rPr>
        <w:t>stearic acid [34]. However, ω-3 PUFA could produce more </w:t>
      </w:r>
      <w:r>
        <w:rPr>
          <w:rFonts w:ascii="Times New Roman" w:hAnsi="Times New Roman"/>
          <w:i/>
          <w:sz w:val="22"/>
        </w:rPr>
        <w:t>cis- </w:t>
      </w:r>
      <w:r>
        <w:rPr>
          <w:rFonts w:ascii="Times New Roman" w:hAnsi="Times New Roman"/>
          <w:sz w:val="22"/>
        </w:rPr>
        <w:t>FAs compared to ω-6</w:t>
      </w:r>
      <w:r>
        <w:rPr>
          <w:rFonts w:ascii="Times New Roman" w:hAnsi="Times New Roman"/>
          <w:spacing w:val="-40"/>
          <w:sz w:val="22"/>
        </w:rPr>
        <w:t> </w:t>
      </w:r>
      <w:r>
        <w:rPr>
          <w:rFonts w:ascii="Times New Roman" w:hAnsi="Times New Roman"/>
          <w:sz w:val="22"/>
        </w:rPr>
        <w:t>on both </w:t>
      </w:r>
      <w:r>
        <w:rPr>
          <w:rFonts w:ascii="Times New Roman" w:hAnsi="Times New Roman"/>
          <w:spacing w:val="-3"/>
          <w:sz w:val="22"/>
        </w:rPr>
        <w:t>of </w:t>
      </w:r>
      <w:r>
        <w:rPr>
          <w:rFonts w:ascii="Times New Roman" w:hAnsi="Times New Roman"/>
          <w:sz w:val="22"/>
        </w:rPr>
        <w:t>bacteria and protozoa phases.</w:t>
      </w:r>
    </w:p>
    <w:p>
      <w:pPr>
        <w:spacing w:line="250" w:lineRule="exact" w:before="7"/>
        <w:ind w:left="259" w:right="244" w:firstLine="283"/>
        <w:jc w:val="both"/>
        <w:rPr>
          <w:rFonts w:ascii="Times New Roman"/>
          <w:sz w:val="22"/>
        </w:rPr>
      </w:pPr>
      <w:r>
        <w:rPr>
          <w:rFonts w:ascii="Times New Roman"/>
          <w:sz w:val="22"/>
        </w:rPr>
        <w:t>Secondly, the main FA composition in both bacterial and protozoan membrane. The IPA values of palmitic acid (C16:0) and stearic acid (C18:0) in bacterial phase were 18.7% and 57.8%, whereas</w:t>
      </w:r>
    </w:p>
    <w:p>
      <w:pPr>
        <w:spacing w:after="0" w:line="250" w:lineRule="exact"/>
        <w:jc w:val="both"/>
        <w:rPr>
          <w:rFonts w:ascii="Times New Roman"/>
          <w:sz w:val="22"/>
        </w:rPr>
        <w:sectPr>
          <w:pgSz w:w="12240" w:h="15840"/>
          <w:pgMar w:header="684" w:footer="1184" w:top="1380" w:bottom="1380" w:left="1440" w:right="1460"/>
        </w:sectPr>
      </w:pPr>
    </w:p>
    <w:p>
      <w:pPr>
        <w:pStyle w:val="BodyText"/>
        <w:spacing w:before="10"/>
        <w:rPr>
          <w:rFonts w:ascii="Times New Roman"/>
          <w:sz w:val="14"/>
        </w:rPr>
      </w:pPr>
    </w:p>
    <w:p>
      <w:pPr>
        <w:spacing w:line="240" w:lineRule="auto" w:before="72"/>
        <w:ind w:left="259" w:right="235" w:firstLine="0"/>
        <w:jc w:val="both"/>
        <w:rPr>
          <w:rFonts w:ascii="Times New Roman" w:hAnsi="Times New Roman"/>
          <w:sz w:val="22"/>
        </w:rPr>
      </w:pPr>
      <w:r>
        <w:rPr>
          <w:rFonts w:ascii="Times New Roman" w:hAnsi="Times New Roman"/>
          <w:sz w:val="22"/>
        </w:rPr>
        <w:t>these in protozoan phase were 13.3% and 67.5%, respectively. The exogenous ω-6/ω-3 ratios have no significant influence on these two fatty acids in both bacterial and protozoan phases. However, the minor deviation of lipid composition such as the ratios of palmitic/stearic acid or unsaturated/saturated FA on bacterial and protozoan biological membrane, might trigger a great difference in the function of membranes of bacteria and protozoan (</w:t>
      </w:r>
      <w:r>
        <w:rPr>
          <w:rFonts w:ascii="Times New Roman" w:hAnsi="Times New Roman"/>
          <w:i/>
          <w:sz w:val="22"/>
        </w:rPr>
        <w:t>e.g.</w:t>
      </w:r>
      <w:r>
        <w:rPr>
          <w:rFonts w:ascii="Times New Roman" w:hAnsi="Times New Roman"/>
          <w:sz w:val="22"/>
        </w:rPr>
        <w:t>, membrane fluidity, hydrophobicity, stability and permeability)[35, 36], or further in the associated functional groups such as specific peptide, enzymes, or channels </w:t>
      </w:r>
      <w:r>
        <w:rPr>
          <w:rFonts w:ascii="Times New Roman" w:hAnsi="Times New Roman"/>
          <w:i/>
          <w:sz w:val="22"/>
        </w:rPr>
        <w:t>etc</w:t>
      </w:r>
      <w:r>
        <w:rPr>
          <w:rFonts w:ascii="Times New Roman" w:hAnsi="Times New Roman"/>
          <w:sz w:val="22"/>
        </w:rPr>
        <w:t>. [37, 38]. In addition, C18:0 in protozoa membrane is higher than that in bacteria membrane.</w:t>
      </w:r>
    </w:p>
    <w:p>
      <w:pPr>
        <w:spacing w:line="240" w:lineRule="auto" w:before="1"/>
        <w:ind w:left="259" w:right="240" w:firstLine="283"/>
        <w:jc w:val="both"/>
        <w:rPr>
          <w:rFonts w:ascii="Times New Roman" w:hAnsi="Times New Roman"/>
          <w:sz w:val="22"/>
        </w:rPr>
      </w:pPr>
      <w:r>
        <w:rPr>
          <w:rFonts w:ascii="Times New Roman" w:hAnsi="Times New Roman"/>
          <w:sz w:val="22"/>
        </w:rPr>
        <w:t>Thirdly, </w:t>
      </w:r>
      <w:r>
        <w:rPr>
          <w:rFonts w:ascii="Times New Roman" w:hAnsi="Times New Roman"/>
          <w:i/>
          <w:sz w:val="22"/>
        </w:rPr>
        <w:t>even</w:t>
      </w:r>
      <w:r>
        <w:rPr>
          <w:rFonts w:ascii="Times New Roman" w:hAnsi="Times New Roman"/>
          <w:sz w:val="22"/>
        </w:rPr>
        <w:t>-carbon saturated FA in ω-6/ω-3 = 100:0 and ω-6/ω-3 = 20:80 were 85.1% and 81.7% in the protozoan phase, whereas </w:t>
      </w:r>
      <w:r>
        <w:rPr>
          <w:rFonts w:ascii="Times New Roman" w:hAnsi="Times New Roman"/>
          <w:i/>
          <w:sz w:val="22"/>
        </w:rPr>
        <w:t>even</w:t>
      </w:r>
      <w:r>
        <w:rPr>
          <w:rFonts w:ascii="Times New Roman" w:hAnsi="Times New Roman"/>
          <w:sz w:val="22"/>
        </w:rPr>
        <w:t>-carbon unsaturated FA in these treatments were 13.0% and 15.8%, respectively (</w:t>
      </w:r>
      <w:r>
        <w:rPr>
          <w:rFonts w:ascii="Times New Roman" w:hAnsi="Times New Roman"/>
          <w:b/>
          <w:sz w:val="22"/>
        </w:rPr>
        <w:t>Table 3</w:t>
      </w:r>
      <w:r>
        <w:rPr>
          <w:rFonts w:ascii="Times New Roman" w:hAnsi="Times New Roman"/>
          <w:sz w:val="22"/>
        </w:rPr>
        <w:t>). Herein, the highest value of </w:t>
      </w:r>
      <w:r>
        <w:rPr>
          <w:rFonts w:ascii="Times New Roman" w:hAnsi="Times New Roman"/>
          <w:i/>
          <w:sz w:val="22"/>
        </w:rPr>
        <w:t>even</w:t>
      </w:r>
      <w:r>
        <w:rPr>
          <w:rFonts w:ascii="Times New Roman" w:hAnsi="Times New Roman"/>
          <w:sz w:val="22"/>
        </w:rPr>
        <w:t>-carbon unsaturated FA existed in the treatment of ω-6/ω-3 = 20:80, this phenomenon also appeared in the bacterial phase, which means that, a high amount of ω-3 PUFAs has a tendency to increase </w:t>
      </w:r>
      <w:r>
        <w:rPr>
          <w:rFonts w:ascii="Times New Roman" w:hAnsi="Times New Roman"/>
          <w:i/>
          <w:sz w:val="22"/>
        </w:rPr>
        <w:t>even</w:t>
      </w:r>
      <w:r>
        <w:rPr>
          <w:rFonts w:ascii="Times New Roman" w:hAnsi="Times New Roman"/>
          <w:sz w:val="22"/>
        </w:rPr>
        <w:t>-carbon unsaturated FAs compared to ω-6 PUFAs. An interesting thing is that linolelaidic acid (C18:2 n6</w:t>
      </w:r>
      <w:r>
        <w:rPr>
          <w:rFonts w:ascii="Times New Roman" w:hAnsi="Times New Roman"/>
          <w:i/>
          <w:sz w:val="22"/>
        </w:rPr>
        <w:t>t</w:t>
      </w:r>
      <w:r>
        <w:rPr>
          <w:rFonts w:ascii="Times New Roman" w:hAnsi="Times New Roman"/>
          <w:sz w:val="22"/>
        </w:rPr>
        <w:t>) proportion in ω- 6/ω-3 = 100:0 was a little higher than other treatments in bacterial phase, whereas a higher proportion existed in protozoan phase when ω-6/ω-3 = 20:80. This might be due to the biohydrogenation of PUFAs (linoleic and linolenic acid in present work) resulting in the accumulation of </w:t>
      </w:r>
      <w:r>
        <w:rPr>
          <w:rFonts w:ascii="Times New Roman" w:hAnsi="Times New Roman"/>
          <w:i/>
          <w:sz w:val="22"/>
        </w:rPr>
        <w:t>trans </w:t>
      </w:r>
      <w:r>
        <w:rPr>
          <w:rFonts w:ascii="Times New Roman" w:hAnsi="Times New Roman"/>
          <w:sz w:val="22"/>
        </w:rPr>
        <w:t>FA and stearic acid in biological membrane [39].</w:t>
      </w:r>
    </w:p>
    <w:p>
      <w:pPr>
        <w:pStyle w:val="ListParagraph"/>
        <w:numPr>
          <w:ilvl w:val="1"/>
          <w:numId w:val="17"/>
        </w:numPr>
        <w:tabs>
          <w:tab w:pos="932" w:val="left" w:leader="none"/>
        </w:tabs>
        <w:spacing w:line="240" w:lineRule="auto" w:before="1" w:after="0"/>
        <w:ind w:left="931" w:right="0" w:hanging="388"/>
        <w:jc w:val="left"/>
        <w:rPr>
          <w:rFonts w:ascii="Times New Roman"/>
          <w:i/>
          <w:sz w:val="22"/>
        </w:rPr>
      </w:pPr>
      <w:r>
        <w:rPr>
          <w:rFonts w:ascii="Times New Roman"/>
          <w:i/>
          <w:sz w:val="22"/>
        </w:rPr>
        <w:t>Experimental study, </w:t>
      </w:r>
      <w:r>
        <w:rPr>
          <w:rFonts w:ascii="Times New Roman"/>
          <w:i/>
          <w:spacing w:val="-4"/>
          <w:sz w:val="22"/>
        </w:rPr>
        <w:t>VFA</w:t>
      </w:r>
      <w:r>
        <w:rPr>
          <w:rFonts w:ascii="Times New Roman"/>
          <w:i/>
          <w:spacing w:val="-1"/>
          <w:sz w:val="22"/>
        </w:rPr>
        <w:t> </w:t>
      </w:r>
      <w:r>
        <w:rPr>
          <w:rFonts w:ascii="Times New Roman"/>
          <w:i/>
          <w:sz w:val="22"/>
        </w:rPr>
        <w:t>profiles.</w:t>
      </w:r>
    </w:p>
    <w:p>
      <w:pPr>
        <w:spacing w:line="240" w:lineRule="auto" w:before="1"/>
        <w:ind w:left="259" w:right="235" w:firstLine="283"/>
        <w:jc w:val="both"/>
        <w:rPr>
          <w:rFonts w:ascii="Times New Roman" w:hAnsi="Times New Roman"/>
          <w:sz w:val="22"/>
        </w:rPr>
      </w:pPr>
      <w:r>
        <w:rPr>
          <w:rFonts w:ascii="Times New Roman" w:hAnsi="Times New Roman"/>
          <w:sz w:val="22"/>
        </w:rPr>
        <w:t>Volatile fatty acids (VFAs) are widely regarded as secondary metabolites to reflect the hydrogenation metabolism </w:t>
      </w:r>
      <w:r>
        <w:rPr>
          <w:rFonts w:ascii="Times New Roman" w:hAnsi="Times New Roman"/>
          <w:spacing w:val="-3"/>
          <w:sz w:val="22"/>
        </w:rPr>
        <w:t>of </w:t>
      </w:r>
      <w:r>
        <w:rPr>
          <w:rFonts w:ascii="Times New Roman" w:hAnsi="Times New Roman"/>
          <w:sz w:val="22"/>
        </w:rPr>
        <w:t>lipids, microbial degradation enzyme activity, and the lifecycle </w:t>
      </w:r>
      <w:r>
        <w:rPr>
          <w:rFonts w:ascii="Times New Roman" w:hAnsi="Times New Roman"/>
          <w:spacing w:val="-3"/>
          <w:sz w:val="22"/>
        </w:rPr>
        <w:t>of </w:t>
      </w:r>
      <w:r>
        <w:rPr>
          <w:rFonts w:ascii="Times New Roman" w:hAnsi="Times New Roman"/>
          <w:sz w:val="22"/>
        </w:rPr>
        <w:t>microbial organism in the rumen micro-ecological niche [40, 41]. For the new model dataset, the </w:t>
      </w:r>
      <w:r>
        <w:rPr>
          <w:rFonts w:ascii="Times New Roman" w:hAnsi="Times New Roman"/>
          <w:position w:val="2"/>
          <w:sz w:val="22"/>
        </w:rPr>
        <w:t>IPA(%) was calculated as a part </w:t>
      </w:r>
      <w:r>
        <w:rPr>
          <w:rFonts w:ascii="Times New Roman" w:hAnsi="Times New Roman"/>
          <w:spacing w:val="-3"/>
          <w:position w:val="2"/>
          <w:sz w:val="22"/>
        </w:rPr>
        <w:t>of </w:t>
      </w:r>
      <w:r>
        <w:rPr>
          <w:rFonts w:ascii="Times New Roman" w:hAnsi="Times New Roman"/>
          <w:position w:val="2"/>
          <w:sz w:val="22"/>
        </w:rPr>
        <w:t>f(ɛ</w:t>
      </w:r>
      <w:r>
        <w:rPr>
          <w:rFonts w:ascii="Times New Roman" w:hAnsi="Times New Roman"/>
          <w:sz w:val="14"/>
        </w:rPr>
        <w:t>ij</w:t>
      </w:r>
      <w:r>
        <w:rPr>
          <w:rFonts w:ascii="Times New Roman" w:hAnsi="Times New Roman"/>
          <w:position w:val="2"/>
          <w:sz w:val="22"/>
        </w:rPr>
        <w:t>) inserted into the model construction. In this study, the peak </w:t>
      </w:r>
      <w:r>
        <w:rPr>
          <w:rFonts w:ascii="Times New Roman" w:hAnsi="Times New Roman"/>
          <w:sz w:val="22"/>
        </w:rPr>
        <w:t>area (PA) </w:t>
      </w:r>
      <w:r>
        <w:rPr>
          <w:rFonts w:ascii="Times New Roman" w:hAnsi="Times New Roman"/>
          <w:spacing w:val="-3"/>
          <w:sz w:val="22"/>
        </w:rPr>
        <w:t>of </w:t>
      </w:r>
      <w:r>
        <w:rPr>
          <w:rFonts w:ascii="Times New Roman" w:hAnsi="Times New Roman"/>
          <w:sz w:val="22"/>
        </w:rPr>
        <w:t>VFA was determined in each sample to calculate the internal peak area at 48 h fermentation (</w:t>
      </w:r>
      <w:r>
        <w:rPr>
          <w:rFonts w:ascii="Times New Roman" w:hAnsi="Times New Roman"/>
          <w:b/>
          <w:sz w:val="22"/>
        </w:rPr>
        <w:t>Table 4</w:t>
      </w:r>
      <w:r>
        <w:rPr>
          <w:rFonts w:ascii="Times New Roman" w:hAnsi="Times New Roman"/>
          <w:sz w:val="22"/>
        </w:rPr>
        <w:t>). The acetic, propionic and butyric acids are among the </w:t>
      </w:r>
      <w:r>
        <w:rPr>
          <w:rFonts w:ascii="Times New Roman" w:hAnsi="Times New Roman"/>
          <w:spacing w:val="-3"/>
          <w:sz w:val="22"/>
        </w:rPr>
        <w:t>major </w:t>
      </w:r>
      <w:r>
        <w:rPr>
          <w:rFonts w:ascii="Times New Roman" w:hAnsi="Times New Roman"/>
          <w:sz w:val="22"/>
        </w:rPr>
        <w:t>VFAs, with proportions </w:t>
      </w:r>
      <w:r>
        <w:rPr>
          <w:rFonts w:ascii="Times New Roman" w:hAnsi="Times New Roman"/>
          <w:spacing w:val="-3"/>
          <w:sz w:val="22"/>
        </w:rPr>
        <w:t>of </w:t>
      </w:r>
      <w:r>
        <w:rPr>
          <w:rFonts w:ascii="Times New Roman" w:hAnsi="Times New Roman"/>
          <w:sz w:val="22"/>
        </w:rPr>
        <w:t>43.6%, 23.1% and 19.2%, respectively. Meanwhile, the residue VFAs, including isobutyric, isovaleric </w:t>
      </w:r>
      <w:r>
        <w:rPr>
          <w:rFonts w:ascii="Times New Roman" w:hAnsi="Times New Roman"/>
          <w:spacing w:val="2"/>
          <w:sz w:val="22"/>
        </w:rPr>
        <w:t>and </w:t>
      </w:r>
      <w:r>
        <w:rPr>
          <w:rFonts w:ascii="Times New Roman" w:hAnsi="Times New Roman"/>
          <w:sz w:val="22"/>
        </w:rPr>
        <w:t>valeric acid had a total proportion </w:t>
      </w:r>
      <w:r>
        <w:rPr>
          <w:rFonts w:ascii="Times New Roman" w:hAnsi="Times New Roman"/>
          <w:spacing w:val="-3"/>
          <w:sz w:val="22"/>
        </w:rPr>
        <w:t>of </w:t>
      </w:r>
      <w:r>
        <w:rPr>
          <w:rFonts w:ascii="Times New Roman" w:hAnsi="Times New Roman"/>
          <w:sz w:val="22"/>
        </w:rPr>
        <w:t>14.1%. It is noteworthy that </w:t>
      </w:r>
      <w:r>
        <w:rPr>
          <w:rFonts w:ascii="Times New Roman" w:hAnsi="Times New Roman"/>
          <w:spacing w:val="2"/>
          <w:sz w:val="22"/>
        </w:rPr>
        <w:t>there </w:t>
      </w:r>
      <w:r>
        <w:rPr>
          <w:rFonts w:ascii="Times New Roman" w:hAnsi="Times New Roman"/>
          <w:sz w:val="22"/>
        </w:rPr>
        <w:t>was no significant difference among the different exogenous ω-6/ω-3 PUFAs ratios supplementation. However, this study is focused on the proportion peak areas </w:t>
      </w:r>
      <w:r>
        <w:rPr>
          <w:rFonts w:ascii="Times New Roman" w:hAnsi="Times New Roman"/>
          <w:spacing w:val="-3"/>
          <w:sz w:val="22"/>
        </w:rPr>
        <w:t>of </w:t>
      </w:r>
      <w:r>
        <w:rPr>
          <w:rFonts w:ascii="Times New Roman" w:hAnsi="Times New Roman"/>
          <w:sz w:val="22"/>
        </w:rPr>
        <w:t>VFA on the same sample </w:t>
      </w:r>
      <w:r>
        <w:rPr>
          <w:rFonts w:ascii="Times New Roman" w:hAnsi="Times New Roman"/>
          <w:spacing w:val="-3"/>
          <w:sz w:val="22"/>
        </w:rPr>
        <w:t>or </w:t>
      </w:r>
      <w:r>
        <w:rPr>
          <w:rFonts w:ascii="Times New Roman" w:hAnsi="Times New Roman"/>
          <w:sz w:val="22"/>
        </w:rPr>
        <w:t>treatment. It can be concluded that acetic acid had a </w:t>
      </w:r>
      <w:r>
        <w:rPr>
          <w:rFonts w:ascii="Times New Roman" w:hAnsi="Times New Roman"/>
          <w:spacing w:val="-3"/>
          <w:sz w:val="22"/>
        </w:rPr>
        <w:t>minor </w:t>
      </w:r>
      <w:r>
        <w:rPr>
          <w:rFonts w:ascii="Times New Roman" w:hAnsi="Times New Roman"/>
          <w:sz w:val="22"/>
        </w:rPr>
        <w:t>decrease, whereas propionic acid had a slight increase, with an increasing proportion </w:t>
      </w:r>
      <w:r>
        <w:rPr>
          <w:rFonts w:ascii="Times New Roman" w:hAnsi="Times New Roman"/>
          <w:spacing w:val="-3"/>
          <w:sz w:val="22"/>
        </w:rPr>
        <w:t>of </w:t>
      </w:r>
      <w:r>
        <w:rPr>
          <w:rFonts w:ascii="Times New Roman" w:hAnsi="Times New Roman"/>
          <w:sz w:val="22"/>
        </w:rPr>
        <w:t>ω-3 PUFAs in the total supplementation exogenous PUFAs. Even if both acetic acid and propionic acid changed a little in terms </w:t>
      </w:r>
      <w:r>
        <w:rPr>
          <w:rFonts w:ascii="Times New Roman" w:hAnsi="Times New Roman"/>
          <w:spacing w:val="-3"/>
          <w:sz w:val="22"/>
        </w:rPr>
        <w:t>of </w:t>
      </w:r>
      <w:r>
        <w:rPr>
          <w:rFonts w:ascii="Times New Roman" w:hAnsi="Times New Roman"/>
          <w:sz w:val="22"/>
        </w:rPr>
        <w:t>different proportion of ω-6 and ω-3 PUFAs in a total </w:t>
      </w:r>
      <w:r>
        <w:rPr>
          <w:rFonts w:ascii="Times New Roman" w:hAnsi="Times New Roman"/>
          <w:spacing w:val="-3"/>
          <w:sz w:val="22"/>
        </w:rPr>
        <w:t>of </w:t>
      </w:r>
      <w:r>
        <w:rPr>
          <w:rFonts w:ascii="Times New Roman" w:hAnsi="Times New Roman"/>
          <w:sz w:val="22"/>
        </w:rPr>
        <w:t>100 mg/g substrate, the ratio of acetic and propionic acid was regularly decreased, increasing proportion </w:t>
      </w:r>
      <w:r>
        <w:rPr>
          <w:rFonts w:ascii="Times New Roman" w:hAnsi="Times New Roman"/>
          <w:spacing w:val="-3"/>
          <w:sz w:val="22"/>
        </w:rPr>
        <w:t>of </w:t>
      </w:r>
      <w:r>
        <w:rPr>
          <w:rFonts w:ascii="Times New Roman" w:hAnsi="Times New Roman"/>
          <w:sz w:val="22"/>
        </w:rPr>
        <w:t>ω-3 PUFAs with an average </w:t>
      </w:r>
      <w:r>
        <w:rPr>
          <w:rFonts w:ascii="Times New Roman" w:hAnsi="Times New Roman"/>
          <w:spacing w:val="-3"/>
          <w:sz w:val="22"/>
        </w:rPr>
        <w:t>of</w:t>
      </w:r>
      <w:r>
        <w:rPr>
          <w:rFonts w:ascii="Times New Roman" w:hAnsi="Times New Roman"/>
          <w:spacing w:val="-13"/>
          <w:sz w:val="22"/>
        </w:rPr>
        <w:t> </w:t>
      </w:r>
      <w:r>
        <w:rPr>
          <w:rFonts w:ascii="Times New Roman" w:hAnsi="Times New Roman"/>
          <w:sz w:val="22"/>
        </w:rPr>
        <w:t>1.89.</w:t>
      </w:r>
    </w:p>
    <w:p>
      <w:pPr>
        <w:spacing w:line="251" w:lineRule="exact" w:before="6"/>
        <w:ind w:left="292" w:right="0" w:firstLine="0"/>
        <w:jc w:val="center"/>
        <w:rPr>
          <w:rFonts w:ascii="Times New Roman"/>
          <w:b/>
          <w:sz w:val="22"/>
        </w:rPr>
      </w:pPr>
      <w:r>
        <w:rPr>
          <w:rFonts w:ascii="Times New Roman"/>
          <w:b/>
          <w:sz w:val="22"/>
        </w:rPr>
        <w:t>Table 4 comes about here</w:t>
      </w:r>
    </w:p>
    <w:p>
      <w:pPr>
        <w:pStyle w:val="ListParagraph"/>
        <w:numPr>
          <w:ilvl w:val="1"/>
          <w:numId w:val="17"/>
        </w:numPr>
        <w:tabs>
          <w:tab w:pos="932" w:val="left" w:leader="none"/>
        </w:tabs>
        <w:spacing w:line="251" w:lineRule="exact" w:before="0" w:after="0"/>
        <w:ind w:left="931" w:right="0" w:hanging="388"/>
        <w:jc w:val="left"/>
        <w:rPr>
          <w:rFonts w:ascii="Times New Roman"/>
          <w:i/>
          <w:sz w:val="22"/>
        </w:rPr>
      </w:pPr>
      <w:r>
        <w:rPr>
          <w:rFonts w:ascii="Times New Roman"/>
          <w:i/>
          <w:sz w:val="22"/>
        </w:rPr>
        <w:t>Data generated for the PT-LFER</w:t>
      </w:r>
      <w:r>
        <w:rPr>
          <w:rFonts w:ascii="Times New Roman"/>
          <w:i/>
          <w:spacing w:val="-13"/>
          <w:sz w:val="22"/>
        </w:rPr>
        <w:t> </w:t>
      </w:r>
      <w:r>
        <w:rPr>
          <w:rFonts w:ascii="Times New Roman"/>
          <w:i/>
          <w:sz w:val="22"/>
        </w:rPr>
        <w:t>study.</w:t>
      </w:r>
    </w:p>
    <w:p>
      <w:pPr>
        <w:spacing w:line="240" w:lineRule="auto" w:before="2"/>
        <w:ind w:left="259" w:right="238" w:firstLine="283"/>
        <w:jc w:val="both"/>
        <w:rPr>
          <w:rFonts w:ascii="Times New Roman" w:hAnsi="Times New Roman"/>
          <w:sz w:val="22"/>
        </w:rPr>
      </w:pPr>
      <w:r>
        <w:rPr>
          <w:rFonts w:ascii="Times New Roman" w:hAnsi="Times New Roman"/>
          <w:sz w:val="22"/>
        </w:rPr>
        <w:t>The PT-LFER model developed combined the information </w:t>
      </w:r>
      <w:r>
        <w:rPr>
          <w:rFonts w:ascii="Times New Roman" w:hAnsi="Times New Roman"/>
          <w:spacing w:val="-3"/>
          <w:sz w:val="22"/>
        </w:rPr>
        <w:t>of </w:t>
      </w:r>
      <w:r>
        <w:rPr>
          <w:rFonts w:ascii="Times New Roman" w:hAnsi="Times New Roman"/>
          <w:sz w:val="22"/>
        </w:rPr>
        <w:t>two </w:t>
      </w:r>
      <w:r>
        <w:rPr>
          <w:rFonts w:ascii="Times New Roman" w:hAnsi="Times New Roman"/>
          <w:i/>
          <w:sz w:val="22"/>
        </w:rPr>
        <w:t>in vitro </w:t>
      </w:r>
      <w:r>
        <w:rPr>
          <w:rFonts w:ascii="Times New Roman" w:hAnsi="Times New Roman"/>
          <w:sz w:val="22"/>
        </w:rPr>
        <w:t>fermentation studies (methane production and FA distribution). It includes methane production levels, pH values, gas pressure, and fermentation temperature after supply </w:t>
      </w:r>
      <w:r>
        <w:rPr>
          <w:rFonts w:ascii="Times New Roman" w:hAnsi="Times New Roman"/>
          <w:spacing w:val="-3"/>
          <w:sz w:val="22"/>
        </w:rPr>
        <w:t>of </w:t>
      </w:r>
      <w:r>
        <w:rPr>
          <w:rFonts w:ascii="Times New Roman" w:hAnsi="Times New Roman"/>
          <w:sz w:val="22"/>
        </w:rPr>
        <w:t>different ratios of ω-6/ω-3 PUFAs. </w:t>
      </w:r>
      <w:r>
        <w:rPr>
          <w:rFonts w:ascii="Times New Roman" w:hAnsi="Times New Roman"/>
          <w:b/>
          <w:sz w:val="22"/>
        </w:rPr>
        <w:t>Table 10 </w:t>
      </w:r>
      <w:r>
        <w:rPr>
          <w:rFonts w:ascii="Times New Roman" w:hAnsi="Times New Roman"/>
          <w:position w:val="2"/>
          <w:sz w:val="22"/>
        </w:rPr>
        <w:t>showed the changeable </w:t>
      </w:r>
      <w:r>
        <w:rPr>
          <w:rFonts w:ascii="Times New Roman" w:hAnsi="Times New Roman"/>
          <w:spacing w:val="-3"/>
          <w:position w:val="2"/>
          <w:sz w:val="22"/>
        </w:rPr>
        <w:t>of </w:t>
      </w:r>
      <w:r>
        <w:rPr>
          <w:rFonts w:ascii="Times New Roman" w:hAnsi="Times New Roman"/>
          <w:position w:val="2"/>
          <w:sz w:val="22"/>
        </w:rPr>
        <w:t>CH</w:t>
      </w:r>
      <w:r>
        <w:rPr>
          <w:rFonts w:ascii="Times New Roman" w:hAnsi="Times New Roman"/>
          <w:sz w:val="14"/>
        </w:rPr>
        <w:t>4</w:t>
      </w:r>
      <w:r>
        <w:rPr>
          <w:rFonts w:ascii="Times New Roman" w:hAnsi="Times New Roman"/>
          <w:position w:val="2"/>
          <w:sz w:val="22"/>
        </w:rPr>
        <w:t>, pH values and a part dataset </w:t>
      </w:r>
      <w:r>
        <w:rPr>
          <w:rFonts w:ascii="Times New Roman" w:hAnsi="Times New Roman"/>
          <w:spacing w:val="-3"/>
          <w:position w:val="2"/>
          <w:sz w:val="22"/>
        </w:rPr>
        <w:t>of </w:t>
      </w:r>
      <w:r>
        <w:rPr>
          <w:rFonts w:ascii="Times New Roman" w:hAnsi="Times New Roman"/>
          <w:position w:val="2"/>
          <w:sz w:val="22"/>
        </w:rPr>
        <w:t>gas pressure </w:t>
      </w:r>
      <w:r>
        <w:rPr>
          <w:rFonts w:ascii="Times New Roman" w:hAnsi="Times New Roman"/>
          <w:spacing w:val="2"/>
          <w:position w:val="2"/>
          <w:sz w:val="22"/>
        </w:rPr>
        <w:t>and </w:t>
      </w:r>
      <w:r>
        <w:rPr>
          <w:rFonts w:ascii="Times New Roman" w:hAnsi="Times New Roman"/>
          <w:position w:val="2"/>
          <w:sz w:val="22"/>
        </w:rPr>
        <w:t>temperature during </w:t>
      </w:r>
      <w:r>
        <w:rPr>
          <w:rFonts w:ascii="Times New Roman" w:hAnsi="Times New Roman"/>
          <w:sz w:val="22"/>
        </w:rPr>
        <w:t>the fermentation process, after treated with different ratios </w:t>
      </w:r>
      <w:r>
        <w:rPr>
          <w:rFonts w:ascii="Times New Roman" w:hAnsi="Times New Roman"/>
          <w:spacing w:val="-3"/>
          <w:sz w:val="22"/>
        </w:rPr>
        <w:t>of </w:t>
      </w:r>
      <w:r>
        <w:rPr>
          <w:rFonts w:ascii="Times New Roman" w:hAnsi="Times New Roman"/>
          <w:sz w:val="22"/>
        </w:rPr>
        <w:t>ω-6/ω-3 PUFAs. All the eigenvalues, </w:t>
      </w:r>
      <w:r>
        <w:rPr>
          <w:rFonts w:ascii="Times New Roman" w:hAnsi="Times New Roman"/>
          <w:position w:val="2"/>
          <w:sz w:val="22"/>
        </w:rPr>
        <w:t>the difference (∆Ω) and logistic eigenvalue </w:t>
      </w:r>
      <w:r>
        <w:rPr>
          <w:rFonts w:ascii="Times New Roman" w:hAnsi="Times New Roman"/>
          <w:spacing w:val="-3"/>
          <w:position w:val="2"/>
          <w:sz w:val="22"/>
        </w:rPr>
        <w:t>of </w:t>
      </w:r>
      <w:r>
        <w:rPr>
          <w:rFonts w:ascii="Times New Roman" w:hAnsi="Times New Roman"/>
          <w:position w:val="2"/>
          <w:sz w:val="22"/>
        </w:rPr>
        <w:t>difference (log(|∆Ω|)) </w:t>
      </w:r>
      <w:r>
        <w:rPr>
          <w:rFonts w:ascii="Times New Roman" w:hAnsi="Times New Roman"/>
          <w:spacing w:val="-3"/>
          <w:position w:val="2"/>
          <w:sz w:val="22"/>
        </w:rPr>
        <w:t>of </w:t>
      </w:r>
      <w:r>
        <w:rPr>
          <w:rFonts w:ascii="Times New Roman" w:hAnsi="Times New Roman"/>
          <w:position w:val="2"/>
          <w:sz w:val="22"/>
        </w:rPr>
        <w:t>CH</w:t>
      </w:r>
      <w:r>
        <w:rPr>
          <w:rFonts w:ascii="Times New Roman" w:hAnsi="Times New Roman"/>
          <w:sz w:val="14"/>
        </w:rPr>
        <w:t>4</w:t>
      </w:r>
      <w:r>
        <w:rPr>
          <w:rFonts w:ascii="Times New Roman" w:hAnsi="Times New Roman"/>
          <w:position w:val="2"/>
          <w:sz w:val="22"/>
        </w:rPr>
        <w:t>, pH value, gas pressure </w:t>
      </w:r>
      <w:r>
        <w:rPr>
          <w:rFonts w:ascii="Times New Roman" w:hAnsi="Times New Roman"/>
          <w:sz w:val="22"/>
        </w:rPr>
        <w:t>and temperature in initial/ reference </w:t>
      </w:r>
      <w:r>
        <w:rPr>
          <w:rFonts w:ascii="Times New Roman" w:hAnsi="Times New Roman"/>
          <w:spacing w:val="-3"/>
          <w:sz w:val="22"/>
        </w:rPr>
        <w:t>or </w:t>
      </w:r>
      <w:r>
        <w:rPr>
          <w:rFonts w:ascii="Times New Roman" w:hAnsi="Times New Roman"/>
          <w:sz w:val="22"/>
        </w:rPr>
        <w:t>final/ new state were calculated. Methane production at 48 h was significantly decreased with supplementation </w:t>
      </w:r>
      <w:r>
        <w:rPr>
          <w:rFonts w:ascii="Times New Roman" w:hAnsi="Times New Roman"/>
          <w:spacing w:val="-3"/>
          <w:sz w:val="22"/>
        </w:rPr>
        <w:t>of </w:t>
      </w:r>
      <w:r>
        <w:rPr>
          <w:rFonts w:ascii="Times New Roman" w:hAnsi="Times New Roman"/>
          <w:sz w:val="22"/>
        </w:rPr>
        <w:t>exogenous ω-6/ω-3 PUFAs, control (108.81 mM/g in substrate) </w:t>
      </w:r>
      <w:r>
        <w:rPr>
          <w:rFonts w:ascii="Times New Roman" w:hAnsi="Times New Roman"/>
          <w:i/>
          <w:sz w:val="22"/>
        </w:rPr>
        <w:t>vs. </w:t>
      </w:r>
      <w:r>
        <w:rPr>
          <w:rFonts w:ascii="Times New Roman" w:hAnsi="Times New Roman"/>
          <w:sz w:val="22"/>
        </w:rPr>
        <w:t>average eigenvalues of different ratios </w:t>
      </w:r>
      <w:r>
        <w:rPr>
          <w:rFonts w:ascii="Times New Roman" w:hAnsi="Times New Roman"/>
          <w:spacing w:val="-3"/>
          <w:sz w:val="22"/>
        </w:rPr>
        <w:t>of </w:t>
      </w:r>
      <w:r>
        <w:rPr>
          <w:rFonts w:ascii="Times New Roman" w:hAnsi="Times New Roman"/>
          <w:sz w:val="22"/>
        </w:rPr>
        <w:t>ω-6/ω-3 PUFAs (79.19 mM/g). It  is interesting to notice that methane production was lower in treatment </w:t>
      </w:r>
      <w:r>
        <w:rPr>
          <w:rFonts w:ascii="Times New Roman" w:hAnsi="Times New Roman"/>
          <w:spacing w:val="-3"/>
          <w:sz w:val="22"/>
        </w:rPr>
        <w:t>of </w:t>
      </w:r>
      <w:r>
        <w:rPr>
          <w:rFonts w:ascii="Times New Roman" w:hAnsi="Times New Roman"/>
          <w:sz w:val="22"/>
        </w:rPr>
        <w:t>high level </w:t>
      </w:r>
      <w:r>
        <w:rPr>
          <w:rFonts w:ascii="Times New Roman" w:hAnsi="Times New Roman"/>
          <w:spacing w:val="-3"/>
          <w:sz w:val="22"/>
        </w:rPr>
        <w:t>of </w:t>
      </w:r>
      <w:r>
        <w:rPr>
          <w:rFonts w:ascii="Times New Roman" w:hAnsi="Times New Roman"/>
          <w:sz w:val="22"/>
        </w:rPr>
        <w:t>ω-3 PUFAs (ω-6/ω-3 = 20:80) than other treatments supply of different ratios </w:t>
      </w:r>
      <w:r>
        <w:rPr>
          <w:rFonts w:ascii="Times New Roman" w:hAnsi="Times New Roman"/>
          <w:spacing w:val="-3"/>
          <w:sz w:val="22"/>
        </w:rPr>
        <w:t>of </w:t>
      </w:r>
      <w:r>
        <w:rPr>
          <w:rFonts w:ascii="Times New Roman" w:hAnsi="Times New Roman"/>
          <w:sz w:val="22"/>
        </w:rPr>
        <w:t>ω-6/ω-3 PUFAs and control. It implied that </w:t>
      </w:r>
      <w:r>
        <w:rPr>
          <w:rFonts w:ascii="Times New Roman" w:hAnsi="Times New Roman"/>
          <w:spacing w:val="-3"/>
          <w:sz w:val="22"/>
        </w:rPr>
        <w:t>omega </w:t>
      </w:r>
      <w:r>
        <w:rPr>
          <w:rFonts w:ascii="Times New Roman" w:hAnsi="Times New Roman"/>
          <w:sz w:val="22"/>
        </w:rPr>
        <w:t>3 fatty acids might have more strong ability to inhibit methanogenesis process compared to </w:t>
      </w:r>
      <w:r>
        <w:rPr>
          <w:rFonts w:ascii="Times New Roman" w:hAnsi="Times New Roman"/>
          <w:spacing w:val="-3"/>
          <w:sz w:val="22"/>
        </w:rPr>
        <w:t>omega </w:t>
      </w:r>
      <w:r>
        <w:rPr>
          <w:rFonts w:ascii="Times New Roman" w:hAnsi="Times New Roman"/>
          <w:sz w:val="22"/>
        </w:rPr>
        <w:t>6 fatty acids. This is consistent with the previous works [42]. In present study, the gas pressure and fermentation temperature were measured with detectors </w:t>
      </w:r>
      <w:r>
        <w:rPr>
          <w:rFonts w:ascii="Times New Roman" w:hAnsi="Times New Roman"/>
          <w:spacing w:val="-3"/>
          <w:sz w:val="22"/>
        </w:rPr>
        <w:t>of ANKOM   </w:t>
      </w:r>
      <w:r>
        <w:rPr>
          <w:rFonts w:ascii="Times New Roman" w:hAnsi="Times New Roman"/>
          <w:spacing w:val="32"/>
          <w:sz w:val="22"/>
        </w:rPr>
        <w:t> </w:t>
      </w:r>
      <w:r>
        <w:rPr>
          <w:rFonts w:ascii="Times New Roman" w:hAnsi="Times New Roman"/>
          <w:sz w:val="22"/>
        </w:rPr>
        <w:t>in every</w:t>
      </w:r>
    </w:p>
    <w:p>
      <w:pPr>
        <w:spacing w:after="0" w:line="240" w:lineRule="auto"/>
        <w:jc w:val="both"/>
        <w:rPr>
          <w:rFonts w:ascii="Times New Roman" w:hAnsi="Times New Roman"/>
          <w:sz w:val="22"/>
        </w:rPr>
        <w:sectPr>
          <w:pgSz w:w="12240" w:h="15840"/>
          <w:pgMar w:header="684" w:footer="1184" w:top="1380" w:bottom="1380" w:left="1440" w:right="1460"/>
        </w:sectPr>
      </w:pPr>
    </w:p>
    <w:p>
      <w:pPr>
        <w:pStyle w:val="BodyText"/>
        <w:spacing w:before="10"/>
        <w:rPr>
          <w:rFonts w:ascii="Times New Roman"/>
          <w:sz w:val="14"/>
        </w:rPr>
      </w:pPr>
    </w:p>
    <w:p>
      <w:pPr>
        <w:spacing w:before="72"/>
        <w:ind w:left="259" w:right="248" w:firstLine="0"/>
        <w:jc w:val="left"/>
        <w:rPr>
          <w:rFonts w:ascii="Times New Roman" w:hAnsi="Times New Roman"/>
          <w:sz w:val="22"/>
        </w:rPr>
      </w:pPr>
      <w:r>
        <w:rPr>
          <w:rFonts w:ascii="Times New Roman" w:hAnsi="Times New Roman"/>
          <w:sz w:val="22"/>
        </w:rPr>
        <w:t>15 min during 72 h. All dataset of gas pressure and temperature was published online by Liu and Buendía-Rodríguez </w:t>
      </w:r>
      <w:r>
        <w:rPr>
          <w:rFonts w:ascii="Times New Roman" w:hAnsi="Times New Roman"/>
          <w:sz w:val="24"/>
        </w:rPr>
        <w:t>[43]</w:t>
      </w:r>
      <w:r>
        <w:rPr>
          <w:rFonts w:ascii="Times New Roman" w:hAnsi="Times New Roman"/>
          <w:sz w:val="18"/>
        </w:rPr>
        <w:t>, </w:t>
      </w:r>
      <w:r>
        <w:rPr>
          <w:rFonts w:ascii="Times New Roman" w:hAnsi="Times New Roman"/>
          <w:sz w:val="22"/>
        </w:rPr>
        <w:t>however, only some fermentation time points were shown in </w:t>
      </w:r>
      <w:r>
        <w:rPr>
          <w:rFonts w:ascii="Times New Roman" w:hAnsi="Times New Roman"/>
          <w:b/>
          <w:sz w:val="22"/>
        </w:rPr>
        <w:t>Table 5</w:t>
      </w:r>
      <w:r>
        <w:rPr>
          <w:rFonts w:ascii="Times New Roman" w:hAnsi="Times New Roman"/>
          <w:sz w:val="22"/>
        </w:rPr>
        <w:t>.</w:t>
      </w:r>
    </w:p>
    <w:p>
      <w:pPr>
        <w:spacing w:line="252" w:lineRule="exact" w:before="2"/>
        <w:ind w:left="292" w:right="0" w:firstLine="0"/>
        <w:jc w:val="center"/>
        <w:rPr>
          <w:rFonts w:ascii="Times New Roman"/>
          <w:b/>
          <w:sz w:val="22"/>
        </w:rPr>
      </w:pPr>
      <w:r>
        <w:rPr>
          <w:rFonts w:ascii="Times New Roman"/>
          <w:b/>
          <w:sz w:val="22"/>
        </w:rPr>
        <w:t>Table 5 comes about here</w:t>
      </w:r>
    </w:p>
    <w:p>
      <w:pPr>
        <w:pStyle w:val="ListParagraph"/>
        <w:numPr>
          <w:ilvl w:val="1"/>
          <w:numId w:val="17"/>
        </w:numPr>
        <w:tabs>
          <w:tab w:pos="932" w:val="left" w:leader="none"/>
        </w:tabs>
        <w:spacing w:line="252" w:lineRule="exact" w:before="0" w:after="0"/>
        <w:ind w:left="931" w:right="0" w:hanging="388"/>
        <w:jc w:val="left"/>
        <w:rPr>
          <w:rFonts w:ascii="Times New Roman"/>
          <w:i/>
          <w:sz w:val="22"/>
        </w:rPr>
      </w:pPr>
      <w:r>
        <w:rPr>
          <w:rFonts w:ascii="Times New Roman"/>
          <w:i/>
          <w:sz w:val="22"/>
        </w:rPr>
        <w:t>Chemometric PT-LFER model </w:t>
      </w:r>
      <w:r>
        <w:rPr>
          <w:rFonts w:ascii="Times New Roman"/>
          <w:i/>
          <w:spacing w:val="-3"/>
          <w:sz w:val="22"/>
        </w:rPr>
        <w:t>of </w:t>
      </w:r>
      <w:r>
        <w:rPr>
          <w:rFonts w:ascii="Times New Roman"/>
          <w:i/>
          <w:sz w:val="22"/>
        </w:rPr>
        <w:t>methane production and fatty acid</w:t>
      </w:r>
      <w:r>
        <w:rPr>
          <w:rFonts w:ascii="Times New Roman"/>
          <w:i/>
          <w:spacing w:val="-17"/>
          <w:sz w:val="22"/>
        </w:rPr>
        <w:t> </w:t>
      </w:r>
      <w:r>
        <w:rPr>
          <w:rFonts w:ascii="Times New Roman"/>
          <w:i/>
          <w:sz w:val="22"/>
        </w:rPr>
        <w:t>distribution.</w:t>
      </w:r>
    </w:p>
    <w:p>
      <w:pPr>
        <w:spacing w:line="232" w:lineRule="auto" w:before="7"/>
        <w:ind w:left="259" w:right="238" w:firstLine="283"/>
        <w:jc w:val="both"/>
        <w:rPr>
          <w:rFonts w:ascii="Times New Roman" w:hAnsi="Times New Roman"/>
          <w:sz w:val="22"/>
        </w:rPr>
      </w:pPr>
      <w:r>
        <w:rPr>
          <w:rFonts w:ascii="Times New Roman" w:hAnsi="Times New Roman"/>
          <w:sz w:val="22"/>
        </w:rPr>
        <w:t>A new model was developed based both on the dataset from ruminal fermentation performance, including fatty acid composition in different phase of fermentation (LCFAs of bacterial and protozoan phase, VFAs of fermentation media), gas pressure, pH values, methane production, </w:t>
      </w:r>
      <w:r>
        <w:rPr>
          <w:rFonts w:ascii="Times New Roman" w:hAnsi="Times New Roman"/>
          <w:position w:val="2"/>
          <w:sz w:val="22"/>
        </w:rPr>
        <w:t>fermentation temperature and ω-6/ω-3 ratios, and the chemical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of each </w:t>
      </w:r>
      <w:r>
        <w:rPr>
          <w:rFonts w:ascii="Times New Roman" w:hAnsi="Times New Roman"/>
          <w:sz w:val="22"/>
        </w:rPr>
        <w:t>fatty acid molecular structure. The details of input variables (more than 80 variables in all) were shown in </w:t>
      </w:r>
      <w:r>
        <w:rPr>
          <w:rFonts w:ascii="Times New Roman" w:hAnsi="Times New Roman"/>
          <w:b/>
          <w:sz w:val="22"/>
        </w:rPr>
        <w:t>Table 6</w:t>
      </w:r>
      <w:r>
        <w:rPr>
          <w:rFonts w:ascii="Times New Roman" w:hAnsi="Times New Roman"/>
          <w:sz w:val="22"/>
        </w:rPr>
        <w:t>. The difference (∆</w:t>
      </w:r>
      <w:r>
        <w:rPr>
          <w:rFonts w:ascii="Times New Roman" w:hAnsi="Times New Roman"/>
          <w:sz w:val="18"/>
        </w:rPr>
        <w:t>Ω</w:t>
      </w:r>
      <w:r>
        <w:rPr>
          <w:rFonts w:ascii="Times New Roman" w:hAnsi="Times New Roman"/>
          <w:sz w:val="22"/>
        </w:rPr>
        <w:t>) and logistic absolute values of difference (log(|∆Ω|)) of first </w:t>
      </w:r>
      <w:r>
        <w:rPr>
          <w:rFonts w:ascii="Times New Roman" w:hAnsi="Times New Roman"/>
          <w:position w:val="2"/>
          <w:sz w:val="22"/>
        </w:rPr>
        <w:t>class of dataset, including gas pressure P(psi), pH(72h), CH</w:t>
      </w:r>
      <w:r>
        <w:rPr>
          <w:rFonts w:ascii="Times New Roman" w:hAnsi="Times New Roman"/>
          <w:sz w:val="14"/>
        </w:rPr>
        <w:t>4</w:t>
      </w:r>
      <w:r>
        <w:rPr>
          <w:rFonts w:ascii="Times New Roman" w:hAnsi="Times New Roman"/>
          <w:position w:val="2"/>
          <w:sz w:val="22"/>
        </w:rPr>
        <w:t>, T, ω-6 and ω-3, were calculated as a set of input variables. On the other hand,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moving averages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and PT operators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in addition of the square of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 new</w:t>
      </w:r>
      <w:r>
        <w:rPr>
          <w:rFonts w:ascii="Times New Roman" w:hAnsi="Times New Roman"/>
          <w:position w:val="2"/>
          <w:sz w:val="22"/>
        </w:rPr>
        <w:t>)</w:t>
      </w:r>
      <w:r>
        <w:rPr>
          <w:rFonts w:ascii="Times New Roman" w:hAnsi="Times New Roman"/>
          <w:position w:val="11"/>
          <w:sz w:val="14"/>
        </w:rPr>
        <w:t>2 </w:t>
      </w:r>
      <w:r>
        <w:rPr>
          <w:rFonts w:ascii="Times New Roman" w:hAnsi="Times New Roman"/>
          <w:position w:val="2"/>
          <w:sz w:val="22"/>
        </w:rPr>
        <w:t>and  PT operators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6</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w:t>
      </w:r>
      <w:r>
        <w:rPr>
          <w:rFonts w:ascii="Times New Roman" w:hAnsi="Times New Roman"/>
          <w:position w:val="11"/>
          <w:sz w:val="14"/>
        </w:rPr>
        <w:t>2 </w:t>
      </w:r>
      <w:r>
        <w:rPr>
          <w:rFonts w:ascii="Times New Roman" w:hAnsi="Times New Roman"/>
          <w:position w:val="2"/>
          <w:sz w:val="22"/>
        </w:rPr>
        <w:t>of each fatty acid on the initial and final states were also taken into account.</w:t>
      </w:r>
    </w:p>
    <w:p>
      <w:pPr>
        <w:spacing w:line="251" w:lineRule="exact" w:before="5"/>
        <w:ind w:left="292" w:right="0" w:firstLine="0"/>
        <w:jc w:val="center"/>
        <w:rPr>
          <w:rFonts w:ascii="Times New Roman"/>
          <w:b/>
          <w:sz w:val="22"/>
        </w:rPr>
      </w:pPr>
      <w:r>
        <w:rPr>
          <w:rFonts w:ascii="Times New Roman"/>
          <w:b/>
          <w:sz w:val="22"/>
        </w:rPr>
        <w:t>Table 6 comes about here</w:t>
      </w:r>
    </w:p>
    <w:p>
      <w:pPr>
        <w:spacing w:line="235" w:lineRule="auto" w:before="2"/>
        <w:ind w:left="259" w:right="235" w:firstLine="283"/>
        <w:jc w:val="both"/>
        <w:rPr>
          <w:rFonts w:ascii="Times New Roman" w:hAnsi="Times New Roman"/>
          <w:sz w:val="22"/>
        </w:rPr>
      </w:pPr>
      <w:r>
        <w:rPr/>
        <w:pict>
          <v:shape style="position:absolute;margin-left:370.160004pt;margin-top:420.28714pt;width:2.6pt;height:14.55pt;mso-position-horizontal-relative:page;mso-position-vertical-relative:paragraph;z-index:-327616" coordorigin="7403,8406" coordsize="52,291" path="m7219,1864l7181,1983m7181,1983l7219,2103e" filled="false" stroked="true" strokeweight=".109517pt" strokecolor="#000000">
            <v:path arrowok="t"/>
            <w10:wrap type="none"/>
          </v:shape>
        </w:pict>
      </w:r>
      <w:r>
        <w:rPr>
          <w:rFonts w:ascii="Times New Roman" w:hAnsi="Times New Roman"/>
          <w:sz w:val="22"/>
        </w:rPr>
        <w:t>The new PT-LFER </w:t>
      </w:r>
      <w:r>
        <w:rPr>
          <w:rFonts w:ascii="Times New Roman" w:hAnsi="Times New Roman"/>
          <w:spacing w:val="-3"/>
          <w:sz w:val="22"/>
        </w:rPr>
        <w:t>model </w:t>
      </w:r>
      <w:r>
        <w:rPr>
          <w:rFonts w:ascii="Times New Roman" w:hAnsi="Times New Roman"/>
          <w:sz w:val="22"/>
        </w:rPr>
        <w:t>was developed useful to predict the proportion </w:t>
      </w:r>
      <w:r>
        <w:rPr>
          <w:rFonts w:ascii="Times New Roman" w:hAnsi="Times New Roman"/>
          <w:spacing w:val="-3"/>
          <w:sz w:val="22"/>
        </w:rPr>
        <w:t>of </w:t>
      </w:r>
      <w:r>
        <w:rPr>
          <w:rFonts w:ascii="Times New Roman" w:hAnsi="Times New Roman"/>
          <w:sz w:val="22"/>
        </w:rPr>
        <w:t>fatty acids,  including LCFAs and </w:t>
      </w:r>
      <w:r>
        <w:rPr>
          <w:rFonts w:ascii="Times New Roman" w:hAnsi="Times New Roman"/>
          <w:spacing w:val="-3"/>
          <w:sz w:val="22"/>
        </w:rPr>
        <w:t>VFAs, </w:t>
      </w:r>
      <w:r>
        <w:rPr>
          <w:rFonts w:ascii="Times New Roman" w:hAnsi="Times New Roman"/>
          <w:sz w:val="22"/>
        </w:rPr>
        <w:t>in different phases </w:t>
      </w:r>
      <w:r>
        <w:rPr>
          <w:rFonts w:ascii="Times New Roman" w:hAnsi="Times New Roman"/>
          <w:spacing w:val="-3"/>
          <w:sz w:val="22"/>
        </w:rPr>
        <w:t>of </w:t>
      </w:r>
      <w:r>
        <w:rPr>
          <w:rFonts w:ascii="Times New Roman" w:hAnsi="Times New Roman"/>
          <w:sz w:val="22"/>
        </w:rPr>
        <w:t>ruminal microbiome within/without exogenous </w:t>
      </w:r>
      <w:r>
        <w:rPr>
          <w:rFonts w:ascii="Times New Roman" w:hAnsi="Times New Roman"/>
          <w:position w:val="2"/>
          <w:sz w:val="22"/>
        </w:rPr>
        <w:t>PUFAs. This model was performed with perturbation calculation </w:t>
      </w:r>
      <w:r>
        <w:rPr>
          <w:rFonts w:ascii="Times New Roman" w:hAnsi="Times New Roman"/>
          <w:spacing w:val="-3"/>
          <w:position w:val="2"/>
          <w:sz w:val="22"/>
        </w:rPr>
        <w:t>of </w:t>
      </w:r>
      <w:r>
        <w:rPr>
          <w:rFonts w:ascii="Times New Roman" w:hAnsi="Times New Roman"/>
          <w:position w:val="2"/>
          <w:sz w:val="22"/>
        </w:rPr>
        <w:t>P(psi), pH(72h), CH</w:t>
      </w:r>
      <w:r>
        <w:rPr>
          <w:rFonts w:ascii="Times New Roman" w:hAnsi="Times New Roman"/>
          <w:sz w:val="14"/>
        </w:rPr>
        <w:t>4</w:t>
      </w:r>
      <w:r>
        <w:rPr>
          <w:rFonts w:ascii="Times New Roman" w:hAnsi="Times New Roman"/>
          <w:position w:val="2"/>
          <w:sz w:val="22"/>
        </w:rPr>
        <w:t>, T, ω-6, ω-3 and chemical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combined with the initial </w:t>
      </w:r>
      <w:r>
        <w:rPr>
          <w:rFonts w:ascii="Times New Roman" w:hAnsi="Times New Roman"/>
          <w:spacing w:val="-3"/>
          <w:position w:val="2"/>
          <w:sz w:val="22"/>
        </w:rPr>
        <w:t>or </w:t>
      </w:r>
      <w:r>
        <w:rPr>
          <w:rFonts w:ascii="Times New Roman" w:hAnsi="Times New Roman"/>
          <w:position w:val="2"/>
          <w:sz w:val="22"/>
        </w:rPr>
        <w:t>final experimental boundary conditions (c</w:t>
      </w:r>
      <w:r>
        <w:rPr>
          <w:rFonts w:ascii="Times New Roman" w:hAnsi="Times New Roman"/>
          <w:sz w:val="14"/>
        </w:rPr>
        <w:t>j</w:t>
      </w:r>
      <w:r>
        <w:rPr>
          <w:rFonts w:ascii="Times New Roman" w:hAnsi="Times New Roman"/>
          <w:position w:val="2"/>
          <w:sz w:val="22"/>
        </w:rPr>
        <w:t>). The best PT-LFER </w:t>
      </w:r>
      <w:r>
        <w:rPr>
          <w:rFonts w:ascii="Times New Roman" w:hAnsi="Times New Roman"/>
          <w:spacing w:val="-3"/>
          <w:position w:val="2"/>
          <w:sz w:val="22"/>
        </w:rPr>
        <w:t>model </w:t>
      </w:r>
      <w:r>
        <w:rPr>
          <w:rFonts w:ascii="Times New Roman" w:hAnsi="Times New Roman"/>
          <w:position w:val="2"/>
          <w:sz w:val="22"/>
        </w:rPr>
        <w:t>obtained using linear discriminant analysis </w:t>
      </w:r>
      <w:r>
        <w:rPr>
          <w:rFonts w:ascii="Times New Roman" w:hAnsi="Times New Roman"/>
          <w:sz w:val="22"/>
        </w:rPr>
        <w:t>(LDA) algorithm has only 21 variables from more than 80 variables and it is described by the following</w:t>
      </w:r>
      <w:r>
        <w:rPr>
          <w:rFonts w:ascii="Times New Roman" w:hAnsi="Times New Roman"/>
          <w:spacing w:val="-13"/>
          <w:sz w:val="22"/>
        </w:rPr>
        <w:t> </w:t>
      </w:r>
      <w:r>
        <w:rPr>
          <w:rFonts w:ascii="Times New Roman" w:hAnsi="Times New Roman"/>
          <w:sz w:val="22"/>
        </w:rPr>
        <w:t>algorithm:</w:t>
      </w:r>
    </w:p>
    <w:p>
      <w:pPr>
        <w:spacing w:after="0" w:line="235" w:lineRule="auto"/>
        <w:jc w:val="both"/>
        <w:rPr>
          <w:rFonts w:ascii="Times New Roman" w:hAnsi="Times New Roman"/>
          <w:sz w:val="22"/>
        </w:rPr>
        <w:sectPr>
          <w:pgSz w:w="12240" w:h="15840"/>
          <w:pgMar w:header="684" w:footer="1184" w:top="1380" w:bottom="1380" w:left="1440" w:right="1460"/>
        </w:sectPr>
      </w:pPr>
    </w:p>
    <w:p>
      <w:pPr>
        <w:spacing w:line="336" w:lineRule="exact" w:before="0"/>
        <w:ind w:left="285" w:right="-16" w:firstLine="0"/>
        <w:jc w:val="left"/>
        <w:rPr>
          <w:rFonts w:ascii="Times New Roman" w:hAnsi="Times New Roman"/>
          <w:i/>
          <w:sz w:val="12"/>
        </w:rPr>
      </w:pPr>
      <w:r>
        <w:rPr>
          <w:rFonts w:ascii="Times New Roman" w:hAnsi="Times New Roman"/>
          <w:w w:val="92"/>
          <w:sz w:val="20"/>
        </w:rPr>
        <w:t>'</w:t>
      </w:r>
      <w:r>
        <w:rPr>
          <w:rFonts w:ascii="Times New Roman" w:hAnsi="Times New Roman"/>
          <w:spacing w:val="3"/>
          <w:sz w:val="20"/>
        </w:rPr>
        <w:t> </w:t>
      </w:r>
      <w:r>
        <w:rPr>
          <w:rFonts w:ascii="Times New Roman" w:hAnsi="Times New Roman"/>
          <w:i/>
          <w:w w:val="92"/>
          <w:sz w:val="20"/>
        </w:rPr>
        <w:t>f</w:t>
      </w:r>
      <w:r>
        <w:rPr>
          <w:rFonts w:ascii="Times New Roman" w:hAnsi="Times New Roman"/>
          <w:i/>
          <w:spacing w:val="-11"/>
          <w:sz w:val="20"/>
        </w:rPr>
        <w:t> </w:t>
      </w:r>
      <w:r>
        <w:rPr>
          <w:rFonts w:ascii="Symbol" w:hAnsi="Symbol"/>
          <w:spacing w:val="-3"/>
          <w:w w:val="67"/>
          <w:sz w:val="27"/>
        </w:rPr>
        <w:t></w:t>
      </w:r>
      <w:r>
        <w:rPr>
          <w:rFonts w:ascii="Symbol" w:hAnsi="Symbol"/>
          <w:i/>
          <w:spacing w:val="5"/>
          <w:w w:val="88"/>
          <w:sz w:val="21"/>
        </w:rPr>
        <w:t></w:t>
      </w:r>
      <w:r>
        <w:rPr>
          <w:rFonts w:ascii="Times New Roman" w:hAnsi="Times New Roman"/>
          <w:i/>
          <w:spacing w:val="3"/>
          <w:w w:val="89"/>
          <w:position w:val="-4"/>
          <w:sz w:val="12"/>
        </w:rPr>
        <w:t>nr</w:t>
      </w:r>
    </w:p>
    <w:p>
      <w:pPr>
        <w:spacing w:line="336" w:lineRule="exact" w:before="0"/>
        <w:ind w:left="-16" w:right="-8" w:firstLine="0"/>
        <w:jc w:val="left"/>
        <w:rPr>
          <w:rFonts w:ascii="Times New Roman" w:hAnsi="Times New Roman"/>
          <w:i/>
          <w:sz w:val="12"/>
        </w:rPr>
      </w:pPr>
      <w:r>
        <w:rPr/>
        <w:br w:type="column"/>
      </w:r>
      <w:r>
        <w:rPr>
          <w:rFonts w:ascii="Symbol" w:hAnsi="Symbol"/>
          <w:w w:val="67"/>
          <w:sz w:val="27"/>
        </w:rPr>
        <w:t></w:t>
      </w:r>
      <w:r>
        <w:rPr>
          <w:rFonts w:ascii="Times New Roman" w:hAnsi="Times New Roman"/>
          <w:spacing w:val="-38"/>
          <w:sz w:val="27"/>
        </w:rPr>
        <w:t> </w:t>
      </w:r>
      <w:r>
        <w:rPr>
          <w:rFonts w:ascii="Symbol" w:hAnsi="Symbol"/>
          <w:w w:val="92"/>
          <w:sz w:val="20"/>
        </w:rPr>
        <w:t></w:t>
      </w:r>
      <w:r>
        <w:rPr>
          <w:rFonts w:ascii="Times New Roman" w:hAnsi="Times New Roman"/>
          <w:spacing w:val="-27"/>
          <w:sz w:val="20"/>
        </w:rPr>
        <w:t> </w:t>
      </w:r>
      <w:r>
        <w:rPr>
          <w:rFonts w:ascii="Times New Roman" w:hAnsi="Times New Roman"/>
          <w:spacing w:val="-4"/>
          <w:w w:val="92"/>
          <w:sz w:val="20"/>
        </w:rPr>
        <w:t>1</w:t>
      </w:r>
      <w:r>
        <w:rPr>
          <w:rFonts w:ascii="Times New Roman" w:hAnsi="Times New Roman"/>
          <w:spacing w:val="-2"/>
          <w:w w:val="92"/>
          <w:sz w:val="20"/>
        </w:rPr>
        <w:t>.135</w:t>
      </w:r>
      <w:r>
        <w:rPr>
          <w:rFonts w:ascii="Times New Roman" w:hAnsi="Times New Roman"/>
          <w:w w:val="92"/>
          <w:sz w:val="20"/>
        </w:rPr>
        <w:t>2</w:t>
      </w:r>
      <w:r>
        <w:rPr>
          <w:rFonts w:ascii="Times New Roman" w:hAnsi="Times New Roman"/>
          <w:spacing w:val="-25"/>
          <w:sz w:val="20"/>
        </w:rPr>
        <w:t> </w:t>
      </w:r>
      <w:r>
        <w:rPr>
          <w:rFonts w:ascii="Symbol" w:hAnsi="Symbol"/>
          <w:w w:val="92"/>
          <w:sz w:val="20"/>
        </w:rPr>
        <w:t></w:t>
      </w:r>
      <w:r>
        <w:rPr>
          <w:rFonts w:ascii="Times New Roman" w:hAnsi="Times New Roman"/>
          <w:spacing w:val="-17"/>
          <w:sz w:val="20"/>
        </w:rPr>
        <w:t> </w:t>
      </w:r>
      <w:r>
        <w:rPr>
          <w:rFonts w:ascii="Times New Roman" w:hAnsi="Times New Roman"/>
          <w:spacing w:val="-4"/>
          <w:w w:val="92"/>
          <w:sz w:val="20"/>
        </w:rPr>
        <w:t>4</w:t>
      </w:r>
      <w:r>
        <w:rPr>
          <w:rFonts w:ascii="Times New Roman" w:hAnsi="Times New Roman"/>
          <w:spacing w:val="-2"/>
          <w:w w:val="92"/>
          <w:sz w:val="20"/>
        </w:rPr>
        <w:t>.155</w:t>
      </w:r>
      <w:r>
        <w:rPr>
          <w:rFonts w:ascii="Times New Roman" w:hAnsi="Times New Roman"/>
          <w:w w:val="92"/>
          <w:sz w:val="20"/>
        </w:rPr>
        <w:t>4</w:t>
      </w:r>
      <w:r>
        <w:rPr>
          <w:rFonts w:ascii="Times New Roman" w:hAnsi="Times New Roman"/>
          <w:spacing w:val="-33"/>
          <w:sz w:val="20"/>
        </w:rPr>
        <w:t> </w:t>
      </w:r>
      <w:r>
        <w:rPr>
          <w:rFonts w:ascii="Symbol" w:hAnsi="Symbol"/>
          <w:w w:val="92"/>
          <w:sz w:val="20"/>
        </w:rPr>
        <w:t></w:t>
      </w:r>
      <w:r>
        <w:rPr>
          <w:rFonts w:ascii="Times New Roman" w:hAnsi="Times New Roman"/>
          <w:spacing w:val="-26"/>
          <w:sz w:val="20"/>
        </w:rPr>
        <w:t> </w:t>
      </w:r>
      <w:r>
        <w:rPr>
          <w:rFonts w:ascii="Symbol" w:hAnsi="Symbol"/>
          <w:w w:val="67"/>
          <w:sz w:val="27"/>
        </w:rPr>
        <w:t></w:t>
      </w:r>
      <w:r>
        <w:rPr>
          <w:rFonts w:ascii="Times New Roman" w:hAnsi="Times New Roman"/>
          <w:i/>
          <w:spacing w:val="-5"/>
          <w:w w:val="92"/>
          <w:sz w:val="20"/>
        </w:rPr>
        <w:t>I</w:t>
      </w:r>
      <w:r>
        <w:rPr>
          <w:rFonts w:ascii="Times New Roman" w:hAnsi="Times New Roman"/>
          <w:i/>
          <w:w w:val="92"/>
          <w:sz w:val="20"/>
        </w:rPr>
        <w:t>P</w:t>
      </w:r>
      <w:r>
        <w:rPr>
          <w:rFonts w:ascii="Times New Roman" w:hAnsi="Times New Roman"/>
          <w:i/>
          <w:spacing w:val="-6"/>
          <w:w w:val="92"/>
          <w:sz w:val="20"/>
        </w:rPr>
        <w:t>A</w:t>
      </w:r>
      <w:r>
        <w:rPr>
          <w:rFonts w:ascii="Symbol" w:hAnsi="Symbol"/>
          <w:spacing w:val="-6"/>
          <w:w w:val="67"/>
          <w:sz w:val="27"/>
        </w:rPr>
        <w:t></w:t>
      </w:r>
      <w:r>
        <w:rPr>
          <w:rFonts w:ascii="Times New Roman" w:hAnsi="Times New Roman"/>
          <w:i/>
          <w:spacing w:val="3"/>
          <w:w w:val="89"/>
          <w:position w:val="-4"/>
          <w:sz w:val="12"/>
        </w:rPr>
        <w:t>n</w:t>
      </w:r>
      <w:r>
        <w:rPr>
          <w:rFonts w:ascii="Times New Roman" w:hAnsi="Times New Roman"/>
          <w:i/>
          <w:spacing w:val="-3"/>
          <w:w w:val="89"/>
          <w:position w:val="-4"/>
          <w:sz w:val="12"/>
        </w:rPr>
        <w:t>e</w:t>
      </w:r>
      <w:r>
        <w:rPr>
          <w:rFonts w:ascii="Times New Roman" w:hAnsi="Times New Roman"/>
          <w:i/>
          <w:w w:val="89"/>
          <w:position w:val="-4"/>
          <w:sz w:val="12"/>
        </w:rPr>
        <w:t>w</w:t>
      </w:r>
    </w:p>
    <w:p>
      <w:pPr>
        <w:spacing w:before="59"/>
        <w:ind w:left="7" w:right="-14" w:firstLine="0"/>
        <w:jc w:val="left"/>
        <w:rPr>
          <w:rFonts w:ascii="Symbol" w:hAnsi="Symbol"/>
          <w:sz w:val="20"/>
        </w:rPr>
      </w:pPr>
      <w:r>
        <w:rPr/>
        <w:br w:type="column"/>
      </w:r>
      <w:r>
        <w:rPr>
          <w:rFonts w:ascii="Symbol" w:hAnsi="Symbol"/>
          <w:w w:val="95"/>
          <w:sz w:val="20"/>
        </w:rPr>
        <w:t></w:t>
      </w:r>
      <w:r>
        <w:rPr>
          <w:rFonts w:ascii="Times New Roman" w:hAnsi="Times New Roman"/>
          <w:spacing w:val="-30"/>
          <w:w w:val="95"/>
          <w:sz w:val="20"/>
        </w:rPr>
        <w:t> </w:t>
      </w:r>
      <w:r>
        <w:rPr>
          <w:rFonts w:ascii="Times New Roman" w:hAnsi="Times New Roman"/>
          <w:spacing w:val="-4"/>
          <w:w w:val="95"/>
          <w:sz w:val="20"/>
        </w:rPr>
        <w:t>4.8007</w:t>
      </w:r>
      <w:r>
        <w:rPr>
          <w:rFonts w:ascii="Symbol" w:hAnsi="Symbol"/>
          <w:spacing w:val="-4"/>
          <w:w w:val="95"/>
          <w:sz w:val="20"/>
        </w:rPr>
        <w:t></w:t>
      </w:r>
    </w:p>
    <w:p>
      <w:pPr>
        <w:spacing w:before="58"/>
        <w:ind w:left="-39" w:right="-19" w:firstLine="0"/>
        <w:jc w:val="left"/>
        <w:rPr>
          <w:rFonts w:ascii="Times New Roman"/>
          <w:i/>
          <w:sz w:val="12"/>
        </w:rPr>
      </w:pPr>
      <w:r>
        <w:rPr/>
        <w:br w:type="column"/>
      </w:r>
      <w:r>
        <w:rPr>
          <w:rFonts w:ascii="Times New Roman"/>
          <w:i/>
          <w:w w:val="90"/>
          <w:sz w:val="12"/>
        </w:rPr>
        <w:t>new</w:t>
      </w:r>
    </w:p>
    <w:p>
      <w:pPr>
        <w:spacing w:before="49"/>
        <w:ind w:left="-36" w:right="-15" w:firstLine="0"/>
        <w:jc w:val="left"/>
        <w:rPr>
          <w:rFonts w:ascii="Symbol" w:hAnsi="Symbol"/>
          <w:sz w:val="20"/>
        </w:rPr>
      </w:pPr>
      <w:r>
        <w:rPr/>
        <w:br w:type="column"/>
      </w:r>
      <w:r>
        <w:rPr>
          <w:rFonts w:ascii="Symbol" w:hAnsi="Symbol"/>
          <w:i/>
          <w:w w:val="95"/>
          <w:sz w:val="21"/>
        </w:rPr>
        <w:t></w:t>
      </w:r>
      <w:r>
        <w:rPr>
          <w:rFonts w:ascii="Times New Roman" w:hAnsi="Times New Roman"/>
          <w:w w:val="95"/>
          <w:position w:val="-4"/>
          <w:sz w:val="12"/>
        </w:rPr>
        <w:t>6 </w:t>
      </w:r>
      <w:r>
        <w:rPr>
          <w:rFonts w:ascii="Symbol" w:hAnsi="Symbol"/>
          <w:w w:val="95"/>
          <w:sz w:val="20"/>
        </w:rPr>
        <w:t></w:t>
      </w:r>
      <w:r>
        <w:rPr>
          <w:rFonts w:ascii="Times New Roman" w:hAnsi="Times New Roman"/>
          <w:spacing w:val="-15"/>
          <w:w w:val="95"/>
          <w:sz w:val="20"/>
        </w:rPr>
        <w:t> </w:t>
      </w:r>
      <w:r>
        <w:rPr>
          <w:rFonts w:ascii="Times New Roman" w:hAnsi="Times New Roman"/>
          <w:spacing w:val="-4"/>
          <w:w w:val="95"/>
          <w:sz w:val="20"/>
        </w:rPr>
        <w:t>4.0087</w:t>
      </w:r>
      <w:r>
        <w:rPr>
          <w:rFonts w:ascii="Symbol" w:hAnsi="Symbol"/>
          <w:spacing w:val="-4"/>
          <w:w w:val="95"/>
          <w:sz w:val="20"/>
        </w:rPr>
        <w:t></w:t>
      </w:r>
    </w:p>
    <w:p>
      <w:pPr>
        <w:spacing w:before="58"/>
        <w:ind w:left="-39" w:right="0" w:firstLine="0"/>
        <w:jc w:val="left"/>
        <w:rPr>
          <w:rFonts w:ascii="Times New Roman"/>
          <w:i/>
          <w:sz w:val="12"/>
        </w:rPr>
      </w:pPr>
      <w:r>
        <w:rPr/>
        <w:br w:type="column"/>
      </w:r>
      <w:r>
        <w:rPr>
          <w:rFonts w:ascii="Times New Roman"/>
          <w:i/>
          <w:sz w:val="12"/>
        </w:rPr>
        <w:t>new</w:t>
      </w:r>
    </w:p>
    <w:p>
      <w:pPr>
        <w:spacing w:before="1"/>
        <w:ind w:left="0" w:right="0" w:firstLine="0"/>
        <w:jc w:val="right"/>
        <w:rPr>
          <w:rFonts w:ascii="Times New Roman"/>
          <w:sz w:val="12"/>
        </w:rPr>
      </w:pPr>
      <w:r>
        <w:rPr/>
        <w:pict>
          <v:shape style="position:absolute;margin-left:310.79599pt;margin-top:-5.664624pt;width:6.35pt;height:10.8pt;mso-position-horizontal-relative:page;mso-position-vertical-relative:paragraph;z-index:-327496" type="#_x0000_t202" filled="false" stroked="false">
            <v:textbox inset="0,0,0,0">
              <w:txbxContent>
                <w:p>
                  <w:pPr>
                    <w:spacing w:line="215" w:lineRule="exact" w:before="0"/>
                    <w:ind w:left="0" w:right="0" w:firstLine="0"/>
                    <w:jc w:val="left"/>
                    <w:rPr>
                      <w:rFonts w:ascii="Symbol" w:hAnsi="Symbol"/>
                      <w:i/>
                      <w:sz w:val="21"/>
                    </w:rPr>
                  </w:pPr>
                  <w:r>
                    <w:rPr>
                      <w:rFonts w:ascii="Symbol" w:hAnsi="Symbol"/>
                      <w:i/>
                      <w:w w:val="88"/>
                      <w:sz w:val="21"/>
                    </w:rPr>
                    <w:t></w:t>
                  </w:r>
                </w:p>
              </w:txbxContent>
            </v:textbox>
            <w10:wrap type="none"/>
          </v:shape>
        </w:pict>
      </w:r>
      <w:r>
        <w:rPr>
          <w:rFonts w:ascii="Times New Roman"/>
          <w:w w:val="89"/>
          <w:sz w:val="12"/>
        </w:rPr>
        <w:t>3</w:t>
      </w:r>
    </w:p>
    <w:p>
      <w:pPr>
        <w:spacing w:before="59"/>
        <w:ind w:left="11" w:right="-14" w:firstLine="0"/>
        <w:jc w:val="left"/>
        <w:rPr>
          <w:rFonts w:ascii="Times New Roman" w:hAnsi="Times New Roman"/>
          <w:i/>
          <w:sz w:val="20"/>
        </w:rPr>
      </w:pPr>
      <w:r>
        <w:rPr/>
        <w:br w:type="column"/>
      </w:r>
      <w:r>
        <w:rPr>
          <w:rFonts w:ascii="Symbol" w:hAnsi="Symbol"/>
          <w:sz w:val="20"/>
        </w:rPr>
        <w:t></w:t>
      </w:r>
      <w:r>
        <w:rPr>
          <w:rFonts w:ascii="Times New Roman" w:hAnsi="Times New Roman"/>
          <w:spacing w:val="-37"/>
          <w:sz w:val="20"/>
        </w:rPr>
        <w:t> </w:t>
      </w:r>
      <w:r>
        <w:rPr>
          <w:rFonts w:ascii="Times New Roman" w:hAnsi="Times New Roman"/>
          <w:spacing w:val="-2"/>
          <w:sz w:val="20"/>
        </w:rPr>
        <w:t>0.0669</w:t>
      </w:r>
      <w:r>
        <w:rPr>
          <w:rFonts w:ascii="Times New Roman" w:hAnsi="Times New Roman"/>
          <w:spacing w:val="-44"/>
          <w:sz w:val="20"/>
        </w:rPr>
        <w:t> </w:t>
      </w:r>
      <w:r>
        <w:rPr>
          <w:rFonts w:ascii="Symbol" w:hAnsi="Symbol"/>
          <w:sz w:val="20"/>
        </w:rPr>
        <w:t></w:t>
      </w:r>
      <w:r>
        <w:rPr>
          <w:rFonts w:ascii="Times New Roman" w:hAnsi="Times New Roman"/>
          <w:spacing w:val="-16"/>
          <w:sz w:val="20"/>
        </w:rPr>
        <w:t> </w:t>
      </w:r>
      <w:r>
        <w:rPr>
          <w:rFonts w:ascii="Times New Roman" w:hAnsi="Times New Roman"/>
          <w:i/>
          <w:sz w:val="20"/>
        </w:rPr>
        <w:t>IPA</w:t>
      </w:r>
    </w:p>
    <w:p>
      <w:pPr>
        <w:spacing w:before="27"/>
        <w:ind w:left="10" w:right="-16" w:firstLine="0"/>
        <w:jc w:val="left"/>
        <w:rPr>
          <w:rFonts w:ascii="Times New Roman"/>
          <w:sz w:val="12"/>
        </w:rPr>
      </w:pPr>
      <w:r>
        <w:rPr/>
        <w:br w:type="column"/>
      </w:r>
      <w:r>
        <w:rPr>
          <w:rFonts w:ascii="Times New Roman"/>
          <w:i/>
          <w:w w:val="90"/>
          <w:sz w:val="12"/>
        </w:rPr>
        <w:t>avg</w:t>
      </w:r>
      <w:r>
        <w:rPr>
          <w:rFonts w:ascii="Times New Roman"/>
          <w:w w:val="90"/>
          <w:sz w:val="12"/>
        </w:rPr>
        <w:t>.</w:t>
      </w:r>
    </w:p>
    <w:p>
      <w:pPr>
        <w:spacing w:before="61"/>
        <w:ind w:left="10" w:right="-16" w:firstLine="0"/>
        <w:jc w:val="left"/>
        <w:rPr>
          <w:rFonts w:ascii="Times New Roman"/>
          <w:i/>
          <w:sz w:val="12"/>
        </w:rPr>
      </w:pPr>
      <w:r>
        <w:rPr/>
        <w:pict>
          <v:shape style="position:absolute;margin-left:392.679993pt;margin-top:323.630554pt;width:2.6pt;height:14.55pt;mso-position-horizontal-relative:page;mso-position-vertical-relative:paragraph;z-index:-327592" coordorigin="7854,6473" coordsize="52,291" path="m7514,-69l7553,50m7553,50l7514,170e" filled="false" stroked="true" strokeweight=".109517pt" strokecolor="#000000">
            <v:path arrowok="t"/>
            <w10:wrap type="none"/>
          </v:shape>
        </w:pict>
      </w:r>
      <w:r>
        <w:rPr>
          <w:rFonts w:ascii="Times New Roman"/>
          <w:i/>
          <w:sz w:val="12"/>
        </w:rPr>
        <w:t>ref</w:t>
      </w:r>
    </w:p>
    <w:p>
      <w:pPr>
        <w:spacing w:before="49"/>
        <w:ind w:left="11" w:right="-7" w:firstLine="0"/>
        <w:jc w:val="left"/>
        <w:rPr>
          <w:rFonts w:ascii="Times New Roman" w:hAnsi="Times New Roman"/>
          <w:sz w:val="12"/>
        </w:rPr>
      </w:pPr>
      <w:r>
        <w:rPr/>
        <w:br w:type="column"/>
      </w:r>
      <w:r>
        <w:rPr>
          <w:rFonts w:ascii="Symbol" w:hAnsi="Symbol"/>
          <w:w w:val="95"/>
          <w:sz w:val="20"/>
        </w:rPr>
        <w:t></w:t>
      </w:r>
      <w:r>
        <w:rPr>
          <w:rFonts w:ascii="Times New Roman" w:hAnsi="Times New Roman"/>
          <w:spacing w:val="-30"/>
          <w:w w:val="95"/>
          <w:sz w:val="20"/>
        </w:rPr>
        <w:t> </w:t>
      </w:r>
      <w:r>
        <w:rPr>
          <w:rFonts w:ascii="Times New Roman" w:hAnsi="Times New Roman"/>
          <w:w w:val="95"/>
          <w:sz w:val="20"/>
        </w:rPr>
        <w:t>0.0173</w:t>
      </w:r>
      <w:r>
        <w:rPr>
          <w:rFonts w:ascii="Symbol" w:hAnsi="Symbol"/>
          <w:w w:val="95"/>
          <w:sz w:val="20"/>
        </w:rPr>
        <w:t></w:t>
      </w:r>
      <w:r>
        <w:rPr>
          <w:rFonts w:ascii="Times New Roman" w:hAnsi="Times New Roman"/>
          <w:spacing w:val="-19"/>
          <w:w w:val="95"/>
          <w:sz w:val="20"/>
        </w:rPr>
        <w:t> </w:t>
      </w:r>
      <w:r>
        <w:rPr>
          <w:rFonts w:ascii="Times New Roman" w:hAnsi="Times New Roman"/>
          <w:i/>
          <w:w w:val="95"/>
          <w:sz w:val="20"/>
        </w:rPr>
        <w:t>pH</w:t>
      </w:r>
      <w:r>
        <w:rPr>
          <w:rFonts w:ascii="Times New Roman" w:hAnsi="Times New Roman"/>
          <w:i/>
          <w:spacing w:val="-38"/>
          <w:w w:val="95"/>
          <w:sz w:val="20"/>
        </w:rPr>
        <w:t> </w:t>
      </w:r>
      <w:r>
        <w:rPr>
          <w:rFonts w:ascii="Times New Roman" w:hAnsi="Times New Roman"/>
          <w:w w:val="95"/>
          <w:sz w:val="20"/>
        </w:rPr>
        <w:t>(72</w:t>
      </w:r>
      <w:r>
        <w:rPr>
          <w:rFonts w:ascii="Times New Roman" w:hAnsi="Times New Roman"/>
          <w:i/>
          <w:w w:val="95"/>
          <w:sz w:val="20"/>
        </w:rPr>
        <w:t>h</w:t>
      </w:r>
      <w:r>
        <w:rPr>
          <w:rFonts w:ascii="Times New Roman" w:hAnsi="Times New Roman"/>
          <w:w w:val="95"/>
          <w:sz w:val="20"/>
        </w:rPr>
        <w:t>)</w:t>
      </w:r>
      <w:r>
        <w:rPr>
          <w:rFonts w:ascii="Times New Roman" w:hAnsi="Times New Roman"/>
          <w:spacing w:val="-28"/>
          <w:w w:val="95"/>
          <w:sz w:val="20"/>
        </w:rPr>
        <w:t> </w:t>
      </w:r>
      <w:r>
        <w:rPr>
          <w:rFonts w:ascii="Symbol" w:hAnsi="Symbol"/>
          <w:w w:val="95"/>
          <w:sz w:val="20"/>
        </w:rPr>
        <w:t></w:t>
      </w:r>
      <w:r>
        <w:rPr>
          <w:rFonts w:ascii="Times New Roman" w:hAnsi="Times New Roman"/>
          <w:spacing w:val="-33"/>
          <w:w w:val="95"/>
          <w:sz w:val="20"/>
        </w:rPr>
        <w:t> </w:t>
      </w:r>
      <w:r>
        <w:rPr>
          <w:rFonts w:ascii="Times New Roman" w:hAnsi="Times New Roman"/>
          <w:spacing w:val="-2"/>
          <w:w w:val="95"/>
          <w:sz w:val="20"/>
        </w:rPr>
        <w:t>8.6897</w:t>
      </w:r>
      <w:r>
        <w:rPr>
          <w:rFonts w:ascii="Times New Roman" w:hAnsi="Times New Roman"/>
          <w:spacing w:val="-37"/>
          <w:w w:val="95"/>
          <w:sz w:val="20"/>
        </w:rPr>
        <w:t> </w:t>
      </w:r>
      <w:r>
        <w:rPr>
          <w:rFonts w:ascii="Symbol" w:hAnsi="Symbol"/>
          <w:w w:val="95"/>
          <w:sz w:val="20"/>
        </w:rPr>
        <w:t></w:t>
      </w:r>
      <w:r>
        <w:rPr>
          <w:rFonts w:ascii="Times New Roman" w:hAnsi="Times New Roman"/>
          <w:spacing w:val="-32"/>
          <w:w w:val="95"/>
          <w:sz w:val="20"/>
        </w:rPr>
        <w:t> </w:t>
      </w:r>
      <w:r>
        <w:rPr>
          <w:rFonts w:ascii="Symbol" w:hAnsi="Symbol"/>
          <w:w w:val="95"/>
          <w:sz w:val="20"/>
        </w:rPr>
        <w:t></w:t>
      </w:r>
      <w:r>
        <w:rPr>
          <w:rFonts w:ascii="Symbol" w:hAnsi="Symbol"/>
          <w:i/>
          <w:w w:val="95"/>
          <w:sz w:val="21"/>
        </w:rPr>
        <w:t></w:t>
      </w:r>
      <w:r>
        <w:rPr>
          <w:rFonts w:ascii="Times New Roman" w:hAnsi="Times New Roman"/>
          <w:w w:val="95"/>
          <w:position w:val="-4"/>
          <w:sz w:val="12"/>
        </w:rPr>
        <w:t>6</w:t>
      </w:r>
    </w:p>
    <w:p>
      <w:pPr>
        <w:spacing w:line="319" w:lineRule="exact" w:before="0"/>
        <w:ind w:left="150" w:right="0" w:firstLine="0"/>
        <w:jc w:val="left"/>
        <w:rPr>
          <w:rFonts w:ascii="Symbol" w:hAnsi="Symbol"/>
          <w:sz w:val="27"/>
        </w:rPr>
      </w:pPr>
      <w:r>
        <w:rPr/>
        <w:br w:type="column"/>
      </w:r>
      <w:r>
        <w:rPr>
          <w:rFonts w:ascii="Symbol" w:hAnsi="Symbol"/>
          <w:w w:val="85"/>
          <w:sz w:val="27"/>
        </w:rPr>
        <w:t></w:t>
      </w:r>
      <w:r>
        <w:rPr>
          <w:rFonts w:ascii="Times New Roman" w:hAnsi="Times New Roman"/>
          <w:w w:val="85"/>
          <w:sz w:val="20"/>
        </w:rPr>
        <w:t>3</w:t>
      </w:r>
      <w:r>
        <w:rPr>
          <w:rFonts w:ascii="Symbol" w:hAnsi="Symbol"/>
          <w:w w:val="85"/>
          <w:sz w:val="27"/>
        </w:rPr>
        <w:t></w:t>
      </w:r>
    </w:p>
    <w:p>
      <w:pPr>
        <w:spacing w:after="0" w:line="319" w:lineRule="exact"/>
        <w:jc w:val="left"/>
        <w:rPr>
          <w:rFonts w:ascii="Symbol" w:hAnsi="Symbol"/>
          <w:sz w:val="27"/>
        </w:rPr>
        <w:sectPr>
          <w:type w:val="continuous"/>
          <w:pgSz w:w="12240" w:h="15840"/>
          <w:pgMar w:top="3080" w:bottom="2780" w:left="1440" w:right="1460"/>
          <w:cols w:num="10" w:equalWidth="0">
            <w:col w:w="737" w:space="40"/>
            <w:col w:w="2017" w:space="40"/>
            <w:col w:w="677" w:space="40"/>
            <w:col w:w="136" w:space="40"/>
            <w:col w:w="871" w:space="40"/>
            <w:col w:w="320" w:space="40"/>
            <w:col w:w="1079" w:space="40"/>
            <w:col w:w="197" w:space="40"/>
            <w:col w:w="2431" w:space="40"/>
            <w:col w:w="515"/>
          </w:cols>
        </w:sectPr>
      </w:pPr>
    </w:p>
    <w:p>
      <w:pPr>
        <w:spacing w:before="58"/>
        <w:ind w:left="844" w:right="-13" w:firstLine="0"/>
        <w:jc w:val="left"/>
        <w:rPr>
          <w:rFonts w:ascii="Times New Roman" w:hAnsi="Times New Roman"/>
          <w:sz w:val="12"/>
        </w:rPr>
      </w:pPr>
      <w:r>
        <w:rPr>
          <w:rFonts w:ascii="Symbol" w:hAnsi="Symbol"/>
          <w:w w:val="95"/>
          <w:sz w:val="20"/>
        </w:rPr>
        <w:t></w:t>
      </w:r>
      <w:r>
        <w:rPr>
          <w:rFonts w:ascii="Times New Roman" w:hAnsi="Times New Roman"/>
          <w:spacing w:val="-29"/>
          <w:w w:val="95"/>
          <w:sz w:val="20"/>
        </w:rPr>
        <w:t> </w:t>
      </w:r>
      <w:r>
        <w:rPr>
          <w:rFonts w:ascii="Times New Roman" w:hAnsi="Times New Roman"/>
          <w:spacing w:val="-2"/>
          <w:w w:val="95"/>
          <w:sz w:val="20"/>
        </w:rPr>
        <w:t>4.7979</w:t>
      </w:r>
      <w:r>
        <w:rPr>
          <w:rFonts w:ascii="Times New Roman" w:hAnsi="Times New Roman"/>
          <w:spacing w:val="-38"/>
          <w:w w:val="95"/>
          <w:sz w:val="20"/>
        </w:rPr>
        <w:t> </w:t>
      </w:r>
      <w:r>
        <w:rPr>
          <w:rFonts w:ascii="Symbol" w:hAnsi="Symbol"/>
          <w:w w:val="95"/>
          <w:sz w:val="20"/>
        </w:rPr>
        <w:t></w:t>
      </w:r>
      <w:r>
        <w:rPr>
          <w:rFonts w:ascii="Times New Roman" w:hAnsi="Times New Roman"/>
          <w:spacing w:val="-32"/>
          <w:w w:val="95"/>
          <w:sz w:val="20"/>
        </w:rPr>
        <w:t> </w:t>
      </w:r>
      <w:r>
        <w:rPr>
          <w:rFonts w:ascii="Symbol" w:hAnsi="Symbol"/>
          <w:spacing w:val="-3"/>
          <w:w w:val="95"/>
          <w:sz w:val="20"/>
        </w:rPr>
        <w:t></w:t>
      </w:r>
      <w:r>
        <w:rPr>
          <w:rFonts w:ascii="Symbol" w:hAnsi="Symbol"/>
          <w:i/>
          <w:spacing w:val="-3"/>
          <w:w w:val="95"/>
          <w:sz w:val="21"/>
        </w:rPr>
        <w:t></w:t>
      </w:r>
      <w:r>
        <w:rPr>
          <w:rFonts w:ascii="Times New Roman" w:hAnsi="Times New Roman"/>
          <w:spacing w:val="-3"/>
          <w:w w:val="95"/>
          <w:position w:val="-4"/>
          <w:sz w:val="12"/>
        </w:rPr>
        <w:t>3</w:t>
      </w:r>
    </w:p>
    <w:p>
      <w:pPr>
        <w:spacing w:line="355" w:lineRule="exact" w:before="0"/>
        <w:ind w:left="11" w:right="-6" w:firstLine="0"/>
        <w:jc w:val="left"/>
        <w:rPr>
          <w:rFonts w:ascii="Times New Roman" w:hAnsi="Times New Roman"/>
          <w:i/>
          <w:sz w:val="12"/>
        </w:rPr>
      </w:pPr>
      <w:r>
        <w:rPr/>
        <w:br w:type="column"/>
      </w:r>
      <w:r>
        <w:rPr>
          <w:rFonts w:ascii="Symbol" w:hAnsi="Symbol"/>
          <w:w w:val="92"/>
          <w:sz w:val="20"/>
        </w:rPr>
        <w:t></w:t>
      </w:r>
      <w:r>
        <w:rPr>
          <w:rFonts w:ascii="Times New Roman" w:hAnsi="Times New Roman"/>
          <w:spacing w:val="-17"/>
          <w:sz w:val="20"/>
        </w:rPr>
        <w:t> </w:t>
      </w:r>
      <w:r>
        <w:rPr>
          <w:rFonts w:ascii="Times New Roman" w:hAnsi="Times New Roman"/>
          <w:spacing w:val="-4"/>
          <w:w w:val="92"/>
          <w:sz w:val="20"/>
        </w:rPr>
        <w:t>0</w:t>
      </w:r>
      <w:r>
        <w:rPr>
          <w:rFonts w:ascii="Times New Roman" w:hAnsi="Times New Roman"/>
          <w:spacing w:val="-2"/>
          <w:w w:val="92"/>
          <w:sz w:val="20"/>
        </w:rPr>
        <w:t>.009</w:t>
      </w:r>
      <w:r>
        <w:rPr>
          <w:rFonts w:ascii="Times New Roman" w:hAnsi="Times New Roman"/>
          <w:spacing w:val="3"/>
          <w:w w:val="92"/>
          <w:sz w:val="20"/>
        </w:rPr>
        <w:t>1</w:t>
      </w:r>
      <w:r>
        <w:rPr>
          <w:rFonts w:ascii="Symbol" w:hAnsi="Symbol"/>
          <w:w w:val="92"/>
          <w:sz w:val="20"/>
        </w:rPr>
        <w:t></w:t>
      </w:r>
      <w:r>
        <w:rPr>
          <w:rFonts w:ascii="Times New Roman" w:hAnsi="Times New Roman"/>
          <w:spacing w:val="-22"/>
          <w:sz w:val="20"/>
        </w:rPr>
        <w:t> </w:t>
      </w:r>
      <w:r>
        <w:rPr>
          <w:rFonts w:ascii="Symbol" w:hAnsi="Symbol"/>
          <w:spacing w:val="-5"/>
          <w:w w:val="92"/>
          <w:sz w:val="20"/>
        </w:rPr>
        <w:t></w:t>
      </w:r>
      <w:r>
        <w:rPr>
          <w:rFonts w:ascii="Times New Roman" w:hAnsi="Times New Roman"/>
          <w:i/>
          <w:w w:val="92"/>
          <w:sz w:val="20"/>
        </w:rPr>
        <w:t>P</w:t>
      </w:r>
      <w:r>
        <w:rPr>
          <w:rFonts w:ascii="Times New Roman" w:hAnsi="Times New Roman"/>
          <w:w w:val="92"/>
          <w:sz w:val="20"/>
        </w:rPr>
        <w:t>(</w:t>
      </w:r>
      <w:r>
        <w:rPr>
          <w:rFonts w:ascii="Times New Roman" w:hAnsi="Times New Roman"/>
          <w:spacing w:val="-26"/>
          <w:sz w:val="20"/>
        </w:rPr>
        <w:t> </w:t>
      </w:r>
      <w:r>
        <w:rPr>
          <w:rFonts w:ascii="Times New Roman" w:hAnsi="Times New Roman"/>
          <w:i/>
          <w:spacing w:val="-2"/>
          <w:w w:val="92"/>
          <w:sz w:val="20"/>
        </w:rPr>
        <w:t>p</w:t>
      </w:r>
      <w:r>
        <w:rPr>
          <w:rFonts w:ascii="Times New Roman" w:hAnsi="Times New Roman"/>
          <w:i/>
          <w:spacing w:val="-4"/>
          <w:w w:val="92"/>
          <w:sz w:val="20"/>
        </w:rPr>
        <w:t>s</w:t>
      </w:r>
      <w:r>
        <w:rPr>
          <w:rFonts w:ascii="Times New Roman" w:hAnsi="Times New Roman"/>
          <w:i/>
          <w:spacing w:val="2"/>
          <w:w w:val="92"/>
          <w:sz w:val="20"/>
        </w:rPr>
        <w:t>i</w:t>
      </w:r>
      <w:r>
        <w:rPr>
          <w:rFonts w:ascii="Times New Roman" w:hAnsi="Times New Roman"/>
          <w:w w:val="92"/>
          <w:sz w:val="20"/>
        </w:rPr>
        <w:t>)</w:t>
      </w:r>
      <w:r>
        <w:rPr>
          <w:rFonts w:ascii="Times New Roman" w:hAnsi="Times New Roman"/>
          <w:spacing w:val="-16"/>
          <w:sz w:val="20"/>
        </w:rPr>
        <w:t> </w:t>
      </w:r>
      <w:r>
        <w:rPr>
          <w:rFonts w:ascii="Symbol" w:hAnsi="Symbol"/>
          <w:w w:val="92"/>
          <w:sz w:val="20"/>
        </w:rPr>
        <w:t></w:t>
      </w:r>
      <w:r>
        <w:rPr>
          <w:rFonts w:ascii="Times New Roman" w:hAnsi="Times New Roman"/>
          <w:spacing w:val="-17"/>
          <w:sz w:val="20"/>
        </w:rPr>
        <w:t> </w:t>
      </w:r>
      <w:r>
        <w:rPr>
          <w:rFonts w:ascii="Times New Roman" w:hAnsi="Times New Roman"/>
          <w:spacing w:val="-4"/>
          <w:w w:val="92"/>
          <w:sz w:val="20"/>
        </w:rPr>
        <w:t>0</w:t>
      </w:r>
      <w:r>
        <w:rPr>
          <w:rFonts w:ascii="Times New Roman" w:hAnsi="Times New Roman"/>
          <w:spacing w:val="-2"/>
          <w:w w:val="92"/>
          <w:sz w:val="20"/>
        </w:rPr>
        <w:t>.084</w:t>
      </w:r>
      <w:r>
        <w:rPr>
          <w:rFonts w:ascii="Times New Roman" w:hAnsi="Times New Roman"/>
          <w:spacing w:val="14"/>
          <w:w w:val="92"/>
          <w:sz w:val="20"/>
        </w:rPr>
        <w:t>8</w:t>
      </w:r>
      <w:r>
        <w:rPr>
          <w:rFonts w:ascii="Symbol" w:hAnsi="Symbol"/>
          <w:w w:val="92"/>
          <w:sz w:val="20"/>
        </w:rPr>
        <w:t></w:t>
      </w:r>
      <w:r>
        <w:rPr>
          <w:rFonts w:ascii="Times New Roman" w:hAnsi="Times New Roman"/>
          <w:spacing w:val="-26"/>
          <w:sz w:val="20"/>
        </w:rPr>
        <w:t> </w:t>
      </w:r>
      <w:r>
        <w:rPr>
          <w:rFonts w:ascii="Symbol" w:hAnsi="Symbol"/>
          <w:spacing w:val="-11"/>
          <w:w w:val="67"/>
          <w:sz w:val="27"/>
        </w:rPr>
        <w:t></w:t>
      </w:r>
      <w:r>
        <w:rPr>
          <w:rFonts w:ascii="Times New Roman" w:hAnsi="Times New Roman"/>
          <w:i/>
          <w:spacing w:val="1"/>
          <w:w w:val="92"/>
          <w:sz w:val="20"/>
        </w:rPr>
        <w:t>C</w:t>
      </w:r>
      <w:r>
        <w:rPr>
          <w:rFonts w:ascii="Times New Roman" w:hAnsi="Times New Roman"/>
          <w:i/>
          <w:spacing w:val="7"/>
          <w:w w:val="92"/>
          <w:sz w:val="20"/>
        </w:rPr>
        <w:t>H</w:t>
      </w:r>
      <w:r>
        <w:rPr>
          <w:rFonts w:ascii="Times New Roman" w:hAnsi="Times New Roman"/>
          <w:w w:val="89"/>
          <w:position w:val="-4"/>
          <w:sz w:val="12"/>
        </w:rPr>
        <w:t>4</w:t>
      </w:r>
      <w:r>
        <w:rPr>
          <w:rFonts w:ascii="Times New Roman" w:hAnsi="Times New Roman"/>
          <w:spacing w:val="-5"/>
          <w:position w:val="-4"/>
          <w:sz w:val="12"/>
        </w:rPr>
        <w:t> </w:t>
      </w:r>
      <w:r>
        <w:rPr>
          <w:rFonts w:ascii="Symbol" w:hAnsi="Symbol"/>
          <w:spacing w:val="-6"/>
          <w:w w:val="67"/>
          <w:sz w:val="27"/>
        </w:rPr>
        <w:t></w:t>
      </w:r>
      <w:r>
        <w:rPr>
          <w:rFonts w:ascii="Times New Roman" w:hAnsi="Times New Roman"/>
          <w:i/>
          <w:spacing w:val="3"/>
          <w:w w:val="89"/>
          <w:position w:val="-5"/>
          <w:sz w:val="12"/>
        </w:rPr>
        <w:t>r</w:t>
      </w:r>
      <w:r>
        <w:rPr>
          <w:rFonts w:ascii="Times New Roman" w:hAnsi="Times New Roman"/>
          <w:i/>
          <w:spacing w:val="-3"/>
          <w:w w:val="89"/>
          <w:position w:val="-5"/>
          <w:sz w:val="12"/>
        </w:rPr>
        <w:t>e</w:t>
      </w:r>
      <w:r>
        <w:rPr>
          <w:rFonts w:ascii="Times New Roman" w:hAnsi="Times New Roman"/>
          <w:i/>
          <w:w w:val="89"/>
          <w:position w:val="-5"/>
          <w:sz w:val="12"/>
        </w:rPr>
        <w:t>f</w:t>
      </w:r>
    </w:p>
    <w:p>
      <w:pPr>
        <w:spacing w:line="337" w:lineRule="exact" w:before="0"/>
        <w:ind w:left="35" w:right="0" w:firstLine="0"/>
        <w:jc w:val="left"/>
        <w:rPr>
          <w:rFonts w:ascii="Symbol" w:hAnsi="Symbol"/>
          <w:sz w:val="27"/>
        </w:rPr>
      </w:pPr>
      <w:r>
        <w:rPr/>
        <w:br w:type="column"/>
      </w:r>
      <w:r>
        <w:rPr>
          <w:rFonts w:ascii="Symbol" w:hAnsi="Symbol"/>
          <w:w w:val="90"/>
          <w:sz w:val="20"/>
        </w:rPr>
        <w:t></w:t>
      </w:r>
      <w:r>
        <w:rPr>
          <w:rFonts w:ascii="Times New Roman" w:hAnsi="Times New Roman"/>
          <w:w w:val="90"/>
          <w:sz w:val="20"/>
        </w:rPr>
        <w:t> 0.0011</w:t>
      </w:r>
      <w:r>
        <w:rPr>
          <w:rFonts w:ascii="Symbol" w:hAnsi="Symbol"/>
          <w:w w:val="90"/>
          <w:sz w:val="20"/>
        </w:rPr>
        <w:t></w:t>
      </w:r>
      <w:r>
        <w:rPr>
          <w:rFonts w:ascii="Times New Roman" w:hAnsi="Times New Roman"/>
          <w:w w:val="90"/>
          <w:sz w:val="20"/>
        </w:rPr>
        <w:t> log</w:t>
      </w:r>
      <w:r>
        <w:rPr>
          <w:rFonts w:ascii="Symbol" w:hAnsi="Symbol"/>
          <w:w w:val="90"/>
          <w:sz w:val="31"/>
        </w:rPr>
        <w:t></w:t>
      </w:r>
      <w:r>
        <w:rPr>
          <w:rFonts w:ascii="Symbol" w:hAnsi="Symbol"/>
          <w:w w:val="90"/>
          <w:sz w:val="20"/>
        </w:rPr>
        <w:t></w:t>
      </w:r>
      <w:r>
        <w:rPr>
          <w:rFonts w:ascii="Times New Roman" w:hAnsi="Times New Roman"/>
          <w:i/>
          <w:w w:val="90"/>
          <w:sz w:val="20"/>
        </w:rPr>
        <w:t>T </w:t>
      </w:r>
      <w:r>
        <w:rPr>
          <w:rFonts w:ascii="Symbol" w:hAnsi="Symbol"/>
          <w:w w:val="90"/>
          <w:sz w:val="31"/>
        </w:rPr>
        <w:t></w:t>
      </w:r>
      <w:r>
        <w:rPr>
          <w:rFonts w:ascii="Symbol" w:hAnsi="Symbol"/>
          <w:w w:val="90"/>
          <w:sz w:val="20"/>
        </w:rPr>
        <w:t></w:t>
      </w:r>
      <w:r>
        <w:rPr>
          <w:rFonts w:ascii="Times New Roman" w:hAnsi="Times New Roman"/>
          <w:w w:val="90"/>
          <w:sz w:val="20"/>
        </w:rPr>
        <w:t> 4.0914 </w:t>
      </w:r>
      <w:r>
        <w:rPr>
          <w:rFonts w:ascii="Symbol" w:hAnsi="Symbol"/>
          <w:w w:val="90"/>
          <w:sz w:val="20"/>
        </w:rPr>
        <w:t></w:t>
      </w:r>
      <w:r>
        <w:rPr>
          <w:rFonts w:ascii="Times New Roman" w:hAnsi="Times New Roman"/>
          <w:w w:val="90"/>
          <w:sz w:val="20"/>
        </w:rPr>
        <w:t> </w:t>
      </w:r>
      <w:r>
        <w:rPr>
          <w:rFonts w:ascii="Symbol" w:hAnsi="Symbol"/>
          <w:w w:val="90"/>
          <w:sz w:val="27"/>
        </w:rPr>
        <w:t></w:t>
      </w:r>
      <w:r>
        <w:rPr>
          <w:rFonts w:ascii="Times New Roman" w:hAnsi="Times New Roman"/>
          <w:i/>
          <w:w w:val="90"/>
          <w:sz w:val="20"/>
        </w:rPr>
        <w:t>V </w:t>
      </w:r>
      <w:r>
        <w:rPr>
          <w:rFonts w:ascii="Symbol" w:hAnsi="Symbol"/>
          <w:w w:val="90"/>
          <w:sz w:val="27"/>
        </w:rPr>
        <w:t></w:t>
      </w:r>
    </w:p>
    <w:p>
      <w:pPr>
        <w:spacing w:line="355" w:lineRule="exact" w:before="0"/>
        <w:ind w:left="7" w:right="0" w:firstLine="0"/>
        <w:jc w:val="left"/>
        <w:rPr>
          <w:rFonts w:ascii="Times New Roman" w:hAnsi="Times New Roman"/>
          <w:i/>
          <w:sz w:val="12"/>
        </w:rPr>
      </w:pPr>
      <w:r>
        <w:rPr/>
        <w:br w:type="column"/>
      </w:r>
      <w:r>
        <w:rPr>
          <w:rFonts w:ascii="Symbol" w:hAnsi="Symbol"/>
          <w:w w:val="92"/>
          <w:sz w:val="20"/>
        </w:rPr>
        <w:t></w:t>
      </w:r>
      <w:r>
        <w:rPr>
          <w:rFonts w:ascii="Times New Roman" w:hAnsi="Times New Roman"/>
          <w:spacing w:val="-19"/>
          <w:sz w:val="20"/>
        </w:rPr>
        <w:t> </w:t>
      </w:r>
      <w:r>
        <w:rPr>
          <w:rFonts w:ascii="Times New Roman" w:hAnsi="Times New Roman"/>
          <w:spacing w:val="-4"/>
          <w:w w:val="92"/>
          <w:sz w:val="20"/>
        </w:rPr>
        <w:t>7</w:t>
      </w:r>
      <w:r>
        <w:rPr>
          <w:rFonts w:ascii="Times New Roman" w:hAnsi="Times New Roman"/>
          <w:spacing w:val="-2"/>
          <w:w w:val="92"/>
          <w:sz w:val="20"/>
        </w:rPr>
        <w:t>.755</w:t>
      </w:r>
      <w:r>
        <w:rPr>
          <w:rFonts w:ascii="Times New Roman" w:hAnsi="Times New Roman"/>
          <w:spacing w:val="11"/>
          <w:w w:val="92"/>
          <w:sz w:val="20"/>
        </w:rPr>
        <w:t>3</w:t>
      </w:r>
      <w:r>
        <w:rPr>
          <w:rFonts w:ascii="Symbol" w:hAnsi="Symbol"/>
          <w:w w:val="92"/>
          <w:sz w:val="20"/>
        </w:rPr>
        <w:t></w:t>
      </w:r>
      <w:r>
        <w:rPr>
          <w:rFonts w:ascii="Times New Roman" w:hAnsi="Times New Roman"/>
          <w:spacing w:val="-26"/>
          <w:sz w:val="20"/>
        </w:rPr>
        <w:t> </w:t>
      </w:r>
      <w:r>
        <w:rPr>
          <w:rFonts w:ascii="Symbol" w:hAnsi="Symbol"/>
          <w:spacing w:val="-22"/>
          <w:w w:val="67"/>
          <w:sz w:val="27"/>
        </w:rPr>
        <w:t></w:t>
      </w:r>
      <w:r>
        <w:rPr>
          <w:rFonts w:ascii="Times New Roman" w:hAnsi="Times New Roman"/>
          <w:i/>
          <w:spacing w:val="-6"/>
          <w:w w:val="92"/>
          <w:sz w:val="20"/>
        </w:rPr>
        <w:t>V</w:t>
      </w:r>
      <w:r>
        <w:rPr>
          <w:rFonts w:ascii="Times New Roman" w:hAnsi="Times New Roman"/>
          <w:w w:val="89"/>
          <w:position w:val="-4"/>
          <w:sz w:val="12"/>
        </w:rPr>
        <w:t>2</w:t>
      </w:r>
      <w:r>
        <w:rPr>
          <w:rFonts w:ascii="Times New Roman" w:hAnsi="Times New Roman"/>
          <w:spacing w:val="-5"/>
          <w:position w:val="-4"/>
          <w:sz w:val="12"/>
        </w:rPr>
        <w:t> </w:t>
      </w:r>
      <w:r>
        <w:rPr>
          <w:rFonts w:ascii="Symbol" w:hAnsi="Symbol"/>
          <w:spacing w:val="-6"/>
          <w:w w:val="67"/>
          <w:sz w:val="27"/>
        </w:rPr>
        <w:t></w:t>
      </w:r>
      <w:r>
        <w:rPr>
          <w:rFonts w:ascii="Times New Roman" w:hAnsi="Times New Roman"/>
          <w:i/>
          <w:spacing w:val="3"/>
          <w:w w:val="89"/>
          <w:position w:val="-5"/>
          <w:sz w:val="12"/>
        </w:rPr>
        <w:t>r</w:t>
      </w:r>
      <w:r>
        <w:rPr>
          <w:rFonts w:ascii="Times New Roman" w:hAnsi="Times New Roman"/>
          <w:i/>
          <w:spacing w:val="-3"/>
          <w:w w:val="89"/>
          <w:position w:val="-5"/>
          <w:sz w:val="12"/>
        </w:rPr>
        <w:t>e</w:t>
      </w:r>
      <w:r>
        <w:rPr>
          <w:rFonts w:ascii="Times New Roman" w:hAnsi="Times New Roman"/>
          <w:i/>
          <w:w w:val="89"/>
          <w:position w:val="-5"/>
          <w:sz w:val="12"/>
        </w:rPr>
        <w:t>f</w:t>
      </w:r>
    </w:p>
    <w:p>
      <w:pPr>
        <w:spacing w:after="0" w:line="355" w:lineRule="exact"/>
        <w:jc w:val="left"/>
        <w:rPr>
          <w:rFonts w:ascii="Times New Roman" w:hAnsi="Times New Roman"/>
          <w:sz w:val="12"/>
        </w:rPr>
        <w:sectPr>
          <w:type w:val="continuous"/>
          <w:pgSz w:w="12240" w:h="15840"/>
          <w:pgMar w:top="3080" w:bottom="2780" w:left="1440" w:right="1460"/>
          <w:cols w:num="4" w:equalWidth="0">
            <w:col w:w="1858" w:space="40"/>
            <w:col w:w="2632" w:space="40"/>
            <w:col w:w="2561" w:space="40"/>
            <w:col w:w="2169"/>
          </w:cols>
        </w:sectPr>
      </w:pPr>
    </w:p>
    <w:p>
      <w:pPr>
        <w:spacing w:line="327" w:lineRule="exact" w:before="0"/>
        <w:ind w:left="844" w:right="0" w:firstLine="0"/>
        <w:jc w:val="left"/>
        <w:rPr>
          <w:rFonts w:ascii="Symbol" w:hAnsi="Symbol"/>
          <w:sz w:val="27"/>
        </w:rPr>
      </w:pPr>
      <w:r>
        <w:rPr/>
        <w:pict>
          <v:line style="position:absolute;mso-position-horizontal-relative:page;mso-position-vertical-relative:paragraph;z-index:-327568" from="352.141205pt,-12.471556pt" to="352.141206pt,-.551903pt" stroked="true" strokeweight=".103622pt" strokecolor="#000000">
            <w10:wrap type="none"/>
          </v:line>
        </w:pict>
      </w:r>
      <w:r>
        <w:rPr/>
        <w:pict>
          <v:line style="position:absolute;mso-position-horizontal-relative:page;mso-position-vertical-relative:paragraph;z-index:-327544" from="364.96814pt,-12.471556pt" to="364.968141pt,-.551903pt" stroked="true" strokeweight=".103622pt" strokecolor="#000000">
            <w10:wrap type="none"/>
          </v:line>
        </w:pict>
      </w:r>
      <w:r>
        <w:rPr/>
        <w:pict>
          <v:shape style="position:absolute;margin-left:413.14505pt;margin-top:-6.633523pt;width:15.4pt;height:6.55pt;mso-position-horizontal-relative:page;mso-position-vertical-relative:paragraph;z-index:-327520" type="#_x0000_t202" filled="false" stroked="false">
            <v:textbox inset="0,0,0,0">
              <w:txbxContent>
                <w:p>
                  <w:pPr>
                    <w:spacing w:line="131" w:lineRule="exact" w:before="0"/>
                    <w:ind w:left="0" w:right="0" w:firstLine="0"/>
                    <w:jc w:val="left"/>
                    <w:rPr>
                      <w:rFonts w:ascii="Times New Roman"/>
                      <w:i/>
                      <w:sz w:val="12"/>
                    </w:rPr>
                  </w:pPr>
                  <w:r>
                    <w:rPr>
                      <w:rFonts w:ascii="Times New Roman"/>
                      <w:position w:val="1"/>
                      <w:sz w:val="12"/>
                    </w:rPr>
                    <w:t>5 </w:t>
                  </w:r>
                  <w:r>
                    <w:rPr>
                      <w:rFonts w:ascii="Times New Roman"/>
                      <w:i/>
                      <w:sz w:val="12"/>
                    </w:rPr>
                    <w:t>new</w:t>
                  </w:r>
                </w:p>
              </w:txbxContent>
            </v:textbox>
            <w10:wrap type="none"/>
          </v:shape>
        </w:pict>
      </w:r>
      <w:r>
        <w:rPr>
          <w:rFonts w:ascii="Symbol" w:hAnsi="Symbol"/>
          <w:spacing w:val="14"/>
          <w:w w:val="92"/>
          <w:sz w:val="20"/>
        </w:rPr>
        <w:t></w:t>
      </w:r>
      <w:r>
        <w:rPr>
          <w:rFonts w:ascii="Times New Roman" w:hAnsi="Times New Roman"/>
          <w:spacing w:val="-2"/>
          <w:w w:val="92"/>
          <w:sz w:val="20"/>
        </w:rPr>
        <w:t>13</w:t>
      </w:r>
      <w:r>
        <w:rPr>
          <w:rFonts w:ascii="Times New Roman" w:hAnsi="Times New Roman"/>
          <w:spacing w:val="-8"/>
          <w:w w:val="92"/>
          <w:sz w:val="20"/>
        </w:rPr>
        <w:t>4</w:t>
      </w:r>
      <w:r>
        <w:rPr>
          <w:rFonts w:ascii="Times New Roman" w:hAnsi="Times New Roman"/>
          <w:spacing w:val="-2"/>
          <w:w w:val="92"/>
          <w:sz w:val="20"/>
        </w:rPr>
        <w:t>.572</w:t>
      </w:r>
      <w:r>
        <w:rPr>
          <w:rFonts w:ascii="Times New Roman" w:hAnsi="Times New Roman"/>
          <w:w w:val="92"/>
          <w:sz w:val="20"/>
        </w:rPr>
        <w:t>9</w:t>
      </w:r>
      <w:r>
        <w:rPr>
          <w:rFonts w:ascii="Times New Roman" w:hAnsi="Times New Roman"/>
          <w:spacing w:val="-33"/>
          <w:sz w:val="20"/>
        </w:rPr>
        <w:t> </w:t>
      </w:r>
      <w:r>
        <w:rPr>
          <w:rFonts w:ascii="Symbol" w:hAnsi="Symbol"/>
          <w:w w:val="92"/>
          <w:sz w:val="20"/>
        </w:rPr>
        <w:t></w:t>
      </w:r>
      <w:r>
        <w:rPr>
          <w:rFonts w:ascii="Times New Roman" w:hAnsi="Times New Roman"/>
          <w:spacing w:val="-23"/>
          <w:sz w:val="20"/>
        </w:rPr>
        <w:t> </w:t>
      </w:r>
      <w:r>
        <w:rPr>
          <w:rFonts w:ascii="Symbol" w:hAnsi="Symbol"/>
          <w:spacing w:val="-5"/>
          <w:w w:val="92"/>
          <w:sz w:val="20"/>
        </w:rPr>
        <w:t></w:t>
      </w:r>
      <w:r>
        <w:rPr>
          <w:rFonts w:ascii="Times New Roman" w:hAnsi="Times New Roman"/>
          <w:i/>
          <w:spacing w:val="-17"/>
          <w:w w:val="92"/>
          <w:sz w:val="20"/>
        </w:rPr>
        <w:t>V</w:t>
      </w:r>
      <w:r>
        <w:rPr>
          <w:rFonts w:ascii="Times New Roman" w:hAnsi="Times New Roman"/>
          <w:w w:val="89"/>
          <w:position w:val="-4"/>
          <w:sz w:val="12"/>
        </w:rPr>
        <w:t>1</w:t>
      </w:r>
      <w:r>
        <w:rPr>
          <w:rFonts w:ascii="Times New Roman" w:hAnsi="Times New Roman"/>
          <w:position w:val="-4"/>
          <w:sz w:val="12"/>
        </w:rPr>
        <w:t> </w:t>
      </w:r>
      <w:r>
        <w:rPr>
          <w:rFonts w:ascii="Times New Roman" w:hAnsi="Times New Roman"/>
          <w:spacing w:val="-13"/>
          <w:position w:val="-4"/>
          <w:sz w:val="12"/>
        </w:rPr>
        <w:t> </w:t>
      </w:r>
      <w:r>
        <w:rPr>
          <w:rFonts w:ascii="Symbol" w:hAnsi="Symbol"/>
          <w:w w:val="92"/>
          <w:sz w:val="20"/>
        </w:rPr>
        <w:t></w:t>
      </w:r>
      <w:r>
        <w:rPr>
          <w:rFonts w:ascii="Times New Roman" w:hAnsi="Times New Roman"/>
          <w:spacing w:val="-22"/>
          <w:sz w:val="20"/>
        </w:rPr>
        <w:t> </w:t>
      </w:r>
      <w:r>
        <w:rPr>
          <w:rFonts w:ascii="Times New Roman" w:hAnsi="Times New Roman"/>
          <w:spacing w:val="-2"/>
          <w:w w:val="92"/>
          <w:sz w:val="20"/>
        </w:rPr>
        <w:t>8</w:t>
      </w:r>
      <w:r>
        <w:rPr>
          <w:rFonts w:ascii="Times New Roman" w:hAnsi="Times New Roman"/>
          <w:spacing w:val="-6"/>
          <w:w w:val="92"/>
          <w:sz w:val="20"/>
        </w:rPr>
        <w:t>9</w:t>
      </w:r>
      <w:r>
        <w:rPr>
          <w:rFonts w:ascii="Times New Roman" w:hAnsi="Times New Roman"/>
          <w:spacing w:val="-2"/>
          <w:w w:val="92"/>
          <w:sz w:val="20"/>
        </w:rPr>
        <w:t>.348</w:t>
      </w:r>
      <w:r>
        <w:rPr>
          <w:rFonts w:ascii="Times New Roman" w:hAnsi="Times New Roman"/>
          <w:spacing w:val="3"/>
          <w:w w:val="92"/>
          <w:sz w:val="20"/>
        </w:rPr>
        <w:t>1</w:t>
      </w:r>
      <w:r>
        <w:rPr>
          <w:rFonts w:ascii="Symbol" w:hAnsi="Symbol"/>
          <w:w w:val="92"/>
          <w:sz w:val="20"/>
        </w:rPr>
        <w:t></w:t>
      </w:r>
      <w:r>
        <w:rPr>
          <w:rFonts w:ascii="Times New Roman" w:hAnsi="Times New Roman"/>
          <w:spacing w:val="-22"/>
          <w:sz w:val="20"/>
        </w:rPr>
        <w:t> </w:t>
      </w:r>
      <w:r>
        <w:rPr>
          <w:rFonts w:ascii="Symbol" w:hAnsi="Symbol"/>
          <w:spacing w:val="-5"/>
          <w:w w:val="92"/>
          <w:sz w:val="20"/>
        </w:rPr>
        <w:t></w:t>
      </w:r>
      <w:r>
        <w:rPr>
          <w:rFonts w:ascii="Times New Roman" w:hAnsi="Times New Roman"/>
          <w:i/>
          <w:spacing w:val="-9"/>
          <w:w w:val="92"/>
          <w:sz w:val="20"/>
        </w:rPr>
        <w:t>V</w:t>
      </w:r>
      <w:r>
        <w:rPr>
          <w:rFonts w:ascii="Times New Roman" w:hAnsi="Times New Roman"/>
          <w:w w:val="89"/>
          <w:position w:val="-4"/>
          <w:sz w:val="12"/>
        </w:rPr>
        <w:t>5</w:t>
      </w:r>
      <w:r>
        <w:rPr>
          <w:rFonts w:ascii="Times New Roman" w:hAnsi="Times New Roman"/>
          <w:position w:val="-4"/>
          <w:sz w:val="12"/>
        </w:rPr>
        <w:t> </w:t>
      </w:r>
      <w:r>
        <w:rPr>
          <w:rFonts w:ascii="Times New Roman" w:hAnsi="Times New Roman"/>
          <w:spacing w:val="-7"/>
          <w:position w:val="-4"/>
          <w:sz w:val="12"/>
        </w:rPr>
        <w:t> </w:t>
      </w:r>
      <w:r>
        <w:rPr>
          <w:rFonts w:ascii="Symbol" w:hAnsi="Symbol"/>
          <w:spacing w:val="14"/>
          <w:w w:val="92"/>
          <w:sz w:val="20"/>
        </w:rPr>
        <w:t></w:t>
      </w:r>
      <w:r>
        <w:rPr>
          <w:rFonts w:ascii="Times New Roman" w:hAnsi="Times New Roman"/>
          <w:spacing w:val="-2"/>
          <w:w w:val="92"/>
          <w:sz w:val="20"/>
        </w:rPr>
        <w:t>1</w:t>
      </w:r>
      <w:r>
        <w:rPr>
          <w:rFonts w:ascii="Times New Roman" w:hAnsi="Times New Roman"/>
          <w:spacing w:val="-6"/>
          <w:w w:val="92"/>
          <w:sz w:val="20"/>
        </w:rPr>
        <w:t>0</w:t>
      </w:r>
      <w:r>
        <w:rPr>
          <w:rFonts w:ascii="Times New Roman" w:hAnsi="Times New Roman"/>
          <w:spacing w:val="-2"/>
          <w:w w:val="92"/>
          <w:sz w:val="20"/>
        </w:rPr>
        <w:t>.440</w:t>
      </w:r>
      <w:r>
        <w:rPr>
          <w:rFonts w:ascii="Times New Roman" w:hAnsi="Times New Roman"/>
          <w:w w:val="92"/>
          <w:sz w:val="20"/>
        </w:rPr>
        <w:t>0</w:t>
      </w:r>
      <w:r>
        <w:rPr>
          <w:rFonts w:ascii="Times New Roman" w:hAnsi="Times New Roman"/>
          <w:spacing w:val="-33"/>
          <w:sz w:val="20"/>
        </w:rPr>
        <w:t> </w:t>
      </w:r>
      <w:r>
        <w:rPr>
          <w:rFonts w:ascii="Symbol" w:hAnsi="Symbol"/>
          <w:w w:val="92"/>
          <w:sz w:val="20"/>
        </w:rPr>
        <w:t></w:t>
      </w:r>
      <w:r>
        <w:rPr>
          <w:rFonts w:ascii="Times New Roman" w:hAnsi="Times New Roman"/>
          <w:spacing w:val="-23"/>
          <w:sz w:val="20"/>
        </w:rPr>
        <w:t> </w:t>
      </w:r>
      <w:r>
        <w:rPr>
          <w:rFonts w:ascii="Symbol" w:hAnsi="Symbol"/>
          <w:w w:val="92"/>
          <w:sz w:val="20"/>
        </w:rPr>
        <w:t></w:t>
      </w:r>
      <w:r>
        <w:rPr>
          <w:rFonts w:ascii="Symbol" w:hAnsi="Symbol"/>
          <w:spacing w:val="-10"/>
          <w:w w:val="92"/>
          <w:sz w:val="20"/>
        </w:rPr>
        <w:t></w:t>
      </w:r>
      <w:r>
        <w:rPr>
          <w:rFonts w:ascii="Times New Roman" w:hAnsi="Times New Roman"/>
          <w:i/>
          <w:spacing w:val="-17"/>
          <w:w w:val="92"/>
          <w:sz w:val="20"/>
        </w:rPr>
        <w:t>V</w:t>
      </w:r>
      <w:r>
        <w:rPr>
          <w:rFonts w:ascii="Times New Roman" w:hAnsi="Times New Roman"/>
          <w:w w:val="89"/>
          <w:position w:val="-4"/>
          <w:sz w:val="12"/>
        </w:rPr>
        <w:t>1</w:t>
      </w:r>
      <w:r>
        <w:rPr>
          <w:rFonts w:ascii="Times New Roman" w:hAnsi="Times New Roman"/>
          <w:spacing w:val="-19"/>
          <w:position w:val="-4"/>
          <w:sz w:val="12"/>
        </w:rPr>
        <w:t> </w:t>
      </w:r>
      <w:r>
        <w:rPr>
          <w:rFonts w:ascii="Symbol" w:hAnsi="Symbol"/>
          <w:spacing w:val="-9"/>
          <w:w w:val="67"/>
          <w:sz w:val="27"/>
        </w:rPr>
        <w:t></w:t>
      </w:r>
      <w:r>
        <w:rPr>
          <w:rFonts w:ascii="Times New Roman" w:hAnsi="Times New Roman"/>
          <w:i/>
          <w:spacing w:val="-12"/>
          <w:w w:val="92"/>
          <w:sz w:val="20"/>
        </w:rPr>
        <w:t>c</w:t>
      </w:r>
      <w:r>
        <w:rPr>
          <w:rFonts w:ascii="Times New Roman" w:hAnsi="Times New Roman"/>
          <w:w w:val="89"/>
          <w:position w:val="-4"/>
          <w:sz w:val="12"/>
        </w:rPr>
        <w:t>1</w:t>
      </w:r>
      <w:r>
        <w:rPr>
          <w:rFonts w:ascii="Times New Roman" w:hAnsi="Times New Roman"/>
          <w:spacing w:val="-13"/>
          <w:position w:val="-4"/>
          <w:sz w:val="12"/>
        </w:rPr>
        <w:t> </w:t>
      </w:r>
      <w:r>
        <w:rPr>
          <w:rFonts w:ascii="Symbol" w:hAnsi="Symbol"/>
          <w:w w:val="67"/>
          <w:sz w:val="27"/>
        </w:rPr>
        <w:t></w:t>
      </w:r>
      <w:r>
        <w:rPr>
          <w:rFonts w:ascii="Times New Roman" w:hAnsi="Times New Roman"/>
          <w:spacing w:val="-47"/>
          <w:sz w:val="27"/>
        </w:rPr>
        <w:t> </w:t>
      </w:r>
      <w:r>
        <w:rPr>
          <w:rFonts w:ascii="Symbol" w:hAnsi="Symbol"/>
          <w:w w:val="92"/>
          <w:sz w:val="20"/>
        </w:rPr>
        <w:t></w:t>
      </w:r>
      <w:r>
        <w:rPr>
          <w:rFonts w:ascii="Times New Roman" w:hAnsi="Times New Roman"/>
          <w:spacing w:val="-20"/>
          <w:sz w:val="20"/>
        </w:rPr>
        <w:t> </w:t>
      </w:r>
      <w:r>
        <w:rPr>
          <w:rFonts w:ascii="Times New Roman" w:hAnsi="Times New Roman"/>
          <w:spacing w:val="-2"/>
          <w:w w:val="92"/>
          <w:sz w:val="20"/>
        </w:rPr>
        <w:t>3</w:t>
      </w:r>
      <w:r>
        <w:rPr>
          <w:rFonts w:ascii="Times New Roman" w:hAnsi="Times New Roman"/>
          <w:spacing w:val="-6"/>
          <w:w w:val="92"/>
          <w:sz w:val="20"/>
        </w:rPr>
        <w:t>4</w:t>
      </w:r>
      <w:r>
        <w:rPr>
          <w:rFonts w:ascii="Times New Roman" w:hAnsi="Times New Roman"/>
          <w:spacing w:val="-2"/>
          <w:w w:val="92"/>
          <w:sz w:val="20"/>
        </w:rPr>
        <w:t>.545</w:t>
      </w:r>
      <w:r>
        <w:rPr>
          <w:rFonts w:ascii="Times New Roman" w:hAnsi="Times New Roman"/>
          <w:w w:val="92"/>
          <w:sz w:val="20"/>
        </w:rPr>
        <w:t>0</w:t>
      </w:r>
      <w:r>
        <w:rPr>
          <w:rFonts w:ascii="Times New Roman" w:hAnsi="Times New Roman"/>
          <w:spacing w:val="-33"/>
          <w:sz w:val="20"/>
        </w:rPr>
        <w:t> </w:t>
      </w:r>
      <w:r>
        <w:rPr>
          <w:rFonts w:ascii="Symbol" w:hAnsi="Symbol"/>
          <w:w w:val="92"/>
          <w:sz w:val="20"/>
        </w:rPr>
        <w:t></w:t>
      </w:r>
      <w:r>
        <w:rPr>
          <w:rFonts w:ascii="Times New Roman" w:hAnsi="Times New Roman"/>
          <w:spacing w:val="-22"/>
          <w:sz w:val="20"/>
        </w:rPr>
        <w:t> </w:t>
      </w:r>
      <w:r>
        <w:rPr>
          <w:rFonts w:ascii="Symbol" w:hAnsi="Symbol"/>
          <w:w w:val="92"/>
          <w:sz w:val="20"/>
        </w:rPr>
        <w:t></w:t>
      </w:r>
      <w:r>
        <w:rPr>
          <w:rFonts w:ascii="Symbol" w:hAnsi="Symbol"/>
          <w:spacing w:val="-10"/>
          <w:w w:val="92"/>
          <w:sz w:val="20"/>
        </w:rPr>
        <w:t></w:t>
      </w:r>
      <w:r>
        <w:rPr>
          <w:rFonts w:ascii="Times New Roman" w:hAnsi="Times New Roman"/>
          <w:i/>
          <w:spacing w:val="-7"/>
          <w:w w:val="92"/>
          <w:sz w:val="20"/>
        </w:rPr>
        <w:t>V</w:t>
      </w:r>
      <w:r>
        <w:rPr>
          <w:rFonts w:ascii="Times New Roman" w:hAnsi="Times New Roman"/>
          <w:w w:val="89"/>
          <w:position w:val="-4"/>
          <w:sz w:val="12"/>
        </w:rPr>
        <w:t>6</w:t>
      </w:r>
      <w:r>
        <w:rPr>
          <w:rFonts w:ascii="Times New Roman" w:hAnsi="Times New Roman"/>
          <w:spacing w:val="-11"/>
          <w:position w:val="-4"/>
          <w:sz w:val="12"/>
        </w:rPr>
        <w:t> </w:t>
      </w:r>
      <w:r>
        <w:rPr>
          <w:rFonts w:ascii="Symbol" w:hAnsi="Symbol"/>
          <w:spacing w:val="-8"/>
          <w:w w:val="67"/>
          <w:sz w:val="27"/>
        </w:rPr>
        <w:t></w:t>
      </w:r>
      <w:r>
        <w:rPr>
          <w:rFonts w:ascii="Times New Roman" w:hAnsi="Times New Roman"/>
          <w:i/>
          <w:spacing w:val="-4"/>
          <w:w w:val="92"/>
          <w:sz w:val="20"/>
        </w:rPr>
        <w:t>c</w:t>
      </w:r>
      <w:r>
        <w:rPr>
          <w:rFonts w:ascii="Times New Roman" w:hAnsi="Times New Roman"/>
          <w:w w:val="89"/>
          <w:position w:val="-4"/>
          <w:sz w:val="12"/>
        </w:rPr>
        <w:t>3</w:t>
      </w:r>
      <w:r>
        <w:rPr>
          <w:rFonts w:ascii="Times New Roman" w:hAnsi="Times New Roman"/>
          <w:spacing w:val="-9"/>
          <w:position w:val="-4"/>
          <w:sz w:val="12"/>
        </w:rPr>
        <w:t> </w:t>
      </w:r>
      <w:r>
        <w:rPr>
          <w:rFonts w:ascii="Symbol" w:hAnsi="Symbol"/>
          <w:w w:val="67"/>
          <w:sz w:val="27"/>
        </w:rPr>
        <w:t></w:t>
      </w:r>
      <w:r>
        <w:rPr>
          <w:rFonts w:ascii="Times New Roman" w:hAnsi="Times New Roman"/>
          <w:spacing w:val="-47"/>
          <w:sz w:val="27"/>
        </w:rPr>
        <w:t> </w:t>
      </w:r>
      <w:r>
        <w:rPr>
          <w:rFonts w:ascii="Symbol" w:hAnsi="Symbol"/>
          <w:w w:val="92"/>
          <w:sz w:val="20"/>
        </w:rPr>
        <w:t></w:t>
      </w:r>
      <w:r>
        <w:rPr>
          <w:rFonts w:ascii="Times New Roman" w:hAnsi="Times New Roman"/>
          <w:spacing w:val="-33"/>
          <w:sz w:val="20"/>
        </w:rPr>
        <w:t> </w:t>
      </w:r>
      <w:r>
        <w:rPr>
          <w:rFonts w:ascii="Times New Roman" w:hAnsi="Times New Roman"/>
          <w:spacing w:val="-2"/>
          <w:w w:val="92"/>
          <w:sz w:val="20"/>
        </w:rPr>
        <w:t>1</w:t>
      </w:r>
      <w:r>
        <w:rPr>
          <w:rFonts w:ascii="Times New Roman" w:hAnsi="Times New Roman"/>
          <w:spacing w:val="-6"/>
          <w:w w:val="92"/>
          <w:sz w:val="20"/>
        </w:rPr>
        <w:t>0</w:t>
      </w:r>
      <w:r>
        <w:rPr>
          <w:rFonts w:ascii="Times New Roman" w:hAnsi="Times New Roman"/>
          <w:spacing w:val="-2"/>
          <w:w w:val="92"/>
          <w:sz w:val="20"/>
        </w:rPr>
        <w:t>.825</w:t>
      </w:r>
      <w:r>
        <w:rPr>
          <w:rFonts w:ascii="Times New Roman" w:hAnsi="Times New Roman"/>
          <w:spacing w:val="11"/>
          <w:w w:val="92"/>
          <w:sz w:val="20"/>
        </w:rPr>
        <w:t>3</w:t>
      </w:r>
      <w:r>
        <w:rPr>
          <w:rFonts w:ascii="Symbol" w:hAnsi="Symbol"/>
          <w:w w:val="92"/>
          <w:sz w:val="20"/>
        </w:rPr>
        <w:t></w:t>
      </w:r>
      <w:r>
        <w:rPr>
          <w:rFonts w:ascii="Times New Roman" w:hAnsi="Times New Roman"/>
          <w:spacing w:val="-23"/>
          <w:sz w:val="20"/>
        </w:rPr>
        <w:t> </w:t>
      </w:r>
      <w:r>
        <w:rPr>
          <w:rFonts w:ascii="Symbol" w:hAnsi="Symbol"/>
          <w:w w:val="92"/>
          <w:sz w:val="20"/>
        </w:rPr>
        <w:t></w:t>
      </w:r>
      <w:r>
        <w:rPr>
          <w:rFonts w:ascii="Symbol" w:hAnsi="Symbol"/>
          <w:spacing w:val="-10"/>
          <w:w w:val="92"/>
          <w:sz w:val="20"/>
        </w:rPr>
        <w:t></w:t>
      </w:r>
      <w:r>
        <w:rPr>
          <w:rFonts w:ascii="Times New Roman" w:hAnsi="Times New Roman"/>
          <w:i/>
          <w:spacing w:val="-17"/>
          <w:w w:val="92"/>
          <w:sz w:val="20"/>
        </w:rPr>
        <w:t>V</w:t>
      </w:r>
      <w:r>
        <w:rPr>
          <w:rFonts w:ascii="Times New Roman" w:hAnsi="Times New Roman"/>
          <w:w w:val="89"/>
          <w:position w:val="-4"/>
          <w:sz w:val="12"/>
        </w:rPr>
        <w:t>1</w:t>
      </w:r>
      <w:r>
        <w:rPr>
          <w:rFonts w:ascii="Times New Roman" w:hAnsi="Times New Roman"/>
          <w:spacing w:val="-19"/>
          <w:position w:val="-4"/>
          <w:sz w:val="12"/>
        </w:rPr>
        <w:t> </w:t>
      </w:r>
      <w:r>
        <w:rPr>
          <w:rFonts w:ascii="Symbol" w:hAnsi="Symbol"/>
          <w:spacing w:val="-9"/>
          <w:w w:val="67"/>
          <w:sz w:val="27"/>
        </w:rPr>
        <w:t></w:t>
      </w:r>
      <w:r>
        <w:rPr>
          <w:rFonts w:ascii="Times New Roman" w:hAnsi="Times New Roman"/>
          <w:i/>
          <w:spacing w:val="-1"/>
          <w:w w:val="92"/>
          <w:sz w:val="20"/>
        </w:rPr>
        <w:t>c</w:t>
      </w:r>
      <w:r>
        <w:rPr>
          <w:rFonts w:ascii="Times New Roman" w:hAnsi="Times New Roman"/>
          <w:w w:val="89"/>
          <w:position w:val="-4"/>
          <w:sz w:val="12"/>
        </w:rPr>
        <w:t>4</w:t>
      </w:r>
      <w:r>
        <w:rPr>
          <w:rFonts w:ascii="Times New Roman" w:hAnsi="Times New Roman"/>
          <w:spacing w:val="-5"/>
          <w:position w:val="-4"/>
          <w:sz w:val="12"/>
        </w:rPr>
        <w:t> </w:t>
      </w:r>
      <w:r>
        <w:rPr>
          <w:rFonts w:ascii="Symbol" w:hAnsi="Symbol"/>
          <w:w w:val="67"/>
          <w:sz w:val="27"/>
        </w:rPr>
        <w:t></w:t>
      </w:r>
    </w:p>
    <w:p>
      <w:pPr>
        <w:spacing w:line="221" w:lineRule="exact" w:before="0"/>
        <w:ind w:left="844" w:right="0" w:firstLine="0"/>
        <w:jc w:val="left"/>
        <w:rPr>
          <w:rFonts w:ascii="Times New Roman" w:hAnsi="Times New Roman"/>
          <w:sz w:val="12"/>
        </w:rPr>
      </w:pPr>
      <w:r>
        <w:rPr>
          <w:rFonts w:ascii="Symbol" w:hAnsi="Symbol"/>
          <w:w w:val="92"/>
          <w:sz w:val="20"/>
        </w:rPr>
        <w:t></w:t>
      </w:r>
      <w:r>
        <w:rPr>
          <w:rFonts w:ascii="Times New Roman" w:hAnsi="Times New Roman"/>
          <w:spacing w:val="-19"/>
          <w:sz w:val="20"/>
        </w:rPr>
        <w:t> </w:t>
      </w:r>
      <w:r>
        <w:rPr>
          <w:rFonts w:ascii="Times New Roman" w:hAnsi="Times New Roman"/>
          <w:spacing w:val="-4"/>
          <w:w w:val="92"/>
          <w:sz w:val="20"/>
        </w:rPr>
        <w:t>0</w:t>
      </w:r>
      <w:r>
        <w:rPr>
          <w:rFonts w:ascii="Times New Roman" w:hAnsi="Times New Roman"/>
          <w:spacing w:val="-2"/>
          <w:w w:val="92"/>
          <w:sz w:val="20"/>
        </w:rPr>
        <w:t>.453</w:t>
      </w:r>
      <w:r>
        <w:rPr>
          <w:rFonts w:ascii="Times New Roman" w:hAnsi="Times New Roman"/>
          <w:spacing w:val="3"/>
          <w:w w:val="92"/>
          <w:sz w:val="20"/>
        </w:rPr>
        <w:t>1</w:t>
      </w:r>
      <w:r>
        <w:rPr>
          <w:rFonts w:ascii="Symbol" w:hAnsi="Symbol"/>
          <w:w w:val="92"/>
          <w:sz w:val="20"/>
        </w:rPr>
        <w:t></w:t>
      </w:r>
      <w:r>
        <w:rPr>
          <w:rFonts w:ascii="Times New Roman" w:hAnsi="Times New Roman"/>
          <w:spacing w:val="-23"/>
          <w:sz w:val="20"/>
        </w:rPr>
        <w:t> </w:t>
      </w:r>
      <w:r>
        <w:rPr>
          <w:rFonts w:ascii="Symbol" w:hAnsi="Symbol"/>
          <w:w w:val="92"/>
          <w:sz w:val="20"/>
        </w:rPr>
        <w:t></w:t>
      </w:r>
      <w:r>
        <w:rPr>
          <w:rFonts w:ascii="Symbol" w:hAnsi="Symbol"/>
          <w:spacing w:val="-10"/>
          <w:w w:val="92"/>
          <w:sz w:val="20"/>
        </w:rPr>
        <w:t></w:t>
      </w:r>
      <w:r>
        <w:rPr>
          <w:rFonts w:ascii="Times New Roman" w:hAnsi="Times New Roman"/>
          <w:i/>
          <w:w w:val="92"/>
          <w:sz w:val="20"/>
        </w:rPr>
        <w:t>V</w:t>
      </w:r>
      <w:r>
        <w:rPr>
          <w:rFonts w:ascii="Times New Roman" w:hAnsi="Times New Roman"/>
          <w:i/>
          <w:spacing w:val="13"/>
          <w:sz w:val="20"/>
        </w:rPr>
        <w:t> </w:t>
      </w:r>
      <w:r>
        <w:rPr>
          <w:rFonts w:ascii="Symbol" w:hAnsi="Symbol"/>
          <w:spacing w:val="-9"/>
          <w:w w:val="67"/>
          <w:sz w:val="27"/>
        </w:rPr>
        <w:t></w:t>
      </w:r>
      <w:r>
        <w:rPr>
          <w:rFonts w:ascii="Times New Roman" w:hAnsi="Times New Roman"/>
          <w:i/>
          <w:w w:val="92"/>
          <w:sz w:val="20"/>
        </w:rPr>
        <w:t>c</w:t>
      </w:r>
      <w:r>
        <w:rPr>
          <w:rFonts w:ascii="Times New Roman" w:hAnsi="Times New Roman"/>
          <w:i/>
          <w:spacing w:val="24"/>
          <w:sz w:val="20"/>
        </w:rPr>
        <w:t> </w:t>
      </w:r>
      <w:r>
        <w:rPr>
          <w:rFonts w:ascii="Symbol" w:hAnsi="Symbol"/>
          <w:w w:val="67"/>
          <w:sz w:val="27"/>
        </w:rPr>
        <w:t></w:t>
      </w:r>
      <w:r>
        <w:rPr>
          <w:rFonts w:ascii="Times New Roman" w:hAnsi="Times New Roman"/>
          <w:spacing w:val="-47"/>
          <w:sz w:val="27"/>
        </w:rPr>
        <w:t> </w:t>
      </w:r>
      <w:r>
        <w:rPr>
          <w:rFonts w:ascii="Symbol" w:hAnsi="Symbol"/>
          <w:w w:val="92"/>
          <w:sz w:val="20"/>
        </w:rPr>
        <w:t></w:t>
      </w:r>
      <w:r>
        <w:rPr>
          <w:rFonts w:ascii="Times New Roman" w:hAnsi="Times New Roman"/>
          <w:spacing w:val="-16"/>
          <w:sz w:val="20"/>
        </w:rPr>
        <w:t> </w:t>
      </w:r>
      <w:r>
        <w:rPr>
          <w:rFonts w:ascii="Times New Roman" w:hAnsi="Times New Roman"/>
          <w:spacing w:val="-4"/>
          <w:w w:val="92"/>
          <w:sz w:val="20"/>
        </w:rPr>
        <w:t>7</w:t>
      </w:r>
      <w:r>
        <w:rPr>
          <w:rFonts w:ascii="Times New Roman" w:hAnsi="Times New Roman"/>
          <w:spacing w:val="-2"/>
          <w:w w:val="92"/>
          <w:sz w:val="20"/>
        </w:rPr>
        <w:t>.445</w:t>
      </w:r>
      <w:r>
        <w:rPr>
          <w:rFonts w:ascii="Times New Roman" w:hAnsi="Times New Roman"/>
          <w:w w:val="92"/>
          <w:sz w:val="20"/>
        </w:rPr>
        <w:t>4</w:t>
      </w:r>
      <w:r>
        <w:rPr>
          <w:rFonts w:ascii="Times New Roman" w:hAnsi="Times New Roman"/>
          <w:spacing w:val="-33"/>
          <w:sz w:val="20"/>
        </w:rPr>
        <w:t> </w:t>
      </w:r>
      <w:r>
        <w:rPr>
          <w:rFonts w:ascii="Symbol" w:hAnsi="Symbol"/>
          <w:w w:val="92"/>
          <w:sz w:val="20"/>
        </w:rPr>
        <w:t></w:t>
      </w:r>
      <w:r>
        <w:rPr>
          <w:rFonts w:ascii="Times New Roman" w:hAnsi="Times New Roman"/>
          <w:spacing w:val="-26"/>
          <w:sz w:val="20"/>
        </w:rPr>
        <w:t> </w:t>
      </w:r>
      <w:r>
        <w:rPr>
          <w:rFonts w:ascii="Symbol" w:hAnsi="Symbol"/>
          <w:spacing w:val="-22"/>
          <w:w w:val="67"/>
          <w:sz w:val="27"/>
        </w:rPr>
        <w:t></w:t>
      </w:r>
      <w:r>
        <w:rPr>
          <w:rFonts w:ascii="Times New Roman" w:hAnsi="Times New Roman"/>
          <w:i/>
          <w:w w:val="92"/>
          <w:sz w:val="20"/>
        </w:rPr>
        <w:t>V</w:t>
      </w:r>
      <w:r>
        <w:rPr>
          <w:rFonts w:ascii="Times New Roman" w:hAnsi="Times New Roman"/>
          <w:i/>
          <w:spacing w:val="22"/>
          <w:sz w:val="20"/>
        </w:rPr>
        <w:t> </w:t>
      </w:r>
      <w:r>
        <w:rPr>
          <w:rFonts w:ascii="Symbol" w:hAnsi="Symbol"/>
          <w:spacing w:val="-6"/>
          <w:w w:val="67"/>
          <w:sz w:val="27"/>
        </w:rPr>
        <w:t></w:t>
      </w:r>
      <w:r>
        <w:rPr>
          <w:rFonts w:ascii="Times New Roman" w:hAnsi="Times New Roman"/>
          <w:w w:val="89"/>
          <w:position w:val="10"/>
          <w:sz w:val="12"/>
        </w:rPr>
        <w:t>2</w:t>
      </w:r>
      <w:r>
        <w:rPr>
          <w:rFonts w:ascii="Times New Roman" w:hAnsi="Times New Roman"/>
          <w:position w:val="10"/>
          <w:sz w:val="12"/>
        </w:rPr>
        <w:t>     </w:t>
      </w:r>
      <w:r>
        <w:rPr>
          <w:rFonts w:ascii="Times New Roman" w:hAnsi="Times New Roman"/>
          <w:spacing w:val="-12"/>
          <w:position w:val="10"/>
          <w:sz w:val="12"/>
        </w:rPr>
        <w:t> </w:t>
      </w:r>
      <w:r>
        <w:rPr>
          <w:rFonts w:ascii="Symbol" w:hAnsi="Symbol"/>
          <w:w w:val="92"/>
          <w:sz w:val="20"/>
        </w:rPr>
        <w:t></w:t>
      </w:r>
      <w:r>
        <w:rPr>
          <w:rFonts w:ascii="Times New Roman" w:hAnsi="Times New Roman"/>
          <w:spacing w:val="-17"/>
          <w:sz w:val="20"/>
        </w:rPr>
        <w:t> </w:t>
      </w:r>
      <w:r>
        <w:rPr>
          <w:rFonts w:ascii="Times New Roman" w:hAnsi="Times New Roman"/>
          <w:spacing w:val="-4"/>
          <w:w w:val="92"/>
          <w:sz w:val="20"/>
        </w:rPr>
        <w:t>0</w:t>
      </w:r>
      <w:r>
        <w:rPr>
          <w:rFonts w:ascii="Times New Roman" w:hAnsi="Times New Roman"/>
          <w:spacing w:val="-2"/>
          <w:w w:val="92"/>
          <w:sz w:val="20"/>
        </w:rPr>
        <w:t>.297</w:t>
      </w:r>
      <w:r>
        <w:rPr>
          <w:rFonts w:ascii="Times New Roman" w:hAnsi="Times New Roman"/>
          <w:w w:val="92"/>
          <w:sz w:val="20"/>
        </w:rPr>
        <w:t>7</w:t>
      </w:r>
      <w:r>
        <w:rPr>
          <w:rFonts w:ascii="Times New Roman" w:hAnsi="Times New Roman"/>
          <w:spacing w:val="-30"/>
          <w:sz w:val="20"/>
        </w:rPr>
        <w:t> </w:t>
      </w:r>
      <w:r>
        <w:rPr>
          <w:rFonts w:ascii="Symbol" w:hAnsi="Symbol"/>
          <w:w w:val="92"/>
          <w:sz w:val="20"/>
        </w:rPr>
        <w:t></w:t>
      </w:r>
      <w:r>
        <w:rPr>
          <w:rFonts w:ascii="Times New Roman" w:hAnsi="Times New Roman"/>
          <w:spacing w:val="-26"/>
          <w:sz w:val="20"/>
        </w:rPr>
        <w:t> </w:t>
      </w:r>
      <w:r>
        <w:rPr>
          <w:rFonts w:ascii="Symbol" w:hAnsi="Symbol"/>
          <w:spacing w:val="-6"/>
          <w:w w:val="67"/>
          <w:sz w:val="27"/>
        </w:rPr>
        <w:t></w:t>
      </w:r>
      <w:r>
        <w:rPr>
          <w:rFonts w:ascii="Symbol" w:hAnsi="Symbol"/>
          <w:w w:val="92"/>
          <w:sz w:val="20"/>
        </w:rPr>
        <w:t></w:t>
      </w:r>
      <w:r>
        <w:rPr>
          <w:rFonts w:ascii="Symbol" w:hAnsi="Symbol"/>
          <w:spacing w:val="-10"/>
          <w:w w:val="92"/>
          <w:sz w:val="20"/>
        </w:rPr>
        <w:t></w:t>
      </w:r>
      <w:r>
        <w:rPr>
          <w:rFonts w:ascii="Times New Roman" w:hAnsi="Times New Roman"/>
          <w:i/>
          <w:w w:val="92"/>
          <w:sz w:val="20"/>
        </w:rPr>
        <w:t>V</w:t>
      </w:r>
      <w:r>
        <w:rPr>
          <w:rFonts w:ascii="Times New Roman" w:hAnsi="Times New Roman"/>
          <w:i/>
          <w:spacing w:val="16"/>
          <w:sz w:val="20"/>
        </w:rPr>
        <w:t> </w:t>
      </w:r>
      <w:r>
        <w:rPr>
          <w:rFonts w:ascii="Symbol" w:hAnsi="Symbol"/>
          <w:spacing w:val="-9"/>
          <w:w w:val="67"/>
          <w:sz w:val="27"/>
        </w:rPr>
        <w:t></w:t>
      </w:r>
      <w:r>
        <w:rPr>
          <w:rFonts w:ascii="Times New Roman" w:hAnsi="Times New Roman"/>
          <w:i/>
          <w:w w:val="92"/>
          <w:sz w:val="20"/>
        </w:rPr>
        <w:t>c</w:t>
      </w:r>
      <w:r>
        <w:rPr>
          <w:rFonts w:ascii="Times New Roman" w:hAnsi="Times New Roman"/>
          <w:i/>
          <w:sz w:val="20"/>
        </w:rPr>
        <w:t> </w:t>
      </w:r>
      <w:r>
        <w:rPr>
          <w:rFonts w:ascii="Times New Roman" w:hAnsi="Times New Roman"/>
          <w:i/>
          <w:spacing w:val="-21"/>
          <w:sz w:val="20"/>
        </w:rPr>
        <w:t> </w:t>
      </w:r>
      <w:r>
        <w:rPr>
          <w:rFonts w:ascii="Symbol" w:hAnsi="Symbol"/>
          <w:spacing w:val="-9"/>
          <w:w w:val="67"/>
          <w:sz w:val="27"/>
        </w:rPr>
        <w:t></w:t>
      </w:r>
      <w:r>
        <w:rPr>
          <w:rFonts w:ascii="Symbol" w:hAnsi="Symbol"/>
          <w:spacing w:val="-6"/>
          <w:w w:val="67"/>
          <w:sz w:val="27"/>
        </w:rPr>
        <w:t></w:t>
      </w:r>
      <w:r>
        <w:rPr>
          <w:rFonts w:ascii="Times New Roman" w:hAnsi="Times New Roman"/>
          <w:w w:val="89"/>
          <w:position w:val="10"/>
          <w:sz w:val="12"/>
        </w:rPr>
        <w:t>2</w:t>
      </w:r>
      <w:r>
        <w:rPr>
          <w:rFonts w:ascii="Times New Roman" w:hAnsi="Times New Roman"/>
          <w:position w:val="10"/>
          <w:sz w:val="12"/>
        </w:rPr>
        <w:t> </w:t>
      </w:r>
      <w:r>
        <w:rPr>
          <w:rFonts w:ascii="Times New Roman" w:hAnsi="Times New Roman"/>
          <w:spacing w:val="-5"/>
          <w:position w:val="10"/>
          <w:sz w:val="12"/>
        </w:rPr>
        <w:t> </w:t>
      </w:r>
      <w:r>
        <w:rPr>
          <w:rFonts w:ascii="Symbol" w:hAnsi="Symbol"/>
          <w:w w:val="92"/>
          <w:sz w:val="20"/>
        </w:rPr>
        <w:t></w:t>
      </w:r>
      <w:r>
        <w:rPr>
          <w:rFonts w:ascii="Times New Roman" w:hAnsi="Times New Roman"/>
          <w:spacing w:val="-19"/>
          <w:sz w:val="20"/>
        </w:rPr>
        <w:t> </w:t>
      </w:r>
      <w:r>
        <w:rPr>
          <w:rFonts w:ascii="Times New Roman" w:hAnsi="Times New Roman"/>
          <w:spacing w:val="-4"/>
          <w:w w:val="92"/>
          <w:sz w:val="20"/>
        </w:rPr>
        <w:t>0</w:t>
      </w:r>
      <w:r>
        <w:rPr>
          <w:rFonts w:ascii="Times New Roman" w:hAnsi="Times New Roman"/>
          <w:spacing w:val="-2"/>
          <w:w w:val="92"/>
          <w:sz w:val="20"/>
        </w:rPr>
        <w:t>.311</w:t>
      </w:r>
      <w:r>
        <w:rPr>
          <w:rFonts w:ascii="Times New Roman" w:hAnsi="Times New Roman"/>
          <w:spacing w:val="14"/>
          <w:w w:val="92"/>
          <w:sz w:val="20"/>
        </w:rPr>
        <w:t>5</w:t>
      </w:r>
      <w:r>
        <w:rPr>
          <w:rFonts w:ascii="Symbol" w:hAnsi="Symbol"/>
          <w:w w:val="92"/>
          <w:sz w:val="20"/>
        </w:rPr>
        <w:t></w:t>
      </w:r>
      <w:r>
        <w:rPr>
          <w:rFonts w:ascii="Times New Roman" w:hAnsi="Times New Roman"/>
          <w:spacing w:val="-26"/>
          <w:sz w:val="20"/>
        </w:rPr>
        <w:t> </w:t>
      </w:r>
      <w:r>
        <w:rPr>
          <w:rFonts w:ascii="Symbol" w:hAnsi="Symbol"/>
          <w:spacing w:val="-6"/>
          <w:w w:val="67"/>
          <w:sz w:val="27"/>
        </w:rPr>
        <w:t></w:t>
      </w:r>
      <w:r>
        <w:rPr>
          <w:rFonts w:ascii="Symbol" w:hAnsi="Symbol"/>
          <w:w w:val="92"/>
          <w:sz w:val="20"/>
        </w:rPr>
        <w:t></w:t>
      </w:r>
      <w:r>
        <w:rPr>
          <w:rFonts w:ascii="Symbol" w:hAnsi="Symbol"/>
          <w:spacing w:val="-10"/>
          <w:w w:val="92"/>
          <w:sz w:val="20"/>
        </w:rPr>
        <w:t></w:t>
      </w:r>
      <w:r>
        <w:rPr>
          <w:rFonts w:ascii="Times New Roman" w:hAnsi="Times New Roman"/>
          <w:i/>
          <w:w w:val="92"/>
          <w:sz w:val="20"/>
        </w:rPr>
        <w:t>V</w:t>
      </w:r>
      <w:r>
        <w:rPr>
          <w:rFonts w:ascii="Times New Roman" w:hAnsi="Times New Roman"/>
          <w:i/>
          <w:spacing w:val="16"/>
          <w:sz w:val="20"/>
        </w:rPr>
        <w:t> </w:t>
      </w:r>
      <w:r>
        <w:rPr>
          <w:rFonts w:ascii="Symbol" w:hAnsi="Symbol"/>
          <w:spacing w:val="-9"/>
          <w:w w:val="67"/>
          <w:sz w:val="27"/>
        </w:rPr>
        <w:t></w:t>
      </w:r>
      <w:r>
        <w:rPr>
          <w:rFonts w:ascii="Times New Roman" w:hAnsi="Times New Roman"/>
          <w:i/>
          <w:w w:val="92"/>
          <w:sz w:val="20"/>
        </w:rPr>
        <w:t>c</w:t>
      </w:r>
      <w:r>
        <w:rPr>
          <w:rFonts w:ascii="Times New Roman" w:hAnsi="Times New Roman"/>
          <w:i/>
          <w:sz w:val="20"/>
        </w:rPr>
        <w:t> </w:t>
      </w:r>
      <w:r>
        <w:rPr>
          <w:rFonts w:ascii="Times New Roman" w:hAnsi="Times New Roman"/>
          <w:i/>
          <w:spacing w:val="-23"/>
          <w:sz w:val="20"/>
        </w:rPr>
        <w:t> </w:t>
      </w:r>
      <w:r>
        <w:rPr>
          <w:rFonts w:ascii="Symbol" w:hAnsi="Symbol"/>
          <w:spacing w:val="-10"/>
          <w:w w:val="67"/>
          <w:sz w:val="27"/>
        </w:rPr>
        <w:t></w:t>
      </w:r>
      <w:r>
        <w:rPr>
          <w:rFonts w:ascii="Symbol" w:hAnsi="Symbol"/>
          <w:spacing w:val="-6"/>
          <w:w w:val="67"/>
          <w:sz w:val="27"/>
        </w:rPr>
        <w:t></w:t>
      </w:r>
      <w:r>
        <w:rPr>
          <w:rFonts w:ascii="Times New Roman" w:hAnsi="Times New Roman"/>
          <w:w w:val="89"/>
          <w:position w:val="10"/>
          <w:sz w:val="12"/>
        </w:rPr>
        <w:t>2</w:t>
      </w:r>
    </w:p>
    <w:p>
      <w:pPr>
        <w:tabs>
          <w:tab w:pos="3105" w:val="left" w:leader="none"/>
          <w:tab w:pos="4565" w:val="left" w:leader="none"/>
          <w:tab w:pos="6164" w:val="left" w:leader="none"/>
        </w:tabs>
        <w:spacing w:line="134" w:lineRule="exact" w:before="0"/>
        <w:ind w:left="1875" w:right="0" w:firstLine="0"/>
        <w:jc w:val="left"/>
        <w:rPr>
          <w:rFonts w:ascii="Times New Roman"/>
          <w:sz w:val="12"/>
        </w:rPr>
      </w:pPr>
      <w:r>
        <w:rPr>
          <w:rFonts w:ascii="Times New Roman"/>
          <w:position w:val="1"/>
          <w:sz w:val="12"/>
        </w:rPr>
        <w:t>5   </w:t>
      </w:r>
      <w:r>
        <w:rPr>
          <w:rFonts w:ascii="Times New Roman"/>
          <w:spacing w:val="20"/>
          <w:position w:val="1"/>
          <w:sz w:val="12"/>
        </w:rPr>
        <w:t> </w:t>
      </w:r>
      <w:r>
        <w:rPr>
          <w:rFonts w:ascii="Times New Roman"/>
          <w:position w:val="1"/>
          <w:sz w:val="12"/>
        </w:rPr>
        <w:t>5</w:t>
        <w:tab/>
        <w:t>6 </w:t>
      </w:r>
      <w:r>
        <w:rPr>
          <w:rFonts w:ascii="Times New Roman"/>
          <w:spacing w:val="6"/>
          <w:position w:val="1"/>
          <w:sz w:val="12"/>
        </w:rPr>
        <w:t> </w:t>
      </w:r>
      <w:r>
        <w:rPr>
          <w:rFonts w:ascii="Times New Roman"/>
          <w:i/>
          <w:sz w:val="12"/>
        </w:rPr>
        <w:t>new</w:t>
        <w:tab/>
      </w:r>
      <w:r>
        <w:rPr>
          <w:rFonts w:ascii="Times New Roman"/>
          <w:position w:val="1"/>
          <w:sz w:val="12"/>
        </w:rPr>
        <w:t>6   </w:t>
      </w:r>
      <w:r>
        <w:rPr>
          <w:rFonts w:ascii="Times New Roman"/>
          <w:spacing w:val="25"/>
          <w:position w:val="1"/>
          <w:sz w:val="12"/>
        </w:rPr>
        <w:t> </w:t>
      </w:r>
      <w:r>
        <w:rPr>
          <w:rFonts w:ascii="Times New Roman"/>
          <w:position w:val="1"/>
          <w:sz w:val="12"/>
        </w:rPr>
        <w:t>2</w:t>
        <w:tab/>
        <w:t>6   </w:t>
      </w:r>
      <w:r>
        <w:rPr>
          <w:rFonts w:ascii="Times New Roman"/>
          <w:spacing w:val="19"/>
          <w:position w:val="1"/>
          <w:sz w:val="12"/>
        </w:rPr>
        <w:t> </w:t>
      </w:r>
      <w:r>
        <w:rPr>
          <w:rFonts w:ascii="Times New Roman"/>
          <w:position w:val="1"/>
          <w:sz w:val="12"/>
        </w:rPr>
        <w:t>6</w:t>
      </w:r>
    </w:p>
    <w:p>
      <w:pPr>
        <w:spacing w:after="0" w:line="134" w:lineRule="exact"/>
        <w:jc w:val="left"/>
        <w:rPr>
          <w:rFonts w:ascii="Times New Roman"/>
          <w:sz w:val="12"/>
        </w:rPr>
        <w:sectPr>
          <w:type w:val="continuous"/>
          <w:pgSz w:w="12240" w:h="15840"/>
          <w:pgMar w:top="3080" w:bottom="2780" w:left="1440" w:right="1460"/>
        </w:sectPr>
      </w:pPr>
    </w:p>
    <w:p>
      <w:pPr>
        <w:spacing w:before="52"/>
        <w:ind w:left="1408" w:right="-13" w:firstLine="0"/>
        <w:jc w:val="left"/>
        <w:rPr>
          <w:rFonts w:ascii="Times New Roman" w:hAnsi="Times New Roman"/>
          <w:sz w:val="20"/>
        </w:rPr>
      </w:pPr>
      <w:r>
        <w:rPr>
          <w:rFonts w:ascii="Times New Roman" w:hAnsi="Times New Roman"/>
          <w:i/>
          <w:spacing w:val="-5"/>
          <w:w w:val="95"/>
          <w:sz w:val="20"/>
        </w:rPr>
        <w:t>No</w:t>
      </w:r>
      <w:r>
        <w:rPr>
          <w:rFonts w:ascii="Times New Roman" w:hAnsi="Times New Roman"/>
          <w:spacing w:val="-5"/>
          <w:w w:val="95"/>
          <w:sz w:val="20"/>
        </w:rPr>
        <w:t>.</w:t>
      </w:r>
      <w:r>
        <w:rPr>
          <w:rFonts w:ascii="Times New Roman" w:hAnsi="Times New Roman"/>
          <w:spacing w:val="-27"/>
          <w:w w:val="95"/>
          <w:sz w:val="20"/>
        </w:rPr>
        <w:t> </w:t>
      </w:r>
      <w:r>
        <w:rPr>
          <w:rFonts w:ascii="Symbol" w:hAnsi="Symbol"/>
          <w:w w:val="95"/>
          <w:sz w:val="20"/>
        </w:rPr>
        <w:t></w:t>
      </w:r>
      <w:r>
        <w:rPr>
          <w:rFonts w:ascii="Times New Roman" w:hAnsi="Times New Roman"/>
          <w:spacing w:val="-25"/>
          <w:w w:val="95"/>
          <w:sz w:val="20"/>
        </w:rPr>
        <w:t> </w:t>
      </w:r>
      <w:r>
        <w:rPr>
          <w:rFonts w:ascii="Times New Roman" w:hAnsi="Times New Roman"/>
          <w:spacing w:val="-5"/>
          <w:w w:val="95"/>
          <w:sz w:val="20"/>
        </w:rPr>
        <w:t>545,695;</w:t>
      </w:r>
    </w:p>
    <w:p>
      <w:pPr>
        <w:spacing w:before="42"/>
        <w:ind w:left="320" w:right="-14" w:firstLine="0"/>
        <w:jc w:val="left"/>
        <w:rPr>
          <w:rFonts w:ascii="Times New Roman" w:hAnsi="Times New Roman"/>
          <w:sz w:val="20"/>
        </w:rPr>
      </w:pPr>
      <w:r>
        <w:rPr/>
        <w:br w:type="column"/>
      </w:r>
      <w:r>
        <w:rPr>
          <w:rFonts w:ascii="Symbol" w:hAnsi="Symbol"/>
          <w:i/>
          <w:w w:val="95"/>
          <w:sz w:val="21"/>
        </w:rPr>
        <w:t></w:t>
      </w:r>
      <w:r>
        <w:rPr>
          <w:rFonts w:ascii="Times New Roman" w:hAnsi="Times New Roman"/>
          <w:i/>
          <w:w w:val="95"/>
          <w:sz w:val="21"/>
        </w:rPr>
        <w:t> </w:t>
      </w:r>
      <w:r>
        <w:rPr>
          <w:rFonts w:ascii="Times New Roman" w:hAnsi="Times New Roman"/>
          <w:w w:val="95"/>
          <w:position w:val="9"/>
          <w:sz w:val="12"/>
        </w:rPr>
        <w:t>2 </w:t>
      </w:r>
      <w:r>
        <w:rPr>
          <w:rFonts w:ascii="Symbol" w:hAnsi="Symbol"/>
          <w:w w:val="95"/>
          <w:sz w:val="20"/>
        </w:rPr>
        <w:t></w:t>
      </w:r>
      <w:r>
        <w:rPr>
          <w:rFonts w:ascii="Times New Roman" w:hAnsi="Times New Roman"/>
          <w:spacing w:val="-27"/>
          <w:w w:val="95"/>
          <w:sz w:val="20"/>
        </w:rPr>
        <w:t> </w:t>
      </w:r>
      <w:r>
        <w:rPr>
          <w:rFonts w:ascii="Times New Roman" w:hAnsi="Times New Roman"/>
          <w:spacing w:val="-5"/>
          <w:w w:val="95"/>
          <w:sz w:val="20"/>
        </w:rPr>
        <w:t>619,988.9;</w:t>
      </w:r>
    </w:p>
    <w:p>
      <w:pPr>
        <w:spacing w:before="52"/>
        <w:ind w:left="522" w:right="0" w:firstLine="0"/>
        <w:jc w:val="left"/>
        <w:rPr>
          <w:rFonts w:ascii="Times New Roman" w:hAnsi="Times New Roman"/>
          <w:sz w:val="20"/>
        </w:rPr>
      </w:pPr>
      <w:r>
        <w:rPr/>
        <w:br w:type="column"/>
      </w:r>
      <w:r>
        <w:rPr>
          <w:rFonts w:ascii="Times New Roman" w:hAnsi="Times New Roman"/>
          <w:i/>
          <w:w w:val="95"/>
          <w:sz w:val="20"/>
        </w:rPr>
        <w:t>p </w:t>
      </w:r>
      <w:r>
        <w:rPr>
          <w:rFonts w:ascii="Symbol" w:hAnsi="Symbol"/>
          <w:w w:val="95"/>
          <w:sz w:val="20"/>
        </w:rPr>
        <w:t></w:t>
      </w:r>
      <w:r>
        <w:rPr>
          <w:rFonts w:ascii="Times New Roman" w:hAnsi="Times New Roman"/>
          <w:w w:val="95"/>
          <w:sz w:val="20"/>
        </w:rPr>
        <w:t> 0.001</w:t>
      </w:r>
    </w:p>
    <w:p>
      <w:pPr>
        <w:spacing w:after="0"/>
        <w:jc w:val="left"/>
        <w:rPr>
          <w:rFonts w:ascii="Times New Roman" w:hAnsi="Times New Roman"/>
          <w:sz w:val="20"/>
        </w:rPr>
        <w:sectPr>
          <w:type w:val="continuous"/>
          <w:pgSz w:w="12240" w:h="15840"/>
          <w:pgMar w:top="3080" w:bottom="2780" w:left="1440" w:right="1460"/>
          <w:cols w:num="3" w:equalWidth="0">
            <w:col w:w="2447" w:space="40"/>
            <w:col w:w="1459" w:space="40"/>
            <w:col w:w="5354"/>
          </w:cols>
        </w:sectPr>
      </w:pPr>
    </w:p>
    <w:p>
      <w:pPr>
        <w:pStyle w:val="BodyText"/>
        <w:spacing w:before="4"/>
        <w:rPr>
          <w:rFonts w:ascii="Times New Roman"/>
          <w:sz w:val="18"/>
        </w:rPr>
      </w:pPr>
    </w:p>
    <w:p>
      <w:pPr>
        <w:spacing w:line="235" w:lineRule="auto" w:before="77"/>
        <w:ind w:left="259" w:right="235" w:firstLine="283"/>
        <w:jc w:val="both"/>
        <w:rPr>
          <w:rFonts w:ascii="Times New Roman"/>
          <w:sz w:val="22"/>
        </w:rPr>
      </w:pPr>
      <w:r>
        <w:rPr>
          <w:rFonts w:ascii="Times New Roman"/>
          <w:sz w:val="22"/>
        </w:rPr>
        <w:t>In this model, description </w:t>
      </w:r>
      <w:r>
        <w:rPr>
          <w:rFonts w:ascii="Times New Roman"/>
          <w:spacing w:val="-3"/>
          <w:sz w:val="22"/>
        </w:rPr>
        <w:t>or </w:t>
      </w:r>
      <w:r>
        <w:rPr>
          <w:rFonts w:ascii="Times New Roman"/>
          <w:sz w:val="22"/>
        </w:rPr>
        <w:t>calculation details </w:t>
      </w:r>
      <w:r>
        <w:rPr>
          <w:rFonts w:ascii="Times New Roman"/>
          <w:spacing w:val="-3"/>
          <w:sz w:val="22"/>
        </w:rPr>
        <w:t>of </w:t>
      </w:r>
      <w:r>
        <w:rPr>
          <w:rFonts w:ascii="Times New Roman"/>
          <w:sz w:val="22"/>
        </w:rPr>
        <w:t>each input variable was represented in </w:t>
      </w:r>
      <w:r>
        <w:rPr>
          <w:rFonts w:ascii="Times New Roman"/>
          <w:b/>
          <w:sz w:val="22"/>
        </w:rPr>
        <w:t>Table </w:t>
      </w:r>
      <w:r>
        <w:rPr>
          <w:rFonts w:ascii="Times New Roman"/>
          <w:b/>
          <w:position w:val="2"/>
          <w:sz w:val="22"/>
        </w:rPr>
        <w:t>7</w:t>
      </w:r>
      <w:r>
        <w:rPr>
          <w:rFonts w:ascii="Times New Roman"/>
          <w:position w:val="2"/>
          <w:sz w:val="22"/>
        </w:rPr>
        <w:t>, with a corresponding coefficient for predicting IPA(%)</w:t>
      </w:r>
      <w:r>
        <w:rPr>
          <w:rFonts w:ascii="Times New Roman"/>
          <w:sz w:val="14"/>
        </w:rPr>
        <w:t>pred. </w:t>
      </w:r>
      <w:r>
        <w:rPr>
          <w:rFonts w:ascii="Times New Roman"/>
          <w:spacing w:val="-3"/>
          <w:position w:val="2"/>
          <w:sz w:val="22"/>
        </w:rPr>
        <w:t>of </w:t>
      </w:r>
      <w:r>
        <w:rPr>
          <w:rFonts w:ascii="Times New Roman"/>
          <w:position w:val="2"/>
          <w:sz w:val="22"/>
        </w:rPr>
        <w:t>each fatty acids under the boundary condition c</w:t>
      </w:r>
      <w:r>
        <w:rPr>
          <w:rFonts w:ascii="Times New Roman"/>
          <w:sz w:val="14"/>
        </w:rPr>
        <w:t>j</w:t>
      </w:r>
      <w:r>
        <w:rPr>
          <w:rFonts w:ascii="Times New Roman"/>
          <w:position w:val="2"/>
          <w:sz w:val="22"/>
        </w:rPr>
        <w:t>. Meanwhile, all the dataset </w:t>
      </w:r>
      <w:r>
        <w:rPr>
          <w:rFonts w:ascii="Times New Roman"/>
          <w:spacing w:val="-3"/>
          <w:position w:val="2"/>
          <w:sz w:val="22"/>
        </w:rPr>
        <w:t>for </w:t>
      </w:r>
      <w:r>
        <w:rPr>
          <w:rFonts w:ascii="Times New Roman"/>
          <w:position w:val="2"/>
          <w:sz w:val="22"/>
        </w:rPr>
        <w:t>this model were published online by Liu </w:t>
      </w:r>
      <w:r>
        <w:rPr>
          <w:rFonts w:ascii="Times New Roman"/>
          <w:spacing w:val="-4"/>
          <w:position w:val="2"/>
          <w:sz w:val="22"/>
        </w:rPr>
        <w:t>et </w:t>
      </w:r>
      <w:r>
        <w:rPr>
          <w:rFonts w:ascii="Times New Roman"/>
          <w:position w:val="2"/>
          <w:sz w:val="22"/>
        </w:rPr>
        <w:t>al. [44, 45]. The values </w:t>
      </w:r>
      <w:r>
        <w:rPr>
          <w:rFonts w:ascii="Times New Roman"/>
          <w:spacing w:val="-3"/>
          <w:position w:val="2"/>
          <w:sz w:val="22"/>
        </w:rPr>
        <w:t>of </w:t>
      </w:r>
      <w:r>
        <w:rPr>
          <w:rFonts w:ascii="Times New Roman"/>
          <w:position w:val="2"/>
          <w:sz w:val="22"/>
        </w:rPr>
        <w:t>molecular descriptors (</w:t>
      </w:r>
      <w:r>
        <w:rPr>
          <w:rFonts w:ascii="Times New Roman"/>
          <w:position w:val="11"/>
          <w:sz w:val="14"/>
        </w:rPr>
        <w:t>i</w:t>
      </w:r>
      <w:r>
        <w:rPr>
          <w:rFonts w:ascii="Times New Roman"/>
          <w:position w:val="2"/>
          <w:sz w:val="22"/>
        </w:rPr>
        <w:t>V</w:t>
      </w:r>
      <w:r>
        <w:rPr>
          <w:rFonts w:ascii="Times New Roman"/>
          <w:sz w:val="14"/>
        </w:rPr>
        <w:t>k</w:t>
      </w:r>
      <w:r>
        <w:rPr>
          <w:rFonts w:ascii="Times New Roman"/>
          <w:position w:val="2"/>
          <w:sz w:val="22"/>
        </w:rPr>
        <w:t>) </w:t>
      </w:r>
      <w:r>
        <w:rPr>
          <w:rFonts w:ascii="Times New Roman"/>
          <w:spacing w:val="-3"/>
          <w:position w:val="2"/>
          <w:sz w:val="22"/>
        </w:rPr>
        <w:t>of </w:t>
      </w:r>
      <w:r>
        <w:rPr>
          <w:rFonts w:ascii="Times New Roman"/>
          <w:position w:val="2"/>
          <w:sz w:val="22"/>
        </w:rPr>
        <w:t>each fatty acid, including LCFAs and </w:t>
      </w:r>
      <w:r>
        <w:rPr>
          <w:rFonts w:ascii="Times New Roman"/>
          <w:spacing w:val="-3"/>
          <w:position w:val="2"/>
          <w:sz w:val="22"/>
        </w:rPr>
        <w:t>VFAs, </w:t>
      </w:r>
      <w:r>
        <w:rPr>
          <w:rFonts w:ascii="Times New Roman"/>
          <w:position w:val="2"/>
          <w:sz w:val="22"/>
        </w:rPr>
        <w:t>were shown in </w:t>
      </w:r>
      <w:r>
        <w:rPr>
          <w:rFonts w:ascii="Times New Roman"/>
          <w:b/>
          <w:position w:val="2"/>
          <w:sz w:val="22"/>
        </w:rPr>
        <w:t>Table 8</w:t>
      </w:r>
      <w:r>
        <w:rPr>
          <w:rFonts w:ascii="Times New Roman"/>
          <w:position w:val="2"/>
          <w:sz w:val="22"/>
        </w:rPr>
        <w:t>. That includes V</w:t>
      </w:r>
      <w:r>
        <w:rPr>
          <w:rFonts w:ascii="Times New Roman"/>
          <w:sz w:val="14"/>
        </w:rPr>
        <w:t>1 </w:t>
      </w:r>
      <w:r>
        <w:rPr>
          <w:rFonts w:ascii="Times New Roman"/>
          <w:position w:val="2"/>
          <w:sz w:val="22"/>
        </w:rPr>
        <w:t>= Mw (molecular weight), V</w:t>
      </w:r>
      <w:r>
        <w:rPr>
          <w:rFonts w:ascii="Times New Roman"/>
          <w:sz w:val="14"/>
        </w:rPr>
        <w:t>2 </w:t>
      </w:r>
      <w:r>
        <w:rPr>
          <w:rFonts w:ascii="Times New Roman"/>
          <w:position w:val="2"/>
          <w:sz w:val="22"/>
        </w:rPr>
        <w:t>= Aeigv,  </w:t>
      </w:r>
      <w:r>
        <w:rPr>
          <w:rFonts w:ascii="Times New Roman"/>
          <w:spacing w:val="-3"/>
          <w:position w:val="2"/>
          <w:sz w:val="22"/>
        </w:rPr>
        <w:t>V</w:t>
      </w:r>
      <w:r>
        <w:rPr>
          <w:rFonts w:ascii="Times New Roman"/>
          <w:spacing w:val="-3"/>
          <w:sz w:val="14"/>
        </w:rPr>
        <w:t>3  </w:t>
      </w:r>
      <w:r>
        <w:rPr>
          <w:rFonts w:ascii="Times New Roman"/>
          <w:position w:val="2"/>
          <w:sz w:val="22"/>
        </w:rPr>
        <w:t>=  Aeige,  </w:t>
      </w:r>
      <w:r>
        <w:rPr>
          <w:rFonts w:ascii="Times New Roman"/>
          <w:spacing w:val="-3"/>
          <w:position w:val="2"/>
          <w:sz w:val="22"/>
        </w:rPr>
        <w:t>V</w:t>
      </w:r>
      <w:r>
        <w:rPr>
          <w:rFonts w:ascii="Times New Roman"/>
          <w:spacing w:val="-3"/>
          <w:sz w:val="14"/>
        </w:rPr>
        <w:t>4  </w:t>
      </w:r>
      <w:r>
        <w:rPr>
          <w:rFonts w:ascii="Times New Roman"/>
          <w:position w:val="2"/>
          <w:sz w:val="22"/>
        </w:rPr>
        <w:t>= Aeigp, </w:t>
      </w:r>
      <w:r>
        <w:rPr>
          <w:rFonts w:ascii="Times New Roman"/>
          <w:spacing w:val="-3"/>
          <w:position w:val="2"/>
          <w:sz w:val="22"/>
        </w:rPr>
        <w:t>V</w:t>
      </w:r>
      <w:r>
        <w:rPr>
          <w:rFonts w:ascii="Times New Roman"/>
          <w:spacing w:val="-3"/>
          <w:sz w:val="14"/>
        </w:rPr>
        <w:t>5 </w:t>
      </w:r>
      <w:r>
        <w:rPr>
          <w:rFonts w:ascii="Times New Roman"/>
          <w:position w:val="2"/>
          <w:sz w:val="22"/>
        </w:rPr>
        <w:t>= MR (molecular refractivity), and V</w:t>
      </w:r>
      <w:r>
        <w:rPr>
          <w:rFonts w:ascii="Times New Roman"/>
          <w:sz w:val="14"/>
        </w:rPr>
        <w:t>6 </w:t>
      </w:r>
      <w:r>
        <w:rPr>
          <w:rFonts w:ascii="Times New Roman"/>
          <w:position w:val="2"/>
          <w:sz w:val="22"/>
        </w:rPr>
        <w:t>= LogP; </w:t>
      </w:r>
      <w:r>
        <w:rPr>
          <w:rFonts w:ascii="Times New Roman"/>
          <w:spacing w:val="-3"/>
          <w:position w:val="2"/>
          <w:sz w:val="22"/>
        </w:rPr>
        <w:t>V</w:t>
      </w:r>
      <w:r>
        <w:rPr>
          <w:rFonts w:ascii="Times New Roman"/>
          <w:spacing w:val="-3"/>
          <w:sz w:val="14"/>
        </w:rPr>
        <w:t>2</w:t>
      </w:r>
      <w:r>
        <w:rPr>
          <w:rFonts w:ascii="Times New Roman"/>
          <w:spacing w:val="-3"/>
          <w:position w:val="2"/>
          <w:sz w:val="22"/>
        </w:rPr>
        <w:t>, V</w:t>
      </w:r>
      <w:r>
        <w:rPr>
          <w:rFonts w:ascii="Times New Roman"/>
          <w:spacing w:val="-3"/>
          <w:sz w:val="14"/>
        </w:rPr>
        <w:t>3</w:t>
      </w:r>
      <w:r>
        <w:rPr>
          <w:rFonts w:ascii="Times New Roman"/>
          <w:spacing w:val="-3"/>
          <w:position w:val="2"/>
          <w:sz w:val="22"/>
        </w:rPr>
        <w:t>, </w:t>
      </w:r>
      <w:r>
        <w:rPr>
          <w:rFonts w:ascii="Times New Roman"/>
          <w:position w:val="2"/>
          <w:sz w:val="22"/>
        </w:rPr>
        <w:t>and V</w:t>
      </w:r>
      <w:r>
        <w:rPr>
          <w:rFonts w:ascii="Times New Roman"/>
          <w:sz w:val="14"/>
        </w:rPr>
        <w:t>4 </w:t>
      </w:r>
      <w:r>
        <w:rPr>
          <w:rFonts w:ascii="Times New Roman"/>
          <w:position w:val="2"/>
          <w:sz w:val="22"/>
        </w:rPr>
        <w:t>are average eigenvalues of </w:t>
      </w:r>
      <w:r>
        <w:rPr>
          <w:rFonts w:ascii="Times New Roman"/>
          <w:sz w:val="22"/>
        </w:rPr>
        <w:t>the topological distance matrix weighted with atomic van </w:t>
      </w:r>
      <w:r>
        <w:rPr>
          <w:rFonts w:ascii="Times New Roman"/>
          <w:spacing w:val="-3"/>
          <w:sz w:val="22"/>
        </w:rPr>
        <w:t>der </w:t>
      </w:r>
      <w:r>
        <w:rPr>
          <w:rFonts w:ascii="Times New Roman"/>
          <w:sz w:val="22"/>
        </w:rPr>
        <w:t>Waals volumes (</w:t>
      </w:r>
      <w:r>
        <w:rPr>
          <w:rFonts w:ascii="Times New Roman"/>
          <w:i/>
          <w:sz w:val="22"/>
        </w:rPr>
        <w:t>v</w:t>
      </w:r>
      <w:r>
        <w:rPr>
          <w:rFonts w:ascii="Times New Roman"/>
          <w:sz w:val="22"/>
        </w:rPr>
        <w:t>),  Electronegativities (</w:t>
      </w:r>
      <w:r>
        <w:rPr>
          <w:rFonts w:ascii="Times New Roman"/>
          <w:i/>
          <w:sz w:val="22"/>
        </w:rPr>
        <w:t>e</w:t>
      </w:r>
      <w:r>
        <w:rPr>
          <w:rFonts w:ascii="Times New Roman"/>
          <w:sz w:val="22"/>
        </w:rPr>
        <w:t>), </w:t>
      </w:r>
      <w:r>
        <w:rPr>
          <w:rFonts w:ascii="Times New Roman"/>
          <w:spacing w:val="-3"/>
          <w:sz w:val="22"/>
        </w:rPr>
        <w:t>or </w:t>
      </w:r>
      <w:r>
        <w:rPr>
          <w:rFonts w:ascii="Times New Roman"/>
          <w:sz w:val="22"/>
        </w:rPr>
        <w:t>Polarizabilities</w:t>
      </w:r>
      <w:r>
        <w:rPr>
          <w:rFonts w:ascii="Times New Roman"/>
          <w:spacing w:val="-16"/>
          <w:sz w:val="22"/>
        </w:rPr>
        <w:t> </w:t>
      </w:r>
      <w:r>
        <w:rPr>
          <w:rFonts w:ascii="Times New Roman"/>
          <w:sz w:val="22"/>
        </w:rPr>
        <w:t>(</w:t>
      </w:r>
      <w:r>
        <w:rPr>
          <w:rFonts w:ascii="Times New Roman"/>
          <w:i/>
          <w:sz w:val="22"/>
        </w:rPr>
        <w:t>p</w:t>
      </w:r>
      <w:r>
        <w:rPr>
          <w:rFonts w:ascii="Times New Roman"/>
          <w:sz w:val="22"/>
        </w:rPr>
        <w:t>).</w:t>
      </w:r>
    </w:p>
    <w:p>
      <w:pPr>
        <w:spacing w:line="251" w:lineRule="exact" w:before="7"/>
        <w:ind w:left="3376" w:right="0" w:firstLine="0"/>
        <w:jc w:val="left"/>
        <w:rPr>
          <w:rFonts w:ascii="Times New Roman"/>
          <w:b/>
          <w:sz w:val="22"/>
        </w:rPr>
      </w:pPr>
      <w:r>
        <w:rPr>
          <w:rFonts w:ascii="Times New Roman"/>
          <w:b/>
          <w:sz w:val="22"/>
        </w:rPr>
        <w:t>Table 7 and 8 come about here</w:t>
      </w:r>
    </w:p>
    <w:p>
      <w:pPr>
        <w:spacing w:line="237" w:lineRule="auto" w:before="0"/>
        <w:ind w:left="259" w:right="237" w:firstLine="283"/>
        <w:jc w:val="both"/>
        <w:rPr>
          <w:rFonts w:ascii="Times New Roman" w:hAnsi="Times New Roman"/>
          <w:sz w:val="22"/>
        </w:rPr>
      </w:pPr>
      <w:r>
        <w:rPr>
          <w:rFonts w:ascii="Times New Roman" w:hAnsi="Times New Roman"/>
          <w:spacing w:val="-3"/>
          <w:sz w:val="22"/>
        </w:rPr>
        <w:t>As </w:t>
      </w:r>
      <w:r>
        <w:rPr>
          <w:rFonts w:ascii="Times New Roman" w:hAnsi="Times New Roman"/>
          <w:sz w:val="22"/>
        </w:rPr>
        <w:t>explained, this model can classify the expected proportion </w:t>
      </w:r>
      <w:r>
        <w:rPr>
          <w:rFonts w:ascii="Times New Roman" w:hAnsi="Times New Roman"/>
          <w:spacing w:val="-3"/>
          <w:sz w:val="22"/>
        </w:rPr>
        <w:t>of </w:t>
      </w:r>
      <w:r>
        <w:rPr>
          <w:rFonts w:ascii="Times New Roman" w:hAnsi="Times New Roman"/>
          <w:sz w:val="22"/>
        </w:rPr>
        <w:t>FAs between the </w:t>
      </w:r>
      <w:r>
        <w:rPr>
          <w:rFonts w:ascii="Times New Roman" w:hAnsi="Times New Roman"/>
          <w:i/>
          <w:spacing w:val="2"/>
          <w:sz w:val="22"/>
        </w:rPr>
        <w:t>new </w:t>
      </w:r>
      <w:r>
        <w:rPr>
          <w:rFonts w:ascii="Times New Roman" w:hAnsi="Times New Roman"/>
          <w:sz w:val="22"/>
        </w:rPr>
        <w:t>and </w:t>
      </w:r>
      <w:r>
        <w:rPr>
          <w:rFonts w:ascii="Times New Roman" w:hAnsi="Times New Roman"/>
          <w:i/>
          <w:sz w:val="22"/>
        </w:rPr>
        <w:t>ref </w:t>
      </w:r>
      <w:r>
        <w:rPr>
          <w:rFonts w:ascii="Times New Roman" w:hAnsi="Times New Roman"/>
          <w:position w:val="2"/>
          <w:sz w:val="22"/>
        </w:rPr>
        <w:t>states as </w:t>
      </w:r>
      <w:r>
        <w:rPr>
          <w:rFonts w:ascii="Times New Roman" w:hAnsi="Times New Roman"/>
          <w:spacing w:val="-3"/>
          <w:position w:val="2"/>
          <w:sz w:val="22"/>
        </w:rPr>
        <w:t>high </w:t>
      </w:r>
      <w:r>
        <w:rPr>
          <w:rFonts w:ascii="Times New Roman" w:hAnsi="Times New Roman"/>
          <w:position w:val="2"/>
          <w:sz w:val="22"/>
        </w:rPr>
        <w:t>(µ</w:t>
      </w:r>
      <w:r>
        <w:rPr>
          <w:rFonts w:ascii="Times New Roman" w:hAnsi="Times New Roman"/>
          <w:sz w:val="14"/>
        </w:rPr>
        <w:t>nr </w:t>
      </w:r>
      <w:r>
        <w:rPr>
          <w:rFonts w:ascii="Times New Roman" w:hAnsi="Times New Roman"/>
          <w:position w:val="2"/>
          <w:sz w:val="22"/>
        </w:rPr>
        <w:t>= 1)/low (µ</w:t>
      </w:r>
      <w:r>
        <w:rPr>
          <w:rFonts w:ascii="Times New Roman" w:hAnsi="Times New Roman"/>
          <w:sz w:val="14"/>
        </w:rPr>
        <w:t>nr</w:t>
      </w:r>
      <w:r>
        <w:rPr>
          <w:rFonts w:ascii="Times New Roman" w:hAnsi="Times New Roman"/>
          <w:position w:val="2"/>
          <w:sz w:val="22"/>
        </w:rPr>
        <w:t>= 0) after changing the boundary conditions c</w:t>
      </w:r>
      <w:r>
        <w:rPr>
          <w:rFonts w:ascii="Times New Roman" w:hAnsi="Times New Roman"/>
          <w:sz w:val="14"/>
        </w:rPr>
        <w:t>j</w:t>
      </w:r>
      <w:r>
        <w:rPr>
          <w:rFonts w:ascii="Times New Roman" w:hAnsi="Times New Roman"/>
          <w:position w:val="2"/>
          <w:sz w:val="22"/>
        </w:rPr>
        <w:t>. The parameter  </w:t>
      </w:r>
      <w:r>
        <w:rPr>
          <w:rFonts w:ascii="Times New Roman" w:hAnsi="Times New Roman"/>
          <w:i/>
          <w:position w:val="2"/>
          <w:sz w:val="22"/>
        </w:rPr>
        <w:t>No.</w:t>
      </w:r>
      <w:r>
        <w:rPr>
          <w:rFonts w:ascii="Times New Roman" w:hAnsi="Times New Roman"/>
          <w:position w:val="2"/>
          <w:sz w:val="22"/>
        </w:rPr>
        <w:t>(µ</w:t>
      </w:r>
      <w:r>
        <w:rPr>
          <w:rFonts w:ascii="Times New Roman" w:hAnsi="Times New Roman"/>
          <w:sz w:val="14"/>
        </w:rPr>
        <w:t>nr </w:t>
      </w:r>
      <w:r>
        <w:rPr>
          <w:rFonts w:ascii="Times New Roman" w:hAnsi="Times New Roman"/>
          <w:position w:val="2"/>
          <w:sz w:val="22"/>
        </w:rPr>
        <w:t>= 1) represents the </w:t>
      </w:r>
      <w:r>
        <w:rPr>
          <w:rFonts w:ascii="Times New Roman" w:hAnsi="Times New Roman"/>
          <w:spacing w:val="-3"/>
          <w:position w:val="2"/>
          <w:sz w:val="22"/>
        </w:rPr>
        <w:t>number of </w:t>
      </w:r>
      <w:r>
        <w:rPr>
          <w:rFonts w:ascii="Times New Roman" w:hAnsi="Times New Roman"/>
          <w:position w:val="2"/>
          <w:sz w:val="22"/>
        </w:rPr>
        <w:t>cases in the sub-set with µ</w:t>
      </w:r>
      <w:r>
        <w:rPr>
          <w:rFonts w:ascii="Times New Roman" w:hAnsi="Times New Roman"/>
          <w:sz w:val="14"/>
        </w:rPr>
        <w:t>nr </w:t>
      </w:r>
      <w:r>
        <w:rPr>
          <w:rFonts w:ascii="Times New Roman" w:hAnsi="Times New Roman"/>
          <w:position w:val="2"/>
          <w:sz w:val="22"/>
        </w:rPr>
        <w:t>= 1 (links in </w:t>
      </w:r>
      <w:r>
        <w:rPr>
          <w:rFonts w:ascii="Times New Roman" w:hAnsi="Times New Roman"/>
          <w:spacing w:val="2"/>
          <w:position w:val="2"/>
          <w:sz w:val="22"/>
        </w:rPr>
        <w:t>the </w:t>
      </w:r>
      <w:r>
        <w:rPr>
          <w:rFonts w:ascii="Times New Roman" w:hAnsi="Times New Roman"/>
          <w:position w:val="2"/>
          <w:sz w:val="22"/>
        </w:rPr>
        <w:t>network), </w:t>
      </w:r>
      <w:r>
        <w:rPr>
          <w:rFonts w:ascii="Times New Roman" w:hAnsi="Times New Roman"/>
          <w:spacing w:val="-3"/>
          <w:position w:val="2"/>
          <w:sz w:val="22"/>
        </w:rPr>
        <w:t>or </w:t>
      </w:r>
      <w:r>
        <w:rPr>
          <w:rFonts w:ascii="Times New Roman" w:hAnsi="Times New Roman"/>
          <w:position w:val="2"/>
          <w:sz w:val="22"/>
        </w:rPr>
        <w:t>the same with IPA(%)</w:t>
      </w:r>
      <w:r>
        <w:rPr>
          <w:rFonts w:ascii="Times New Roman" w:hAnsi="Times New Roman"/>
          <w:sz w:val="14"/>
        </w:rPr>
        <w:t>new </w:t>
      </w:r>
      <w:r>
        <w:rPr>
          <w:rFonts w:ascii="Times New Roman" w:hAnsi="Times New Roman"/>
          <w:position w:val="2"/>
          <w:sz w:val="22"/>
        </w:rPr>
        <w:t>of new sub-set is higher than that </w:t>
      </w:r>
      <w:r>
        <w:rPr>
          <w:rFonts w:ascii="Times New Roman" w:hAnsi="Times New Roman"/>
          <w:spacing w:val="-3"/>
          <w:position w:val="2"/>
          <w:sz w:val="22"/>
        </w:rPr>
        <w:t>of </w:t>
      </w:r>
      <w:r>
        <w:rPr>
          <w:rFonts w:ascii="Times New Roman" w:hAnsi="Times New Roman"/>
          <w:position w:val="2"/>
          <w:sz w:val="22"/>
        </w:rPr>
        <w:t>reference IPA(%)</w:t>
      </w:r>
      <w:r>
        <w:rPr>
          <w:rFonts w:ascii="Times New Roman" w:hAnsi="Times New Roman"/>
          <w:sz w:val="14"/>
        </w:rPr>
        <w:t>ref</w:t>
      </w:r>
      <w:r>
        <w:rPr>
          <w:rFonts w:ascii="Times New Roman" w:hAnsi="Times New Roman"/>
          <w:position w:val="2"/>
          <w:sz w:val="22"/>
        </w:rPr>
        <w:t>. On the other hand, </w:t>
      </w:r>
      <w:r>
        <w:rPr>
          <w:rFonts w:ascii="Times New Roman" w:hAnsi="Times New Roman"/>
          <w:i/>
          <w:position w:val="2"/>
          <w:sz w:val="22"/>
        </w:rPr>
        <w:t>No.</w:t>
      </w:r>
      <w:r>
        <w:rPr>
          <w:rFonts w:ascii="Times New Roman" w:hAnsi="Times New Roman"/>
          <w:position w:val="2"/>
          <w:sz w:val="22"/>
        </w:rPr>
        <w:t>(µ</w:t>
      </w:r>
      <w:r>
        <w:rPr>
          <w:rFonts w:ascii="Times New Roman" w:hAnsi="Times New Roman"/>
          <w:sz w:val="14"/>
        </w:rPr>
        <w:t>nr </w:t>
      </w:r>
      <w:r>
        <w:rPr>
          <w:rFonts w:ascii="Times New Roman" w:hAnsi="Times New Roman"/>
          <w:position w:val="2"/>
          <w:sz w:val="22"/>
        </w:rPr>
        <w:t>= 0) represents the number of cases observed and predicted in the sub-set with </w:t>
      </w:r>
      <w:r>
        <w:rPr>
          <w:rFonts w:ascii="Times New Roman" w:hAnsi="Times New Roman"/>
          <w:spacing w:val="2"/>
          <w:position w:val="2"/>
          <w:sz w:val="22"/>
        </w:rPr>
        <w:t>µ</w:t>
      </w:r>
      <w:r>
        <w:rPr>
          <w:rFonts w:ascii="Times New Roman" w:hAnsi="Times New Roman"/>
          <w:spacing w:val="2"/>
          <w:sz w:val="14"/>
        </w:rPr>
        <w:t>nr </w:t>
      </w:r>
      <w:r>
        <w:rPr>
          <w:rFonts w:ascii="Times New Roman" w:hAnsi="Times New Roman"/>
          <w:position w:val="2"/>
          <w:sz w:val="22"/>
        </w:rPr>
        <w:t>= 0 (not connected nodes) </w:t>
      </w:r>
      <w:r>
        <w:rPr>
          <w:rFonts w:ascii="Times New Roman" w:hAnsi="Times New Roman"/>
          <w:spacing w:val="-3"/>
          <w:position w:val="2"/>
          <w:sz w:val="22"/>
        </w:rPr>
        <w:t>or </w:t>
      </w:r>
      <w:r>
        <w:rPr>
          <w:rFonts w:ascii="Times New Roman" w:hAnsi="Times New Roman"/>
          <w:position w:val="2"/>
          <w:sz w:val="22"/>
        </w:rPr>
        <w:t>explained as that the IPA(%)</w:t>
      </w:r>
      <w:r>
        <w:rPr>
          <w:rFonts w:ascii="Times New Roman" w:hAnsi="Times New Roman"/>
          <w:sz w:val="14"/>
        </w:rPr>
        <w:t>new </w:t>
      </w:r>
      <w:r>
        <w:rPr>
          <w:rFonts w:ascii="Times New Roman" w:hAnsi="Times New Roman"/>
          <w:position w:val="2"/>
          <w:sz w:val="22"/>
        </w:rPr>
        <w:t>value is lower than IPA(%)</w:t>
      </w:r>
      <w:r>
        <w:rPr>
          <w:rFonts w:ascii="Times New Roman" w:hAnsi="Times New Roman"/>
          <w:sz w:val="14"/>
        </w:rPr>
        <w:t>ref </w:t>
      </w:r>
      <w:r>
        <w:rPr>
          <w:rFonts w:ascii="Times New Roman" w:hAnsi="Times New Roman"/>
          <w:position w:val="2"/>
          <w:sz w:val="22"/>
        </w:rPr>
        <w:t>value. The output function '</w:t>
      </w:r>
      <w:r>
        <w:rPr>
          <w:rFonts w:ascii="Times New Roman" w:hAnsi="Times New Roman"/>
          <w:i/>
          <w:position w:val="2"/>
          <w:sz w:val="22"/>
        </w:rPr>
        <w:t>f</w:t>
      </w:r>
      <w:r>
        <w:rPr>
          <w:rFonts w:ascii="Times New Roman" w:hAnsi="Times New Roman"/>
          <w:position w:val="2"/>
          <w:sz w:val="22"/>
        </w:rPr>
        <w:t>(µ</w:t>
      </w:r>
      <w:r>
        <w:rPr>
          <w:rFonts w:ascii="Times New Roman" w:hAnsi="Times New Roman"/>
          <w:sz w:val="14"/>
        </w:rPr>
        <w:t>nr</w:t>
      </w:r>
      <w:r>
        <w:rPr>
          <w:rFonts w:ascii="Times New Roman" w:hAnsi="Times New Roman"/>
          <w:position w:val="2"/>
          <w:sz w:val="22"/>
        </w:rPr>
        <w:t>)</w:t>
      </w:r>
      <w:r>
        <w:rPr>
          <w:rFonts w:ascii="Times New Roman" w:hAnsi="Times New Roman"/>
          <w:sz w:val="14"/>
        </w:rPr>
        <w:t>new </w:t>
      </w:r>
      <w:r>
        <w:rPr>
          <w:rFonts w:ascii="Times New Roman" w:hAnsi="Times New Roman"/>
          <w:position w:val="2"/>
          <w:sz w:val="22"/>
        </w:rPr>
        <w:t>is a function </w:t>
      </w:r>
      <w:r>
        <w:rPr>
          <w:rFonts w:ascii="Times New Roman" w:hAnsi="Times New Roman"/>
          <w:spacing w:val="-3"/>
          <w:position w:val="2"/>
          <w:sz w:val="22"/>
        </w:rPr>
        <w:t>of </w:t>
      </w:r>
      <w:r>
        <w:rPr>
          <w:rFonts w:ascii="Times New Roman" w:hAnsi="Times New Roman"/>
          <w:position w:val="2"/>
          <w:sz w:val="22"/>
        </w:rPr>
        <w:t>connectivity pattern (µ</w:t>
      </w:r>
      <w:r>
        <w:rPr>
          <w:rFonts w:ascii="Times New Roman" w:hAnsi="Times New Roman"/>
          <w:sz w:val="14"/>
        </w:rPr>
        <w:t>nr</w:t>
      </w:r>
      <w:r>
        <w:rPr>
          <w:rFonts w:ascii="Times New Roman" w:hAnsi="Times New Roman"/>
          <w:position w:val="2"/>
          <w:sz w:val="22"/>
        </w:rPr>
        <w:t>) in the complex network for the co- distribution </w:t>
      </w:r>
      <w:r>
        <w:rPr>
          <w:rFonts w:ascii="Times New Roman" w:hAnsi="Times New Roman"/>
          <w:spacing w:val="-3"/>
          <w:position w:val="2"/>
          <w:sz w:val="22"/>
        </w:rPr>
        <w:t>of </w:t>
      </w:r>
      <w:r>
        <w:rPr>
          <w:rFonts w:ascii="Times New Roman" w:hAnsi="Times New Roman"/>
          <w:position w:val="2"/>
          <w:sz w:val="22"/>
        </w:rPr>
        <w:t>FAs in reference (</w:t>
      </w:r>
      <w:r>
        <w:rPr>
          <w:rFonts w:ascii="Times New Roman" w:hAnsi="Times New Roman"/>
          <w:i/>
          <w:position w:val="2"/>
          <w:sz w:val="22"/>
        </w:rPr>
        <w:t>ref</w:t>
      </w:r>
      <w:r>
        <w:rPr>
          <w:rFonts w:ascii="Times New Roman" w:hAnsi="Times New Roman"/>
          <w:position w:val="2"/>
          <w:sz w:val="22"/>
        </w:rPr>
        <w:t>) and new state (predicted values). The output function '</w:t>
      </w:r>
      <w:r>
        <w:rPr>
          <w:rFonts w:ascii="Times New Roman" w:hAnsi="Times New Roman"/>
          <w:i/>
          <w:position w:val="2"/>
          <w:sz w:val="22"/>
        </w:rPr>
        <w:t>f</w:t>
      </w:r>
      <w:r>
        <w:rPr>
          <w:rFonts w:ascii="Times New Roman" w:hAnsi="Times New Roman"/>
          <w:position w:val="2"/>
          <w:sz w:val="22"/>
        </w:rPr>
        <w:t>(µ</w:t>
      </w:r>
      <w:r>
        <w:rPr>
          <w:rFonts w:ascii="Times New Roman" w:hAnsi="Times New Roman"/>
          <w:sz w:val="14"/>
        </w:rPr>
        <w:t>nr</w:t>
      </w:r>
      <w:r>
        <w:rPr>
          <w:rFonts w:ascii="Times New Roman" w:hAnsi="Times New Roman"/>
          <w:position w:val="2"/>
          <w:sz w:val="22"/>
        </w:rPr>
        <w:t>)</w:t>
      </w:r>
      <w:r>
        <w:rPr>
          <w:rFonts w:ascii="Times New Roman" w:hAnsi="Times New Roman"/>
          <w:sz w:val="14"/>
        </w:rPr>
        <w:t>new </w:t>
      </w:r>
      <w:r>
        <w:rPr>
          <w:rFonts w:ascii="Times New Roman" w:hAnsi="Times New Roman"/>
          <w:sz w:val="22"/>
        </w:rPr>
        <w:t>is useful </w:t>
      </w:r>
      <w:r>
        <w:rPr>
          <w:rFonts w:ascii="Times New Roman" w:hAnsi="Times New Roman"/>
          <w:spacing w:val="2"/>
          <w:sz w:val="22"/>
        </w:rPr>
        <w:t>to </w:t>
      </w:r>
      <w:r>
        <w:rPr>
          <w:rFonts w:ascii="Times New Roman" w:hAnsi="Times New Roman"/>
          <w:sz w:val="22"/>
        </w:rPr>
        <w:t>classify the pairs </w:t>
      </w:r>
      <w:r>
        <w:rPr>
          <w:rFonts w:ascii="Times New Roman" w:hAnsi="Times New Roman"/>
          <w:spacing w:val="-3"/>
          <w:sz w:val="22"/>
        </w:rPr>
        <w:t>of </w:t>
      </w:r>
      <w:r>
        <w:rPr>
          <w:rFonts w:ascii="Times New Roman" w:hAnsi="Times New Roman"/>
          <w:sz w:val="22"/>
        </w:rPr>
        <w:t>states (pairs </w:t>
      </w:r>
      <w:r>
        <w:rPr>
          <w:rFonts w:ascii="Times New Roman" w:hAnsi="Times New Roman"/>
          <w:spacing w:val="-3"/>
          <w:sz w:val="22"/>
        </w:rPr>
        <w:t>of </w:t>
      </w:r>
      <w:r>
        <w:rPr>
          <w:rFonts w:ascii="Times New Roman" w:hAnsi="Times New Roman"/>
          <w:sz w:val="22"/>
        </w:rPr>
        <w:t>nodes). This new model found predicted the effects  </w:t>
      </w:r>
      <w:r>
        <w:rPr>
          <w:rFonts w:ascii="Times New Roman" w:hAnsi="Times New Roman"/>
          <w:spacing w:val="-3"/>
          <w:position w:val="2"/>
          <w:sz w:val="22"/>
        </w:rPr>
        <w:t>of  </w:t>
      </w:r>
      <w:r>
        <w:rPr>
          <w:rFonts w:ascii="Times New Roman" w:hAnsi="Times New Roman"/>
          <w:position w:val="2"/>
          <w:sz w:val="22"/>
        </w:rPr>
        <w:t>perturbations  under  the  initial  conditions  (c</w:t>
      </w:r>
      <w:r>
        <w:rPr>
          <w:rFonts w:ascii="Times New Roman" w:hAnsi="Times New Roman"/>
          <w:sz w:val="14"/>
        </w:rPr>
        <w:t>j</w:t>
      </w:r>
      <w:r>
        <w:rPr>
          <w:rFonts w:ascii="Times New Roman" w:hAnsi="Times New Roman"/>
          <w:position w:val="2"/>
          <w:sz w:val="22"/>
        </w:rPr>
        <w:t>)  over  fatty  acid  distribution  with  </w:t>
      </w:r>
      <w:r>
        <w:rPr>
          <w:rFonts w:ascii="Times New Roman" w:hAnsi="Times New Roman"/>
          <w:spacing w:val="46"/>
          <w:position w:val="2"/>
          <w:sz w:val="22"/>
        </w:rPr>
        <w:t> </w:t>
      </w:r>
      <w:r>
        <w:rPr>
          <w:rFonts w:ascii="Times New Roman" w:hAnsi="Times New Roman"/>
          <w:position w:val="2"/>
          <w:sz w:val="22"/>
        </w:rPr>
        <w:t>Sensitivity,</w:t>
      </w:r>
    </w:p>
    <w:p>
      <w:pPr>
        <w:spacing w:after="0" w:line="237" w:lineRule="auto"/>
        <w:jc w:val="both"/>
        <w:rPr>
          <w:rFonts w:ascii="Times New Roman" w:hAnsi="Times New Roman"/>
          <w:sz w:val="22"/>
        </w:rPr>
        <w:sectPr>
          <w:type w:val="continuous"/>
          <w:pgSz w:w="12240" w:h="15840"/>
          <w:pgMar w:top="3080" w:bottom="2780" w:left="1440" w:right="1460"/>
        </w:sectPr>
      </w:pPr>
    </w:p>
    <w:p>
      <w:pPr>
        <w:pStyle w:val="BodyText"/>
        <w:spacing w:before="10"/>
        <w:rPr>
          <w:rFonts w:ascii="Times New Roman"/>
          <w:sz w:val="14"/>
        </w:rPr>
      </w:pPr>
    </w:p>
    <w:p>
      <w:pPr>
        <w:spacing w:before="72"/>
        <w:ind w:left="259" w:right="288" w:firstLine="0"/>
        <w:jc w:val="left"/>
        <w:rPr>
          <w:rFonts w:ascii="Times New Roman"/>
          <w:sz w:val="22"/>
        </w:rPr>
      </w:pPr>
      <w:r>
        <w:rPr>
          <w:rFonts w:ascii="Times New Roman"/>
          <w:sz w:val="22"/>
        </w:rPr>
        <w:t>Specificity, and Accuracy &gt;94% for a total of 409,434 cases in training and 136,261 cases in external validation series (</w:t>
      </w:r>
      <w:r>
        <w:rPr>
          <w:rFonts w:ascii="Times New Roman"/>
          <w:b/>
          <w:sz w:val="22"/>
        </w:rPr>
        <w:t>Table 9</w:t>
      </w:r>
      <w:r>
        <w:rPr>
          <w:rFonts w:ascii="Times New Roman"/>
          <w:sz w:val="22"/>
        </w:rPr>
        <w:t>). These results are considered very well for any LDA model.</w:t>
      </w:r>
    </w:p>
    <w:p>
      <w:pPr>
        <w:spacing w:line="241" w:lineRule="exact" w:before="6"/>
        <w:ind w:left="302" w:right="0" w:firstLine="0"/>
        <w:jc w:val="center"/>
        <w:rPr>
          <w:rFonts w:ascii="Times New Roman"/>
          <w:b/>
          <w:sz w:val="22"/>
        </w:rPr>
      </w:pPr>
      <w:r>
        <w:rPr>
          <w:rFonts w:ascii="Times New Roman"/>
          <w:b/>
          <w:sz w:val="22"/>
        </w:rPr>
        <w:t>Table 9 comes about here</w:t>
      </w:r>
    </w:p>
    <w:p>
      <w:pPr>
        <w:spacing w:line="235" w:lineRule="auto" w:before="0"/>
        <w:ind w:left="259" w:right="238" w:firstLine="283"/>
        <w:jc w:val="both"/>
        <w:rPr>
          <w:rFonts w:ascii="Times New Roman" w:hAnsi="Times New Roman"/>
          <w:sz w:val="22"/>
        </w:rPr>
      </w:pPr>
      <w:r>
        <w:rPr>
          <w:rFonts w:ascii="Times New Roman" w:hAnsi="Times New Roman"/>
          <w:position w:val="2"/>
          <w:sz w:val="22"/>
        </w:rPr>
        <w:t>The perturbation calculation </w:t>
      </w:r>
      <w:r>
        <w:rPr>
          <w:rFonts w:ascii="Times New Roman" w:hAnsi="Times New Roman"/>
          <w:spacing w:val="-3"/>
          <w:position w:val="2"/>
          <w:sz w:val="22"/>
        </w:rPr>
        <w:t>of </w:t>
      </w:r>
      <w:r>
        <w:rPr>
          <w:rFonts w:ascii="Times New Roman" w:hAnsi="Times New Roman"/>
          <w:position w:val="2"/>
          <w:sz w:val="22"/>
        </w:rPr>
        <w:t>each molecular descriptors (</w:t>
      </w:r>
      <w:r>
        <w:rPr>
          <w:rFonts w:ascii="Times New Roman" w:hAnsi="Times New Roman"/>
          <w:position w:val="11"/>
          <w:sz w:val="14"/>
        </w:rPr>
        <w:t>i</w:t>
      </w:r>
      <w:r>
        <w:rPr>
          <w:rFonts w:ascii="Times New Roman" w:hAnsi="Times New Roman"/>
          <w:position w:val="2"/>
          <w:sz w:val="22"/>
        </w:rPr>
        <w:t>V</w:t>
      </w:r>
      <w:r>
        <w:rPr>
          <w:rFonts w:ascii="Times New Roman" w:hAnsi="Times New Roman"/>
          <w:sz w:val="14"/>
        </w:rPr>
        <w:t>k</w:t>
      </w:r>
      <w:r>
        <w:rPr>
          <w:rFonts w:ascii="Times New Roman" w:hAnsi="Times New Roman"/>
          <w:position w:val="2"/>
          <w:sz w:val="22"/>
        </w:rPr>
        <w:t>) were associated with </w:t>
      </w:r>
      <w:r>
        <w:rPr>
          <w:rFonts w:ascii="Times New Roman" w:hAnsi="Times New Roman"/>
          <w:spacing w:val="3"/>
          <w:position w:val="2"/>
          <w:sz w:val="22"/>
        </w:rPr>
        <w:t>the </w:t>
      </w:r>
      <w:r>
        <w:rPr>
          <w:rFonts w:ascii="Times New Roman" w:hAnsi="Times New Roman"/>
          <w:position w:val="2"/>
          <w:sz w:val="22"/>
        </w:rPr>
        <w:t>boundary conditions c</w:t>
      </w:r>
      <w:r>
        <w:rPr>
          <w:rFonts w:ascii="Times New Roman" w:hAnsi="Times New Roman"/>
          <w:sz w:val="14"/>
        </w:rPr>
        <w:t>j</w:t>
      </w:r>
      <w:r>
        <w:rPr>
          <w:rFonts w:ascii="Times New Roman" w:hAnsi="Times New Roman"/>
          <w:position w:val="2"/>
          <w:sz w:val="22"/>
        </w:rPr>
        <w:t>. Two classes </w:t>
      </w:r>
      <w:r>
        <w:rPr>
          <w:rFonts w:ascii="Times New Roman" w:hAnsi="Times New Roman"/>
          <w:spacing w:val="-3"/>
          <w:position w:val="2"/>
          <w:sz w:val="22"/>
        </w:rPr>
        <w:t>of </w:t>
      </w:r>
      <w:r>
        <w:rPr>
          <w:rFonts w:ascii="Times New Roman" w:hAnsi="Times New Roman"/>
          <w:position w:val="2"/>
          <w:sz w:val="22"/>
        </w:rPr>
        <w:t>the boundary conditions were provided. Preliminary operational conditions were explained as follows, c</w:t>
      </w:r>
      <w:r>
        <w:rPr>
          <w:rFonts w:ascii="Times New Roman" w:hAnsi="Times New Roman"/>
          <w:sz w:val="14"/>
        </w:rPr>
        <w:t>1 </w:t>
      </w:r>
      <w:r>
        <w:rPr>
          <w:rFonts w:ascii="Times New Roman" w:hAnsi="Times New Roman"/>
          <w:position w:val="2"/>
          <w:sz w:val="22"/>
        </w:rPr>
        <w:t>refers to the use </w:t>
      </w:r>
      <w:r>
        <w:rPr>
          <w:rFonts w:ascii="Times New Roman" w:hAnsi="Times New Roman"/>
          <w:spacing w:val="-3"/>
          <w:position w:val="2"/>
          <w:sz w:val="22"/>
        </w:rPr>
        <w:t>of </w:t>
      </w:r>
      <w:r>
        <w:rPr>
          <w:rFonts w:ascii="Times New Roman" w:hAnsi="Times New Roman"/>
          <w:position w:val="2"/>
          <w:sz w:val="22"/>
        </w:rPr>
        <w:t>different experimental treatments, c</w:t>
      </w:r>
      <w:r>
        <w:rPr>
          <w:rFonts w:ascii="Times New Roman" w:hAnsi="Times New Roman"/>
          <w:sz w:val="14"/>
        </w:rPr>
        <w:t>2 </w:t>
      </w:r>
      <w:r>
        <w:rPr>
          <w:rFonts w:ascii="Times New Roman" w:hAnsi="Times New Roman"/>
          <w:position w:val="2"/>
          <w:sz w:val="22"/>
        </w:rPr>
        <w:t>refers to with/without fermentation, c</w:t>
      </w:r>
      <w:r>
        <w:rPr>
          <w:rFonts w:ascii="Times New Roman" w:hAnsi="Times New Roman"/>
          <w:sz w:val="14"/>
        </w:rPr>
        <w:t>4 </w:t>
      </w:r>
      <w:r>
        <w:rPr>
          <w:rFonts w:ascii="Times New Roman" w:hAnsi="Times New Roman"/>
          <w:position w:val="2"/>
          <w:sz w:val="22"/>
        </w:rPr>
        <w:t>is the gas chromatographic column used for GC, and c</w:t>
      </w:r>
      <w:r>
        <w:rPr>
          <w:rFonts w:ascii="Times New Roman" w:hAnsi="Times New Roman"/>
          <w:sz w:val="14"/>
        </w:rPr>
        <w:t>5 </w:t>
      </w:r>
      <w:r>
        <w:rPr>
          <w:rFonts w:ascii="Times New Roman" w:hAnsi="Times New Roman"/>
          <w:position w:val="2"/>
          <w:sz w:val="22"/>
        </w:rPr>
        <w:t>is the use </w:t>
      </w:r>
      <w:r>
        <w:rPr>
          <w:rFonts w:ascii="Times New Roman" w:hAnsi="Times New Roman"/>
          <w:spacing w:val="-3"/>
          <w:position w:val="2"/>
          <w:sz w:val="22"/>
        </w:rPr>
        <w:t>of </w:t>
      </w:r>
      <w:r>
        <w:rPr>
          <w:rFonts w:ascii="Times New Roman" w:hAnsi="Times New Roman"/>
          <w:position w:val="2"/>
          <w:sz w:val="22"/>
        </w:rPr>
        <w:t>replicate experiments. Others are more directly related to the posterior distribution and nature </w:t>
      </w:r>
      <w:r>
        <w:rPr>
          <w:rFonts w:ascii="Times New Roman" w:hAnsi="Times New Roman"/>
          <w:spacing w:val="-3"/>
          <w:position w:val="2"/>
          <w:sz w:val="22"/>
        </w:rPr>
        <w:t>of </w:t>
      </w:r>
      <w:r>
        <w:rPr>
          <w:rFonts w:ascii="Times New Roman" w:hAnsi="Times New Roman"/>
          <w:position w:val="2"/>
          <w:sz w:val="22"/>
        </w:rPr>
        <w:t>the </w:t>
      </w:r>
      <w:r>
        <w:rPr>
          <w:rFonts w:ascii="Times New Roman" w:hAnsi="Times New Roman"/>
          <w:spacing w:val="3"/>
          <w:position w:val="2"/>
          <w:sz w:val="22"/>
        </w:rPr>
        <w:t>FA </w:t>
      </w:r>
      <w:r>
        <w:rPr>
          <w:rFonts w:ascii="Times New Roman" w:hAnsi="Times New Roman"/>
          <w:position w:val="2"/>
          <w:sz w:val="22"/>
        </w:rPr>
        <w:t>c</w:t>
      </w:r>
      <w:r>
        <w:rPr>
          <w:rFonts w:ascii="Times New Roman" w:hAnsi="Times New Roman"/>
          <w:sz w:val="14"/>
        </w:rPr>
        <w:t>3 </w:t>
      </w:r>
      <w:r>
        <w:rPr>
          <w:rFonts w:ascii="Times New Roman" w:hAnsi="Times New Roman"/>
          <w:position w:val="2"/>
          <w:sz w:val="22"/>
        </w:rPr>
        <w:t>= the biological phase </w:t>
      </w:r>
      <w:r>
        <w:rPr>
          <w:rFonts w:ascii="Times New Roman" w:hAnsi="Times New Roman"/>
          <w:spacing w:val="-3"/>
          <w:position w:val="2"/>
          <w:sz w:val="22"/>
        </w:rPr>
        <w:t>of </w:t>
      </w:r>
      <w:r>
        <w:rPr>
          <w:rFonts w:ascii="Times New Roman" w:hAnsi="Times New Roman"/>
          <w:position w:val="2"/>
          <w:sz w:val="22"/>
        </w:rPr>
        <w:t>distribution </w:t>
      </w:r>
      <w:r>
        <w:rPr>
          <w:rFonts w:ascii="Times New Roman" w:hAnsi="Times New Roman"/>
          <w:spacing w:val="-3"/>
          <w:position w:val="2"/>
          <w:sz w:val="22"/>
        </w:rPr>
        <w:t>of </w:t>
      </w:r>
      <w:r>
        <w:rPr>
          <w:rFonts w:ascii="Times New Roman" w:hAnsi="Times New Roman"/>
          <w:position w:val="2"/>
          <w:sz w:val="22"/>
        </w:rPr>
        <w:t>fatty acids, and c</w:t>
      </w:r>
      <w:r>
        <w:rPr>
          <w:rFonts w:ascii="Times New Roman" w:hAnsi="Times New Roman"/>
          <w:sz w:val="14"/>
        </w:rPr>
        <w:t>6 </w:t>
      </w:r>
      <w:r>
        <w:rPr>
          <w:rFonts w:ascii="Times New Roman" w:hAnsi="Times New Roman"/>
          <w:position w:val="2"/>
          <w:sz w:val="22"/>
        </w:rPr>
        <w:t>refers </w:t>
      </w:r>
      <w:r>
        <w:rPr>
          <w:rFonts w:ascii="Times New Roman" w:hAnsi="Times New Roman"/>
          <w:sz w:val="22"/>
        </w:rPr>
        <w:t>to the quantify information about </w:t>
      </w:r>
      <w:r>
        <w:rPr>
          <w:rFonts w:ascii="Times New Roman" w:hAnsi="Times New Roman"/>
          <w:i/>
          <w:sz w:val="22"/>
        </w:rPr>
        <w:t>cis</w:t>
      </w:r>
      <w:r>
        <w:rPr>
          <w:rFonts w:ascii="Times New Roman" w:hAnsi="Times New Roman"/>
          <w:sz w:val="22"/>
        </w:rPr>
        <w:t>/</w:t>
      </w:r>
      <w:r>
        <w:rPr>
          <w:rFonts w:ascii="Times New Roman" w:hAnsi="Times New Roman"/>
          <w:i/>
          <w:sz w:val="22"/>
        </w:rPr>
        <w:t>trans </w:t>
      </w:r>
      <w:r>
        <w:rPr>
          <w:rFonts w:ascii="Times New Roman" w:hAnsi="Times New Roman"/>
          <w:sz w:val="22"/>
        </w:rPr>
        <w:t>geometric pattern present in the LCFAs. Consequently, </w:t>
      </w:r>
      <w:r>
        <w:rPr>
          <w:rFonts w:ascii="Times New Roman" w:hAnsi="Times New Roman"/>
          <w:position w:val="2"/>
          <w:sz w:val="22"/>
        </w:rPr>
        <w:t>the </w:t>
      </w:r>
      <w:r>
        <w:rPr>
          <w:rFonts w:ascii="Times New Roman" w:hAnsi="Times New Roman"/>
          <w:spacing w:val="-3"/>
          <w:position w:val="2"/>
          <w:sz w:val="22"/>
        </w:rPr>
        <w:t>other </w:t>
      </w:r>
      <w:r>
        <w:rPr>
          <w:rFonts w:ascii="Times New Roman" w:hAnsi="Times New Roman"/>
          <w:position w:val="2"/>
          <w:sz w:val="22"/>
        </w:rPr>
        <w:t>input terms were expanded as follows. For instance, ΔΔV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 p(c</w:t>
      </w:r>
      <w:r>
        <w:rPr>
          <w:rFonts w:ascii="Times New Roman" w:hAnsi="Times New Roman"/>
          <w:sz w:val="14"/>
        </w:rPr>
        <w:t>j</w:t>
      </w:r>
      <w:r>
        <w:rPr>
          <w:rFonts w:ascii="Times New Roman" w:hAnsi="Times New Roman"/>
          <w:position w:val="2"/>
          <w:sz w:val="22"/>
        </w:rPr>
        <w:t>)</w:t>
      </w:r>
      <w:r>
        <w:rPr>
          <w:rFonts w:ascii="Times New Roman" w:hAnsi="Times New Roman"/>
          <w:sz w:val="14"/>
        </w:rPr>
        <w:t>new </w:t>
      </w:r>
      <w:r>
        <w:rPr>
          <w:rFonts w:ascii="Times New Roman" w:hAnsi="Times New Roman"/>
          <w:position w:val="2"/>
          <w:sz w:val="22"/>
        </w:rPr>
        <w:t>· ΔVk(c</w:t>
      </w:r>
      <w:r>
        <w:rPr>
          <w:rFonts w:ascii="Times New Roman" w:hAnsi="Times New Roman"/>
          <w:sz w:val="14"/>
        </w:rPr>
        <w:t>j</w:t>
      </w:r>
      <w:r>
        <w:rPr>
          <w:rFonts w:ascii="Times New Roman" w:hAnsi="Times New Roman"/>
          <w:position w:val="2"/>
          <w:sz w:val="22"/>
        </w:rPr>
        <w:t>)</w:t>
      </w:r>
      <w:r>
        <w:rPr>
          <w:rFonts w:ascii="Times New Roman" w:hAnsi="Times New Roman"/>
          <w:sz w:val="14"/>
        </w:rPr>
        <w:t>new </w:t>
      </w:r>
      <w:r>
        <w:rPr>
          <w:rFonts w:ascii="Times New Roman" w:hAnsi="Times New Roman"/>
          <w:position w:val="2"/>
          <w:sz w:val="22"/>
        </w:rPr>
        <w:t>– p(c</w:t>
      </w:r>
      <w:r>
        <w:rPr>
          <w:rFonts w:ascii="Times New Roman" w:hAnsi="Times New Roman"/>
          <w:sz w:val="14"/>
        </w:rPr>
        <w:t>j</w:t>
      </w:r>
      <w:r>
        <w:rPr>
          <w:rFonts w:ascii="Times New Roman" w:hAnsi="Times New Roman"/>
          <w:position w:val="2"/>
          <w:sz w:val="22"/>
        </w:rPr>
        <w:t>)</w:t>
      </w:r>
      <w:r>
        <w:rPr>
          <w:rFonts w:ascii="Times New Roman" w:hAnsi="Times New Roman"/>
          <w:sz w:val="14"/>
        </w:rPr>
        <w:t>ref </w:t>
      </w:r>
      <w:r>
        <w:rPr>
          <w:rFonts w:ascii="Times New Roman" w:hAnsi="Times New Roman"/>
          <w:position w:val="2"/>
          <w:sz w:val="22"/>
        </w:rPr>
        <w:t>· 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w:t>
      </w:r>
      <w:r>
        <w:rPr>
          <w:rFonts w:ascii="Times New Roman" w:hAnsi="Times New Roman"/>
          <w:sz w:val="14"/>
        </w:rPr>
        <w:t>ref</w:t>
      </w:r>
      <w:r>
        <w:rPr>
          <w:rFonts w:ascii="Times New Roman" w:hAnsi="Times New Roman"/>
          <w:position w:val="2"/>
          <w:sz w:val="22"/>
        </w:rPr>
        <w:t>. This can be further expanded in turn as ΔΔV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 p(c</w:t>
      </w:r>
      <w:r>
        <w:rPr>
          <w:rFonts w:ascii="Times New Roman" w:hAnsi="Times New Roman"/>
          <w:sz w:val="14"/>
        </w:rPr>
        <w:t>j</w:t>
      </w:r>
      <w:r>
        <w:rPr>
          <w:rFonts w:ascii="Times New Roman" w:hAnsi="Times New Roman"/>
          <w:position w:val="2"/>
          <w:sz w:val="22"/>
        </w:rPr>
        <w:t>)</w:t>
      </w:r>
      <w:r>
        <w:rPr>
          <w:rFonts w:ascii="Times New Roman" w:hAnsi="Times New Roman"/>
          <w:sz w:val="14"/>
        </w:rPr>
        <w:t>new </w:t>
      </w:r>
      <w:r>
        <w:rPr>
          <w:rFonts w:ascii="Times New Roman" w:hAnsi="Times New Roman"/>
          <w:position w:val="2"/>
          <w:sz w:val="22"/>
        </w:rPr>
        <w:t>(</w:t>
      </w:r>
      <w:r>
        <w:rPr>
          <w:rFonts w:ascii="Times New Roman" w:hAnsi="Times New Roman"/>
          <w:position w:val="11"/>
          <w:sz w:val="14"/>
        </w:rPr>
        <w:t>new</w:t>
      </w:r>
      <w:r>
        <w:rPr>
          <w:rFonts w:ascii="Times New Roman" w:hAnsi="Times New Roman"/>
          <w:position w:val="2"/>
          <w:sz w:val="22"/>
        </w:rPr>
        <w:t>V</w:t>
      </w:r>
      <w:r>
        <w:rPr>
          <w:rFonts w:ascii="Times New Roman" w:hAnsi="Times New Roman"/>
          <w:sz w:val="14"/>
        </w:rPr>
        <w:t>k </w:t>
      </w:r>
      <w:r>
        <w:rPr>
          <w:rFonts w:ascii="Times New Roman" w:hAnsi="Times New Roman"/>
          <w:position w:val="2"/>
          <w:sz w:val="22"/>
        </w:rPr>
        <w:t>- &lt;V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)&gt;</w:t>
      </w:r>
      <w:r>
        <w:rPr>
          <w:rFonts w:ascii="Times New Roman" w:hAnsi="Times New Roman"/>
          <w:sz w:val="14"/>
        </w:rPr>
        <w:t>new</w:t>
      </w:r>
      <w:r>
        <w:rPr>
          <w:rFonts w:ascii="Times New Roman" w:hAnsi="Times New Roman"/>
          <w:position w:val="2"/>
          <w:sz w:val="22"/>
        </w:rPr>
        <w:t>) - p(c</w:t>
      </w:r>
      <w:r>
        <w:rPr>
          <w:rFonts w:ascii="Times New Roman" w:hAnsi="Times New Roman"/>
          <w:sz w:val="14"/>
        </w:rPr>
        <w:t>j</w:t>
      </w:r>
      <w:r>
        <w:rPr>
          <w:rFonts w:ascii="Times New Roman" w:hAnsi="Times New Roman"/>
          <w:position w:val="2"/>
          <w:sz w:val="22"/>
        </w:rPr>
        <w:t>)</w:t>
      </w:r>
      <w:r>
        <w:rPr>
          <w:rFonts w:ascii="Times New Roman" w:hAnsi="Times New Roman"/>
          <w:sz w:val="14"/>
        </w:rPr>
        <w:t>ref </w:t>
      </w:r>
      <w:r>
        <w:rPr>
          <w:rFonts w:ascii="Times New Roman" w:hAnsi="Times New Roman"/>
          <w:position w:val="2"/>
          <w:sz w:val="22"/>
        </w:rPr>
        <w:t>(</w:t>
      </w:r>
      <w:r>
        <w:rPr>
          <w:rFonts w:ascii="Times New Roman" w:hAnsi="Times New Roman"/>
          <w:position w:val="11"/>
          <w:sz w:val="14"/>
        </w:rPr>
        <w:t>ref</w:t>
      </w:r>
      <w:r>
        <w:rPr>
          <w:rFonts w:ascii="Times New Roman" w:hAnsi="Times New Roman"/>
          <w:position w:val="2"/>
          <w:sz w:val="22"/>
        </w:rPr>
        <w:t>V</w:t>
      </w:r>
      <w:r>
        <w:rPr>
          <w:rFonts w:ascii="Times New Roman" w:hAnsi="Times New Roman"/>
          <w:sz w:val="14"/>
        </w:rPr>
        <w:t>k </w:t>
      </w:r>
      <w:r>
        <w:rPr>
          <w:rFonts w:ascii="Times New Roman" w:hAnsi="Times New Roman"/>
          <w:position w:val="2"/>
          <w:sz w:val="22"/>
        </w:rPr>
        <w:t>- &lt;V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)&gt;</w:t>
      </w:r>
      <w:r>
        <w:rPr>
          <w:rFonts w:ascii="Times New Roman" w:hAnsi="Times New Roman"/>
          <w:sz w:val="14"/>
        </w:rPr>
        <w:t>ref</w:t>
      </w:r>
      <w:r>
        <w:rPr>
          <w:rFonts w:ascii="Times New Roman" w:hAnsi="Times New Roman"/>
          <w:position w:val="2"/>
          <w:sz w:val="22"/>
        </w:rPr>
        <w:t>), among &lt;V</w:t>
      </w:r>
      <w:r>
        <w:rPr>
          <w:rFonts w:ascii="Times New Roman" w:hAnsi="Times New Roman"/>
          <w:sz w:val="14"/>
        </w:rPr>
        <w:t>k</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)&gt; = Average </w:t>
      </w:r>
      <w:r>
        <w:rPr>
          <w:rFonts w:ascii="Times New Roman" w:hAnsi="Times New Roman"/>
          <w:spacing w:val="-3"/>
          <w:position w:val="2"/>
          <w:sz w:val="22"/>
        </w:rPr>
        <w:t>of </w:t>
      </w:r>
      <w:r>
        <w:rPr>
          <w:rFonts w:ascii="Times New Roman" w:hAnsi="Times New Roman"/>
          <w:position w:val="2"/>
          <w:sz w:val="22"/>
        </w:rPr>
        <w:t>V</w:t>
      </w:r>
      <w:r>
        <w:rPr>
          <w:rFonts w:ascii="Times New Roman" w:hAnsi="Times New Roman"/>
          <w:sz w:val="14"/>
        </w:rPr>
        <w:t>k </w:t>
      </w:r>
      <w:r>
        <w:rPr>
          <w:rFonts w:ascii="Times New Roman" w:hAnsi="Times New Roman"/>
          <w:position w:val="2"/>
          <w:sz w:val="22"/>
        </w:rPr>
        <w:t>for c</w:t>
      </w:r>
      <w:r>
        <w:rPr>
          <w:rFonts w:ascii="Times New Roman" w:hAnsi="Times New Roman"/>
          <w:sz w:val="14"/>
        </w:rPr>
        <w:t>j</w:t>
      </w:r>
      <w:r>
        <w:rPr>
          <w:rFonts w:ascii="Times New Roman" w:hAnsi="Times New Roman"/>
          <w:position w:val="2"/>
          <w:sz w:val="22"/>
        </w:rPr>
        <w:t>. The details </w:t>
      </w:r>
      <w:r>
        <w:rPr>
          <w:rFonts w:ascii="Times New Roman" w:hAnsi="Times New Roman"/>
          <w:spacing w:val="-3"/>
          <w:position w:val="2"/>
          <w:sz w:val="22"/>
        </w:rPr>
        <w:t>of </w:t>
      </w:r>
      <w:r>
        <w:rPr>
          <w:rFonts w:ascii="Times New Roman" w:hAnsi="Times New Roman"/>
          <w:position w:val="2"/>
          <w:sz w:val="22"/>
        </w:rPr>
        <w:t>each chemical descriptor of input variable based on the boundary conditions, and the frequency </w:t>
      </w:r>
      <w:r>
        <w:rPr>
          <w:rFonts w:ascii="Times New Roman" w:hAnsi="Times New Roman"/>
          <w:i/>
          <w:position w:val="2"/>
          <w:sz w:val="22"/>
        </w:rPr>
        <w:t>p</w:t>
      </w:r>
      <w:r>
        <w:rPr>
          <w:rFonts w:ascii="Times New Roman" w:hAnsi="Times New Roman"/>
          <w:position w:val="2"/>
          <w:sz w:val="22"/>
        </w:rPr>
        <w:t>(c</w:t>
      </w:r>
      <w:r>
        <w:rPr>
          <w:rFonts w:ascii="Times New Roman" w:hAnsi="Times New Roman"/>
          <w:sz w:val="14"/>
        </w:rPr>
        <w:t>j</w:t>
      </w:r>
      <w:r>
        <w:rPr>
          <w:rFonts w:ascii="Times New Roman" w:hAnsi="Times New Roman"/>
          <w:position w:val="2"/>
          <w:sz w:val="22"/>
        </w:rPr>
        <w:t>) = n</w:t>
      </w:r>
      <w:r>
        <w:rPr>
          <w:rFonts w:ascii="Times New Roman" w:hAnsi="Times New Roman"/>
          <w:sz w:val="14"/>
        </w:rPr>
        <w:t>j</w:t>
      </w:r>
      <w:r>
        <w:rPr>
          <w:rFonts w:ascii="Times New Roman" w:hAnsi="Times New Roman"/>
          <w:position w:val="2"/>
          <w:sz w:val="22"/>
        </w:rPr>
        <w:t>/n</w:t>
      </w:r>
      <w:r>
        <w:rPr>
          <w:rFonts w:ascii="Times New Roman" w:hAnsi="Times New Roman"/>
          <w:sz w:val="14"/>
        </w:rPr>
        <w:t>total </w:t>
      </w:r>
      <w:r>
        <w:rPr>
          <w:rFonts w:ascii="Times New Roman" w:hAnsi="Times New Roman"/>
          <w:position w:val="2"/>
          <w:sz w:val="22"/>
        </w:rPr>
        <w:t>of the number </w:t>
      </w:r>
      <w:r>
        <w:rPr>
          <w:rFonts w:ascii="Times New Roman" w:hAnsi="Times New Roman"/>
          <w:spacing w:val="-3"/>
          <w:position w:val="2"/>
          <w:sz w:val="22"/>
        </w:rPr>
        <w:t>of </w:t>
      </w:r>
      <w:r>
        <w:rPr>
          <w:rFonts w:ascii="Times New Roman" w:hAnsi="Times New Roman"/>
          <w:position w:val="2"/>
          <w:sz w:val="22"/>
        </w:rPr>
        <w:t>each level c</w:t>
      </w:r>
      <w:r>
        <w:rPr>
          <w:rFonts w:ascii="Times New Roman" w:hAnsi="Times New Roman"/>
          <w:sz w:val="14"/>
        </w:rPr>
        <w:t>j  </w:t>
      </w:r>
      <w:r>
        <w:rPr>
          <w:rFonts w:ascii="Times New Roman" w:hAnsi="Times New Roman"/>
          <w:spacing w:val="-3"/>
          <w:position w:val="2"/>
          <w:sz w:val="22"/>
        </w:rPr>
        <w:t>of </w:t>
      </w:r>
      <w:r>
        <w:rPr>
          <w:rFonts w:ascii="Times New Roman" w:hAnsi="Times New Roman"/>
          <w:position w:val="2"/>
          <w:sz w:val="22"/>
        </w:rPr>
        <w:t>experimental boundary condition were shown in </w:t>
      </w:r>
      <w:r>
        <w:rPr>
          <w:rFonts w:ascii="Times New Roman" w:hAnsi="Times New Roman"/>
          <w:b/>
          <w:position w:val="2"/>
          <w:sz w:val="22"/>
        </w:rPr>
        <w:t>Table</w:t>
      </w:r>
      <w:r>
        <w:rPr>
          <w:rFonts w:ascii="Times New Roman" w:hAnsi="Times New Roman"/>
          <w:b/>
          <w:spacing w:val="-24"/>
          <w:position w:val="2"/>
          <w:sz w:val="22"/>
        </w:rPr>
        <w:t> </w:t>
      </w:r>
      <w:r>
        <w:rPr>
          <w:rFonts w:ascii="Times New Roman" w:hAnsi="Times New Roman"/>
          <w:b/>
          <w:position w:val="2"/>
          <w:sz w:val="22"/>
        </w:rPr>
        <w:t>10</w:t>
      </w:r>
      <w:r>
        <w:rPr>
          <w:rFonts w:ascii="Times New Roman" w:hAnsi="Times New Roman"/>
          <w:position w:val="2"/>
          <w:sz w:val="22"/>
        </w:rPr>
        <w:t>.</w:t>
      </w:r>
    </w:p>
    <w:p>
      <w:pPr>
        <w:spacing w:line="249" w:lineRule="exact" w:before="5"/>
        <w:ind w:left="297" w:right="0" w:firstLine="0"/>
        <w:jc w:val="center"/>
        <w:rPr>
          <w:rFonts w:ascii="Times New Roman"/>
          <w:b/>
          <w:sz w:val="22"/>
        </w:rPr>
      </w:pPr>
      <w:r>
        <w:rPr>
          <w:rFonts w:ascii="Times New Roman"/>
          <w:b/>
          <w:sz w:val="22"/>
        </w:rPr>
        <w:t>Table 10 comes about here</w:t>
      </w:r>
    </w:p>
    <w:p>
      <w:pPr>
        <w:spacing w:line="240" w:lineRule="auto" w:before="0"/>
        <w:ind w:left="259" w:right="238" w:firstLine="283"/>
        <w:jc w:val="both"/>
        <w:rPr>
          <w:rFonts w:ascii="Times New Roman" w:hAnsi="Times New Roman" w:cs="Times New Roman" w:eastAsia="Times New Roman"/>
          <w:sz w:val="22"/>
          <w:szCs w:val="22"/>
        </w:rPr>
      </w:pPr>
      <w:r>
        <w:rPr>
          <w:rFonts w:ascii="Times New Roman" w:hAnsi="Times New Roman" w:cs="Times New Roman" w:eastAsia="Times New Roman"/>
          <w:sz w:val="22"/>
          <w:szCs w:val="22"/>
        </w:rPr>
        <w:t>It can be concluded that the classification results, obtained with this new PT-LFER equation, are promising and confirm the potential </w:t>
      </w:r>
      <w:r>
        <w:rPr>
          <w:rFonts w:ascii="Times New Roman" w:hAnsi="Times New Roman" w:cs="Times New Roman" w:eastAsia="Times New Roman"/>
          <w:spacing w:val="-3"/>
          <w:sz w:val="22"/>
          <w:szCs w:val="22"/>
        </w:rPr>
        <w:t>of </w:t>
      </w:r>
      <w:r>
        <w:rPr>
          <w:rFonts w:ascii="Times New Roman" w:hAnsi="Times New Roman" w:cs="Times New Roman" w:eastAsia="Times New Roman"/>
          <w:sz w:val="22"/>
          <w:szCs w:val="22"/>
        </w:rPr>
        <w:t>the present methodology. The present model is the result </w:t>
      </w:r>
      <w:r>
        <w:rPr>
          <w:rFonts w:ascii="Times New Roman" w:hAnsi="Times New Roman" w:cs="Times New Roman" w:eastAsia="Times New Roman"/>
          <w:spacing w:val="-3"/>
          <w:sz w:val="22"/>
          <w:szCs w:val="22"/>
        </w:rPr>
        <w:t>of </w:t>
      </w:r>
      <w:r>
        <w:rPr>
          <w:rFonts w:ascii="Times New Roman" w:hAnsi="Times New Roman" w:cs="Times New Roman" w:eastAsia="Times New Roman"/>
          <w:sz w:val="22"/>
          <w:szCs w:val="22"/>
        </w:rPr>
        <w:t>combining Hansch analysis with LDA models, Box-Jenkins Operators, and Perturbation Theory ideas. Our group and other authors [20, 46-50] have used LDA models alone </w:t>
      </w:r>
      <w:r>
        <w:rPr>
          <w:rFonts w:ascii="Times New Roman" w:hAnsi="Times New Roman" w:cs="Times New Roman" w:eastAsia="Times New Roman"/>
          <w:spacing w:val="-3"/>
          <w:sz w:val="22"/>
          <w:szCs w:val="22"/>
        </w:rPr>
        <w:t>or </w:t>
      </w:r>
      <w:r>
        <w:rPr>
          <w:rFonts w:ascii="Times New Roman" w:hAnsi="Times New Roman" w:cs="Times New Roman" w:eastAsia="Times New Roman"/>
          <w:sz w:val="22"/>
          <w:szCs w:val="22"/>
        </w:rPr>
        <w:t>combined with Box-Jenkins Operators to predict properties </w:t>
      </w:r>
      <w:r>
        <w:rPr>
          <w:rFonts w:ascii="Times New Roman" w:hAnsi="Times New Roman" w:cs="Times New Roman" w:eastAsia="Times New Roman"/>
          <w:spacing w:val="-3"/>
          <w:sz w:val="22"/>
          <w:szCs w:val="22"/>
        </w:rPr>
        <w:t>of </w:t>
      </w:r>
      <w:r>
        <w:rPr>
          <w:rFonts w:ascii="Times New Roman" w:hAnsi="Times New Roman" w:cs="Times New Roman" w:eastAsia="Times New Roman"/>
          <w:sz w:val="22"/>
          <w:szCs w:val="22"/>
        </w:rPr>
        <w:t>complex systems[51-54]; however, these models  may not take the perturbation theory into account</w:t>
      </w:r>
      <w:hyperlink w:history="true" w:anchor="_bookmark1">
        <w:r>
          <w:rPr>
            <w:rFonts w:ascii="Times New Roman" w:hAnsi="Times New Roman" w:cs="Times New Roman" w:eastAsia="Times New Roman"/>
            <w:color w:val="0000FF"/>
            <w:sz w:val="24"/>
            <w:szCs w:val="24"/>
            <w:u w:val="single" w:color="0000FF"/>
          </w:rPr>
          <w:t>_ENREF_21</w:t>
        </w:r>
      </w:hyperlink>
      <w:hyperlink w:history="true" w:anchor="_bookmark1">
        <w:r>
          <w:rPr>
            <w:rFonts w:ascii="Times New Roman" w:hAnsi="Times New Roman" w:cs="Times New Roman" w:eastAsia="Times New Roman"/>
            <w:color w:val="0000FF"/>
            <w:sz w:val="24"/>
            <w:szCs w:val="24"/>
            <w:u w:val="single" w:color="0000FF"/>
          </w:rPr>
          <w:t>_ENREF_46</w:t>
        </w:r>
        <w:r>
          <w:rPr>
            <w:rFonts w:ascii="Times New Roman" w:hAnsi="Times New Roman" w:cs="Times New Roman" w:eastAsia="Times New Roman"/>
            <w:sz w:val="22"/>
            <w:szCs w:val="22"/>
          </w:rPr>
          <w:t>.</w:t>
        </w:r>
      </w:hyperlink>
      <w:r>
        <w:rPr>
          <w:rFonts w:ascii="Times New Roman" w:hAnsi="Times New Roman" w:cs="Times New Roman" w:eastAsia="Times New Roman"/>
          <w:sz w:val="22"/>
          <w:szCs w:val="22"/>
        </w:rPr>
        <w:t> In present work, </w:t>
      </w:r>
      <w:r>
        <w:rPr>
          <w:rFonts w:ascii="Times New Roman" w:hAnsi="Times New Roman" w:cs="Times New Roman" w:eastAsia="Times New Roman"/>
          <w:position w:val="2"/>
          <w:sz w:val="22"/>
          <w:szCs w:val="22"/>
        </w:rPr>
        <w:t>these ideas are extended </w:t>
      </w:r>
      <w:r>
        <w:rPr>
          <w:rFonts w:ascii="Times New Roman" w:hAnsi="Times New Roman" w:cs="Times New Roman" w:eastAsia="Times New Roman"/>
          <w:spacing w:val="2"/>
          <w:position w:val="2"/>
          <w:sz w:val="22"/>
          <w:szCs w:val="22"/>
        </w:rPr>
        <w:t>to </w:t>
      </w:r>
      <w:r>
        <w:rPr>
          <w:rFonts w:ascii="Times New Roman" w:hAnsi="Times New Roman" w:cs="Times New Roman" w:eastAsia="Times New Roman"/>
          <w:position w:val="2"/>
          <w:sz w:val="22"/>
          <w:szCs w:val="22"/>
        </w:rPr>
        <w:t>the Hansch analysis. To </w:t>
      </w:r>
      <w:r>
        <w:rPr>
          <w:rFonts w:ascii="Times New Roman" w:hAnsi="Times New Roman" w:cs="Times New Roman" w:eastAsia="Times New Roman"/>
          <w:spacing w:val="-3"/>
          <w:position w:val="2"/>
          <w:sz w:val="22"/>
          <w:szCs w:val="22"/>
        </w:rPr>
        <w:t>this end, </w:t>
      </w:r>
      <w:r>
        <w:rPr>
          <w:rFonts w:ascii="Times New Roman" w:hAnsi="Times New Roman" w:cs="Times New Roman" w:eastAsia="Times New Roman"/>
          <w:position w:val="2"/>
          <w:sz w:val="22"/>
          <w:szCs w:val="22"/>
        </w:rPr>
        <w:t>it was considered that </w:t>
      </w:r>
      <w:r>
        <w:rPr>
          <w:rFonts w:ascii="Times New Roman" w:hAnsi="Times New Roman" w:cs="Times New Roman" w:eastAsia="Times New Roman"/>
          <w:spacing w:val="3"/>
          <w:position w:val="2"/>
          <w:sz w:val="22"/>
          <w:szCs w:val="22"/>
        </w:rPr>
        <w:t>µ</w:t>
      </w:r>
      <w:r>
        <w:rPr>
          <w:rFonts w:ascii="Times New Roman" w:hAnsi="Times New Roman" w:cs="Times New Roman" w:eastAsia="Times New Roman"/>
          <w:spacing w:val="3"/>
          <w:sz w:val="14"/>
          <w:szCs w:val="14"/>
        </w:rPr>
        <w:t>nr </w:t>
      </w:r>
      <w:r>
        <w:rPr>
          <w:rFonts w:ascii="Times New Roman" w:hAnsi="Times New Roman" w:cs="Times New Roman" w:eastAsia="Times New Roman"/>
          <w:position w:val="2"/>
          <w:sz w:val="22"/>
          <w:szCs w:val="22"/>
        </w:rPr>
        <w:t>= 1 </w:t>
      </w:r>
      <w:r>
        <w:rPr>
          <w:rFonts w:ascii="Times New Roman" w:hAnsi="Times New Roman" w:cs="Times New Roman" w:eastAsia="Times New Roman"/>
          <w:spacing w:val="-3"/>
          <w:position w:val="2"/>
          <w:sz w:val="22"/>
          <w:szCs w:val="22"/>
        </w:rPr>
        <w:t>(nodes </w:t>
      </w:r>
      <w:r>
        <w:rPr>
          <w:rFonts w:ascii="Times New Roman" w:hAnsi="Times New Roman" w:cs="Times New Roman" w:eastAsia="Times New Roman"/>
          <w:position w:val="2"/>
          <w:sz w:val="22"/>
          <w:szCs w:val="22"/>
        </w:rPr>
        <w:t>linked) when both the values </w:t>
      </w:r>
      <w:r>
        <w:rPr>
          <w:rFonts w:ascii="Times New Roman" w:hAnsi="Times New Roman" w:cs="Times New Roman" w:eastAsia="Times New Roman"/>
          <w:spacing w:val="-3"/>
          <w:position w:val="2"/>
          <w:sz w:val="22"/>
          <w:szCs w:val="22"/>
        </w:rPr>
        <w:t>of </w:t>
      </w:r>
      <w:r>
        <w:rPr>
          <w:rFonts w:ascii="Times New Roman" w:hAnsi="Times New Roman" w:cs="Times New Roman" w:eastAsia="Times New Roman"/>
          <w:position w:val="2"/>
          <w:sz w:val="22"/>
          <w:szCs w:val="22"/>
        </w:rPr>
        <w:t>ꞌ</w:t>
      </w:r>
      <w:r>
        <w:rPr>
          <w:rFonts w:ascii="Times New Roman" w:hAnsi="Times New Roman" w:cs="Times New Roman" w:eastAsia="Times New Roman"/>
          <w:i/>
          <w:position w:val="2"/>
          <w:sz w:val="22"/>
          <w:szCs w:val="22"/>
        </w:rPr>
        <w:t>f</w:t>
      </w:r>
      <w:r>
        <w:rPr>
          <w:rFonts w:ascii="Times New Roman" w:hAnsi="Times New Roman" w:cs="Times New Roman" w:eastAsia="Times New Roman"/>
          <w:position w:val="2"/>
          <w:sz w:val="22"/>
          <w:szCs w:val="22"/>
        </w:rPr>
        <w:t>(ε</w:t>
      </w:r>
      <w:r>
        <w:rPr>
          <w:rFonts w:ascii="Times New Roman" w:hAnsi="Times New Roman" w:cs="Times New Roman" w:eastAsia="Times New Roman"/>
          <w:sz w:val="14"/>
          <w:szCs w:val="14"/>
        </w:rPr>
        <w:t>ij</w:t>
      </w:r>
      <w:r>
        <w:rPr>
          <w:rFonts w:ascii="Times New Roman" w:hAnsi="Times New Roman" w:cs="Times New Roman" w:eastAsia="Times New Roman"/>
          <w:position w:val="2"/>
          <w:sz w:val="22"/>
          <w:szCs w:val="22"/>
        </w:rPr>
        <w:t>)</w:t>
      </w:r>
      <w:r>
        <w:rPr>
          <w:rFonts w:ascii="Times New Roman" w:hAnsi="Times New Roman" w:cs="Times New Roman" w:eastAsia="Times New Roman"/>
          <w:sz w:val="14"/>
          <w:szCs w:val="14"/>
        </w:rPr>
        <w:t>new </w:t>
      </w:r>
      <w:r>
        <w:rPr>
          <w:rFonts w:ascii="Times New Roman" w:hAnsi="Times New Roman" w:cs="Times New Roman" w:eastAsia="Times New Roman"/>
          <w:position w:val="2"/>
          <w:sz w:val="22"/>
          <w:szCs w:val="22"/>
        </w:rPr>
        <w:t>and ꞌ</w:t>
      </w:r>
      <w:r>
        <w:rPr>
          <w:rFonts w:ascii="Times New Roman" w:hAnsi="Times New Roman" w:cs="Times New Roman" w:eastAsia="Times New Roman"/>
          <w:i/>
          <w:position w:val="2"/>
          <w:sz w:val="22"/>
          <w:szCs w:val="22"/>
        </w:rPr>
        <w:t>f</w:t>
      </w:r>
      <w:r>
        <w:rPr>
          <w:rFonts w:ascii="Times New Roman" w:hAnsi="Times New Roman" w:cs="Times New Roman" w:eastAsia="Times New Roman"/>
          <w:position w:val="2"/>
          <w:sz w:val="22"/>
          <w:szCs w:val="22"/>
        </w:rPr>
        <w:t>(ε</w:t>
      </w:r>
      <w:r>
        <w:rPr>
          <w:rFonts w:ascii="Times New Roman" w:hAnsi="Times New Roman" w:cs="Times New Roman" w:eastAsia="Times New Roman"/>
          <w:sz w:val="14"/>
          <w:szCs w:val="14"/>
        </w:rPr>
        <w:t>ij</w:t>
      </w:r>
      <w:r>
        <w:rPr>
          <w:rFonts w:ascii="Times New Roman" w:hAnsi="Times New Roman" w:cs="Times New Roman" w:eastAsia="Times New Roman"/>
          <w:position w:val="2"/>
          <w:sz w:val="22"/>
          <w:szCs w:val="22"/>
        </w:rPr>
        <w:t>)</w:t>
      </w:r>
      <w:r>
        <w:rPr>
          <w:rFonts w:ascii="Times New Roman" w:hAnsi="Times New Roman" w:cs="Times New Roman" w:eastAsia="Times New Roman"/>
          <w:sz w:val="14"/>
          <w:szCs w:val="14"/>
        </w:rPr>
        <w:t>ref </w:t>
      </w:r>
      <w:r>
        <w:rPr>
          <w:rFonts w:ascii="Times New Roman" w:hAnsi="Times New Roman" w:cs="Times New Roman" w:eastAsia="Times New Roman"/>
          <w:position w:val="2"/>
          <w:sz w:val="22"/>
          <w:szCs w:val="22"/>
        </w:rPr>
        <w:t>predicted by the  model  have  the probability </w:t>
      </w:r>
      <w:r>
        <w:rPr>
          <w:rFonts w:ascii="Times New Roman" w:hAnsi="Times New Roman" w:cs="Times New Roman" w:eastAsia="Times New Roman"/>
          <w:i/>
          <w:position w:val="2"/>
          <w:sz w:val="22"/>
          <w:szCs w:val="22"/>
        </w:rPr>
        <w:t>p</w:t>
      </w:r>
      <w:r>
        <w:rPr>
          <w:rFonts w:ascii="Times New Roman" w:hAnsi="Times New Roman" w:cs="Times New Roman" w:eastAsia="Times New Roman"/>
          <w:position w:val="2"/>
          <w:sz w:val="22"/>
          <w:szCs w:val="22"/>
        </w:rPr>
        <w:t>(c</w:t>
      </w:r>
      <w:r>
        <w:rPr>
          <w:rFonts w:ascii="Times New Roman" w:hAnsi="Times New Roman" w:cs="Times New Roman" w:eastAsia="Times New Roman"/>
          <w:sz w:val="14"/>
          <w:szCs w:val="14"/>
        </w:rPr>
        <w:t>ij</w:t>
      </w:r>
      <w:r>
        <w:rPr>
          <w:rFonts w:ascii="Times New Roman" w:hAnsi="Times New Roman" w:cs="Times New Roman" w:eastAsia="Times New Roman"/>
          <w:position w:val="2"/>
          <w:sz w:val="22"/>
          <w:szCs w:val="22"/>
        </w:rPr>
        <w:t>) &gt; 0.5 </w:t>
      </w:r>
      <w:r>
        <w:rPr>
          <w:rFonts w:ascii="Times New Roman" w:hAnsi="Times New Roman" w:cs="Times New Roman" w:eastAsia="Times New Roman"/>
          <w:spacing w:val="-3"/>
          <w:position w:val="2"/>
          <w:sz w:val="22"/>
          <w:szCs w:val="22"/>
        </w:rPr>
        <w:t>of </w:t>
      </w:r>
      <w:r>
        <w:rPr>
          <w:rFonts w:ascii="Times New Roman" w:hAnsi="Times New Roman" w:cs="Times New Roman" w:eastAsia="Times New Roman"/>
          <w:position w:val="2"/>
          <w:sz w:val="22"/>
          <w:szCs w:val="22"/>
        </w:rPr>
        <w:t>having </w:t>
      </w:r>
      <w:r>
        <w:rPr>
          <w:rFonts w:ascii="Times New Roman" w:hAnsi="Times New Roman" w:cs="Times New Roman" w:eastAsia="Times New Roman"/>
          <w:i/>
          <w:position w:val="2"/>
          <w:sz w:val="22"/>
          <w:szCs w:val="22"/>
        </w:rPr>
        <w:t>f</w:t>
      </w:r>
      <w:r>
        <w:rPr>
          <w:rFonts w:ascii="Times New Roman" w:hAnsi="Times New Roman" w:cs="Times New Roman" w:eastAsia="Times New Roman"/>
          <w:position w:val="2"/>
          <w:sz w:val="22"/>
          <w:szCs w:val="22"/>
        </w:rPr>
        <w:t>(ε</w:t>
      </w:r>
      <w:r>
        <w:rPr>
          <w:rFonts w:ascii="Times New Roman" w:hAnsi="Times New Roman" w:cs="Times New Roman" w:eastAsia="Times New Roman"/>
          <w:sz w:val="14"/>
          <w:szCs w:val="14"/>
        </w:rPr>
        <w:t>ij</w:t>
      </w:r>
      <w:r>
        <w:rPr>
          <w:rFonts w:ascii="Times New Roman" w:hAnsi="Times New Roman" w:cs="Times New Roman" w:eastAsia="Times New Roman"/>
          <w:position w:val="2"/>
          <w:sz w:val="22"/>
          <w:szCs w:val="22"/>
        </w:rPr>
        <w:t>)</w:t>
      </w:r>
      <w:r>
        <w:rPr>
          <w:rFonts w:ascii="Times New Roman" w:hAnsi="Times New Roman" w:cs="Times New Roman" w:eastAsia="Times New Roman"/>
          <w:sz w:val="14"/>
          <w:szCs w:val="14"/>
        </w:rPr>
        <w:t>ref </w:t>
      </w:r>
      <w:r>
        <w:rPr>
          <w:rFonts w:ascii="Times New Roman" w:hAnsi="Times New Roman" w:cs="Times New Roman" w:eastAsia="Times New Roman"/>
          <w:position w:val="2"/>
          <w:sz w:val="22"/>
          <w:szCs w:val="22"/>
        </w:rPr>
        <w:t>= IPA(%)</w:t>
      </w:r>
      <w:r>
        <w:rPr>
          <w:rFonts w:ascii="Times New Roman" w:hAnsi="Times New Roman" w:cs="Times New Roman" w:eastAsia="Times New Roman"/>
          <w:sz w:val="14"/>
          <w:szCs w:val="14"/>
        </w:rPr>
        <w:t>obs </w:t>
      </w:r>
      <w:r>
        <w:rPr>
          <w:rFonts w:ascii="Times New Roman" w:hAnsi="Times New Roman" w:cs="Times New Roman" w:eastAsia="Times New Roman"/>
          <w:position w:val="2"/>
          <w:sz w:val="22"/>
          <w:szCs w:val="22"/>
        </w:rPr>
        <w:t>- IPA(%)</w:t>
      </w:r>
      <w:r>
        <w:rPr>
          <w:rFonts w:ascii="Times New Roman" w:hAnsi="Times New Roman" w:cs="Times New Roman" w:eastAsia="Times New Roman"/>
          <w:sz w:val="14"/>
          <w:szCs w:val="14"/>
        </w:rPr>
        <w:t>ref </w:t>
      </w:r>
      <w:r>
        <w:rPr>
          <w:rFonts w:ascii="Times New Roman" w:hAnsi="Times New Roman" w:cs="Times New Roman" w:eastAsia="Times New Roman"/>
          <w:position w:val="2"/>
          <w:sz w:val="22"/>
          <w:szCs w:val="22"/>
        </w:rPr>
        <w:t>&gt;</w:t>
      </w:r>
      <w:r>
        <w:rPr>
          <w:rFonts w:ascii="Times New Roman" w:hAnsi="Times New Roman" w:cs="Times New Roman" w:eastAsia="Times New Roman"/>
          <w:spacing w:val="29"/>
          <w:position w:val="2"/>
          <w:sz w:val="22"/>
          <w:szCs w:val="22"/>
        </w:rPr>
        <w:t> </w:t>
      </w:r>
      <w:r>
        <w:rPr>
          <w:rFonts w:ascii="Times New Roman" w:hAnsi="Times New Roman" w:cs="Times New Roman" w:eastAsia="Times New Roman"/>
          <w:position w:val="2"/>
          <w:sz w:val="22"/>
          <w:szCs w:val="22"/>
        </w:rPr>
        <w:t>0.</w:t>
      </w:r>
    </w:p>
    <w:p>
      <w:pPr>
        <w:pStyle w:val="ListParagraph"/>
        <w:numPr>
          <w:ilvl w:val="1"/>
          <w:numId w:val="17"/>
        </w:numPr>
        <w:tabs>
          <w:tab w:pos="932" w:val="left" w:leader="none"/>
        </w:tabs>
        <w:spacing w:line="251" w:lineRule="exact" w:before="0" w:after="0"/>
        <w:ind w:left="931" w:right="0" w:hanging="388"/>
        <w:jc w:val="left"/>
        <w:rPr>
          <w:rFonts w:ascii="Times New Roman"/>
          <w:i/>
          <w:sz w:val="22"/>
        </w:rPr>
      </w:pPr>
      <w:r>
        <w:rPr>
          <w:rFonts w:ascii="Times New Roman"/>
          <w:i/>
          <w:sz w:val="22"/>
        </w:rPr>
        <w:t>Chemometric PT-NLFER model of methane production and fatty acid</w:t>
      </w:r>
      <w:r>
        <w:rPr>
          <w:rFonts w:ascii="Times New Roman"/>
          <w:i/>
          <w:spacing w:val="-28"/>
          <w:sz w:val="22"/>
        </w:rPr>
        <w:t> </w:t>
      </w:r>
      <w:r>
        <w:rPr>
          <w:rFonts w:ascii="Times New Roman"/>
          <w:i/>
          <w:sz w:val="22"/>
        </w:rPr>
        <w:t>distribution.</w:t>
      </w:r>
    </w:p>
    <w:p>
      <w:pPr>
        <w:spacing w:line="240" w:lineRule="auto" w:before="0"/>
        <w:ind w:left="259" w:right="236" w:firstLine="283"/>
        <w:jc w:val="both"/>
        <w:rPr>
          <w:rFonts w:ascii="Times New Roman"/>
          <w:sz w:val="22"/>
        </w:rPr>
      </w:pPr>
      <w:r>
        <w:rPr>
          <w:rFonts w:ascii="Times New Roman"/>
          <w:sz w:val="22"/>
        </w:rPr>
        <w:t>Additional tests have been conducted with </w:t>
      </w:r>
      <w:r>
        <w:rPr>
          <w:rFonts w:ascii="Times New Roman"/>
          <w:spacing w:val="-3"/>
          <w:sz w:val="22"/>
        </w:rPr>
        <w:t>ANN </w:t>
      </w:r>
      <w:r>
        <w:rPr>
          <w:rFonts w:ascii="Times New Roman"/>
          <w:sz w:val="22"/>
        </w:rPr>
        <w:t>algorithms in order to seek non-linear models. </w:t>
      </w:r>
      <w:r>
        <w:rPr>
          <w:rFonts w:ascii="Times New Roman"/>
          <w:b/>
          <w:sz w:val="22"/>
        </w:rPr>
        <w:t>Table 11 </w:t>
      </w:r>
      <w:r>
        <w:rPr>
          <w:rFonts w:ascii="Times New Roman"/>
          <w:sz w:val="22"/>
        </w:rPr>
        <w:t>presents the best 17 MLP </w:t>
      </w:r>
      <w:r>
        <w:rPr>
          <w:rFonts w:ascii="Times New Roman"/>
          <w:spacing w:val="-3"/>
          <w:sz w:val="22"/>
        </w:rPr>
        <w:t>models </w:t>
      </w:r>
      <w:r>
        <w:rPr>
          <w:rFonts w:ascii="Times New Roman"/>
          <w:sz w:val="22"/>
        </w:rPr>
        <w:t>with the corresponding statistics for the best LDA classification. The MLP models have different input variables from 10 to 19. The best MLP </w:t>
      </w:r>
      <w:r>
        <w:rPr>
          <w:rFonts w:ascii="Times New Roman"/>
          <w:spacing w:val="-3"/>
          <w:sz w:val="22"/>
        </w:rPr>
        <w:t>model </w:t>
      </w:r>
      <w:r>
        <w:rPr>
          <w:rFonts w:ascii="Times New Roman"/>
          <w:sz w:val="22"/>
        </w:rPr>
        <w:t>(No.15: MLP 18:18-15-1:1) has 18 input variables and only one hidden layer with 15 neurons. It  can predict 99.68% </w:t>
      </w:r>
      <w:r>
        <w:rPr>
          <w:rFonts w:ascii="Times New Roman"/>
          <w:spacing w:val="-3"/>
          <w:sz w:val="22"/>
        </w:rPr>
        <w:t>of </w:t>
      </w:r>
      <w:r>
        <w:rPr>
          <w:rFonts w:ascii="Times New Roman"/>
          <w:sz w:val="22"/>
        </w:rPr>
        <w:t>the test cases and it classifies 99.70% </w:t>
      </w:r>
      <w:r>
        <w:rPr>
          <w:rFonts w:ascii="Times New Roman"/>
          <w:spacing w:val="-3"/>
          <w:sz w:val="22"/>
        </w:rPr>
        <w:t>of </w:t>
      </w:r>
      <w:r>
        <w:rPr>
          <w:rFonts w:ascii="Times New Roman"/>
          <w:sz w:val="22"/>
        </w:rPr>
        <w:t>the training cases. This model has around 10% more prediction power compared </w:t>
      </w:r>
      <w:r>
        <w:rPr>
          <w:rFonts w:ascii="Times New Roman"/>
          <w:spacing w:val="2"/>
          <w:sz w:val="22"/>
        </w:rPr>
        <w:t>to </w:t>
      </w:r>
      <w:r>
        <w:rPr>
          <w:rFonts w:ascii="Times New Roman"/>
          <w:sz w:val="22"/>
        </w:rPr>
        <w:t>the LDA PT-LFER model but only 5.6% more classification power in training. The PT-NLFER models obtained with MPL classified our dataset better than the LDA PT-LFER </w:t>
      </w:r>
      <w:r>
        <w:rPr>
          <w:rFonts w:ascii="Times New Roman"/>
          <w:spacing w:val="-3"/>
          <w:sz w:val="22"/>
        </w:rPr>
        <w:t>model. </w:t>
      </w:r>
      <w:r>
        <w:rPr>
          <w:rFonts w:ascii="Times New Roman"/>
          <w:sz w:val="22"/>
        </w:rPr>
        <w:t>However, PT-LFER is considered better than PT-NLFER, because of more simple and direct relationship between the input and output</w:t>
      </w:r>
      <w:r>
        <w:rPr>
          <w:rFonts w:ascii="Times New Roman"/>
          <w:spacing w:val="-30"/>
          <w:sz w:val="22"/>
        </w:rPr>
        <w:t> </w:t>
      </w:r>
      <w:r>
        <w:rPr>
          <w:rFonts w:ascii="Times New Roman"/>
          <w:sz w:val="22"/>
        </w:rPr>
        <w:t>variables.</w:t>
      </w:r>
    </w:p>
    <w:p>
      <w:pPr>
        <w:spacing w:before="6"/>
        <w:ind w:left="153" w:right="0" w:firstLine="0"/>
        <w:jc w:val="center"/>
        <w:rPr>
          <w:rFonts w:ascii="Times New Roman"/>
          <w:b/>
          <w:sz w:val="22"/>
        </w:rPr>
      </w:pPr>
      <w:r>
        <w:rPr>
          <w:rFonts w:ascii="Times New Roman"/>
          <w:b/>
          <w:sz w:val="22"/>
        </w:rPr>
        <w:t>Table 11 comes about here</w:t>
      </w:r>
    </w:p>
    <w:p>
      <w:pPr>
        <w:pStyle w:val="BodyText"/>
        <w:spacing w:before="11"/>
        <w:rPr>
          <w:rFonts w:ascii="Times New Roman"/>
          <w:b/>
          <w:sz w:val="23"/>
        </w:rPr>
      </w:pPr>
    </w:p>
    <w:p>
      <w:pPr>
        <w:pStyle w:val="ListParagraph"/>
        <w:numPr>
          <w:ilvl w:val="0"/>
          <w:numId w:val="19"/>
        </w:numPr>
        <w:tabs>
          <w:tab w:pos="544" w:val="left" w:leader="none"/>
        </w:tabs>
        <w:spacing w:line="240" w:lineRule="auto" w:before="0" w:after="0"/>
        <w:ind w:left="259" w:right="0" w:firstLine="0"/>
        <w:jc w:val="left"/>
        <w:rPr>
          <w:rFonts w:ascii="Times New Roman"/>
          <w:b/>
          <w:sz w:val="22"/>
        </w:rPr>
      </w:pPr>
      <w:r>
        <w:rPr>
          <w:rFonts w:ascii="Times New Roman"/>
          <w:b/>
          <w:sz w:val="22"/>
        </w:rPr>
        <w:t>ASSOCIATED</w:t>
      </w:r>
      <w:r>
        <w:rPr>
          <w:rFonts w:ascii="Times New Roman"/>
          <w:b/>
          <w:spacing w:val="-11"/>
          <w:sz w:val="22"/>
        </w:rPr>
        <w:t> </w:t>
      </w:r>
      <w:r>
        <w:rPr>
          <w:rFonts w:ascii="Times New Roman"/>
          <w:b/>
          <w:sz w:val="22"/>
        </w:rPr>
        <w:t>CONTENT</w:t>
      </w:r>
    </w:p>
    <w:p>
      <w:pPr>
        <w:spacing w:line="275" w:lineRule="exact" w:before="40"/>
        <w:ind w:left="259" w:right="0" w:firstLine="0"/>
        <w:jc w:val="left"/>
        <w:rPr>
          <w:rFonts w:ascii="Times New Roman"/>
          <w:b/>
          <w:sz w:val="24"/>
        </w:rPr>
      </w:pPr>
      <w:r>
        <w:rPr>
          <w:rFonts w:ascii="Times New Roman"/>
          <w:b/>
          <w:sz w:val="24"/>
        </w:rPr>
        <w:t>Supporting information</w:t>
      </w:r>
    </w:p>
    <w:p>
      <w:pPr>
        <w:pStyle w:val="BodyText"/>
        <w:spacing w:line="275" w:lineRule="exact"/>
        <w:ind w:left="259"/>
        <w:rPr>
          <w:rFonts w:ascii="Times New Roman"/>
        </w:rPr>
      </w:pPr>
      <w:r>
        <w:rPr>
          <w:rFonts w:ascii="Times New Roman"/>
        </w:rPr>
        <w:t>This material is available free of charge via the internet at publisher web</w:t>
      </w:r>
    </w:p>
    <w:p>
      <w:pPr>
        <w:pStyle w:val="BodyText"/>
        <w:spacing w:before="4"/>
        <w:rPr>
          <w:rFonts w:ascii="Times New Roman"/>
        </w:rPr>
      </w:pPr>
    </w:p>
    <w:p>
      <w:pPr>
        <w:pStyle w:val="ListParagraph"/>
        <w:numPr>
          <w:ilvl w:val="0"/>
          <w:numId w:val="19"/>
        </w:numPr>
        <w:tabs>
          <w:tab w:pos="544" w:val="left" w:leader="none"/>
        </w:tabs>
        <w:spacing w:line="278" w:lineRule="auto" w:before="0" w:after="0"/>
        <w:ind w:left="259" w:right="6135" w:firstLine="0"/>
        <w:jc w:val="left"/>
        <w:rPr>
          <w:rFonts w:ascii="Times New Roman"/>
          <w:b/>
          <w:sz w:val="22"/>
        </w:rPr>
      </w:pPr>
      <w:r>
        <w:rPr>
          <w:rFonts w:ascii="Times New Roman"/>
          <w:b/>
          <w:sz w:val="22"/>
        </w:rPr>
        <w:t>AUTHOR INFORMATION Corresponding</w:t>
      </w:r>
      <w:r>
        <w:rPr>
          <w:rFonts w:ascii="Times New Roman"/>
          <w:b/>
          <w:spacing w:val="-13"/>
          <w:sz w:val="22"/>
        </w:rPr>
        <w:t> </w:t>
      </w:r>
      <w:r>
        <w:rPr>
          <w:rFonts w:ascii="Times New Roman"/>
          <w:b/>
          <w:sz w:val="22"/>
        </w:rPr>
        <w:t>Author</w:t>
      </w:r>
    </w:p>
    <w:p>
      <w:pPr>
        <w:spacing w:line="211" w:lineRule="exact" w:before="0"/>
        <w:ind w:left="259" w:right="0" w:firstLine="0"/>
        <w:jc w:val="left"/>
        <w:rPr>
          <w:rFonts w:ascii="Times New Roman"/>
          <w:sz w:val="22"/>
        </w:rPr>
      </w:pPr>
      <w:r>
        <w:rPr>
          <w:rFonts w:ascii="Times New Roman"/>
          <w:sz w:val="22"/>
        </w:rPr>
        <w:t>*Phone: +34 94 601 3547; Fax: +34 94 6012748; e-mail: </w:t>
      </w:r>
      <w:hyperlink r:id="rId174">
        <w:r>
          <w:rPr>
            <w:rFonts w:ascii="Times New Roman"/>
            <w:color w:val="0000FF"/>
            <w:sz w:val="22"/>
            <w:u w:val="single" w:color="0000FF"/>
          </w:rPr>
          <w:t>humberto.gonzalezdiaz@ehu.es</w:t>
        </w:r>
      </w:hyperlink>
    </w:p>
    <w:p>
      <w:pPr>
        <w:spacing w:line="249" w:lineRule="exact" w:before="6"/>
        <w:ind w:left="259" w:right="0" w:firstLine="0"/>
        <w:jc w:val="left"/>
        <w:rPr>
          <w:rFonts w:ascii="Times New Roman"/>
          <w:b/>
          <w:sz w:val="22"/>
        </w:rPr>
      </w:pPr>
      <w:r>
        <w:rPr>
          <w:rFonts w:ascii="Times New Roman"/>
          <w:b/>
          <w:sz w:val="22"/>
        </w:rPr>
        <w:t>Notes</w:t>
      </w:r>
    </w:p>
    <w:p>
      <w:pPr>
        <w:pStyle w:val="BodyText"/>
        <w:spacing w:line="272" w:lineRule="exact"/>
        <w:ind w:left="259"/>
        <w:rPr>
          <w:rFonts w:ascii="Times New Roman"/>
        </w:rPr>
      </w:pPr>
      <w:r>
        <w:rPr>
          <w:rFonts w:ascii="Times New Roman"/>
        </w:rPr>
        <w:t>The authors declare no competing financial interest.</w:t>
      </w:r>
    </w:p>
    <w:p>
      <w:pPr>
        <w:pStyle w:val="BodyText"/>
        <w:spacing w:before="9"/>
        <w:rPr>
          <w:rFonts w:ascii="Times New Roman"/>
        </w:rPr>
      </w:pPr>
    </w:p>
    <w:p>
      <w:pPr>
        <w:pStyle w:val="ListParagraph"/>
        <w:numPr>
          <w:ilvl w:val="0"/>
          <w:numId w:val="19"/>
        </w:numPr>
        <w:tabs>
          <w:tab w:pos="544" w:val="left" w:leader="none"/>
        </w:tabs>
        <w:spacing w:line="240" w:lineRule="auto" w:before="0" w:after="0"/>
        <w:ind w:left="543" w:right="0" w:hanging="284"/>
        <w:jc w:val="left"/>
        <w:rPr>
          <w:rFonts w:ascii="Times New Roman"/>
          <w:b/>
          <w:sz w:val="22"/>
        </w:rPr>
      </w:pPr>
      <w:r>
        <w:rPr>
          <w:rFonts w:ascii="Times New Roman"/>
          <w:b/>
          <w:sz w:val="22"/>
        </w:rPr>
        <w:t>ACKNOWLEDGEMENTS</w:t>
      </w:r>
    </w:p>
    <w:p>
      <w:pPr>
        <w:spacing w:after="0" w:line="240" w:lineRule="auto"/>
        <w:jc w:val="left"/>
        <w:rPr>
          <w:rFonts w:ascii="Times New Roman"/>
          <w:sz w:val="22"/>
        </w:rPr>
        <w:sectPr>
          <w:pgSz w:w="12240" w:h="15840"/>
          <w:pgMar w:header="684" w:footer="1184" w:top="1380" w:bottom="1380" w:left="1440" w:right="1460"/>
        </w:sectPr>
      </w:pPr>
    </w:p>
    <w:p>
      <w:pPr>
        <w:pStyle w:val="BodyText"/>
        <w:spacing w:before="10"/>
        <w:rPr>
          <w:rFonts w:ascii="Times New Roman"/>
          <w:b/>
          <w:sz w:val="14"/>
        </w:rPr>
      </w:pPr>
    </w:p>
    <w:p>
      <w:pPr>
        <w:spacing w:line="240" w:lineRule="auto" w:before="72"/>
        <w:ind w:left="259" w:right="239" w:firstLine="144"/>
        <w:jc w:val="both"/>
        <w:rPr>
          <w:rFonts w:ascii="Times New Roman" w:hAnsi="Times New Roman"/>
          <w:sz w:val="22"/>
        </w:rPr>
      </w:pPr>
      <w:r>
        <w:rPr>
          <w:rFonts w:ascii="Times New Roman" w:hAnsi="Times New Roman"/>
          <w:sz w:val="22"/>
        </w:rPr>
        <w:t>Yong Liu acknowledges the Mexican Council for Science and Technology (CONACyT), scholarship (2014-MZO2015) and student interchange (Ref. 290842), for financial  support  for Ph.D. studies. The authors thank CENID FyMA, INIFAP for providing experimental animals and laboratory for the analysis of the fatty acid compositions. This work was supported by the "Galician Network for Colorectal Cancer Research (REGICC)" (Ref. R2014/039), funded by the Xunta de Galicia, by “Collaborative Project on Medical Informatics (CIMED)” PI13/00280, funded by the Carlos III Health Institute from the Spanish National plan for Scientific and Technical Research and Innovation 2013−2016, and the European Regional Development Funds (FEDER). The authors acknowledge the support by the Galician Network of Drugs R+D REGID (Xunta de Galicia R2014/025).</w:t>
      </w:r>
    </w:p>
    <w:p>
      <w:pPr>
        <w:pStyle w:val="BodyText"/>
        <w:spacing w:before="4"/>
        <w:rPr>
          <w:rFonts w:ascii="Times New Roman"/>
        </w:rPr>
      </w:pPr>
    </w:p>
    <w:p>
      <w:pPr>
        <w:spacing w:before="0"/>
        <w:ind w:left="259" w:right="0" w:firstLine="0"/>
        <w:jc w:val="both"/>
        <w:rPr>
          <w:rFonts w:ascii="Times New Roman"/>
          <w:b/>
          <w:sz w:val="24"/>
        </w:rPr>
      </w:pPr>
      <w:r>
        <w:rPr>
          <w:rFonts w:ascii="Times New Roman"/>
          <w:b/>
          <w:sz w:val="24"/>
        </w:rPr>
        <w:t>REFERENCES</w:t>
      </w:r>
    </w:p>
    <w:p>
      <w:pPr>
        <w:spacing w:line="240" w:lineRule="auto" w:before="1"/>
        <w:ind w:left="259" w:right="235" w:firstLine="0"/>
        <w:jc w:val="both"/>
        <w:rPr>
          <w:rFonts w:ascii="Arial"/>
          <w:sz w:val="22"/>
        </w:rPr>
      </w:pPr>
      <w:r>
        <w:rPr>
          <w:rFonts w:ascii="Arial"/>
          <w:sz w:val="22"/>
        </w:rPr>
        <w:t>[1] E.T. Kim, L. Guan le, S.J. Lee, S.M. Lee, S.S. Lee, I.D. Lee, S.K. Lee, S.S. Lee, Effects of Flavonoid-rich Plant Extracts on In vitro Ruminal Methanogenesis, Microbial Populations and Fermentation Characteristics, Asian-Australas J Anim Sci, 28 (2015) 530-537.</w:t>
      </w:r>
    </w:p>
    <w:p>
      <w:pPr>
        <w:pStyle w:val="BodyText"/>
        <w:spacing w:before="8"/>
        <w:rPr>
          <w:rFonts w:ascii="Arial"/>
          <w:sz w:val="17"/>
        </w:rPr>
      </w:pPr>
    </w:p>
    <w:p>
      <w:pPr>
        <w:spacing w:before="0"/>
        <w:ind w:left="259" w:right="237" w:firstLine="0"/>
        <w:jc w:val="both"/>
        <w:rPr>
          <w:rFonts w:ascii="Arial"/>
          <w:sz w:val="22"/>
        </w:rPr>
      </w:pPr>
      <w:r>
        <w:rPr>
          <w:rFonts w:ascii="Arial"/>
          <w:sz w:val="22"/>
        </w:rPr>
        <w:t>[2] S. Kumar, P.K. Choudhury, M.D. Carro, G.W. Griffith, S.S. Dagar, M. Puniya, S. Calabro, S.R. Ravella, T. Dhewa, R.C. Upadhyay, S.K. Sirohi, S.S. Kundu, M. Wanapat,</w:t>
      </w:r>
    </w:p>
    <w:p>
      <w:pPr>
        <w:spacing w:line="242" w:lineRule="auto" w:before="0"/>
        <w:ind w:left="259" w:right="248" w:firstLine="0"/>
        <w:jc w:val="both"/>
        <w:rPr>
          <w:rFonts w:ascii="Arial"/>
          <w:sz w:val="22"/>
        </w:rPr>
      </w:pPr>
      <w:r>
        <w:rPr>
          <w:rFonts w:ascii="Arial"/>
          <w:sz w:val="22"/>
        </w:rPr>
        <w:t>A.K. Puniya, New aspects and strategies for methane mitigation from ruminants, Appl Microbiol Biotechnol, 98 (2014) 31-44.</w:t>
      </w:r>
    </w:p>
    <w:p>
      <w:pPr>
        <w:spacing w:before="195"/>
        <w:ind w:left="259" w:right="243" w:firstLine="0"/>
        <w:jc w:val="both"/>
        <w:rPr>
          <w:rFonts w:ascii="Arial"/>
          <w:sz w:val="22"/>
        </w:rPr>
      </w:pPr>
      <w:r>
        <w:rPr>
          <w:rFonts w:ascii="Arial"/>
          <w:sz w:val="22"/>
        </w:rPr>
        <w:t>[3] A.K. Patra, </w:t>
      </w:r>
      <w:r>
        <w:rPr>
          <w:rFonts w:ascii="Arial"/>
          <w:spacing w:val="-3"/>
          <w:sz w:val="22"/>
        </w:rPr>
        <w:t>Z. </w:t>
      </w:r>
      <w:r>
        <w:rPr>
          <w:rFonts w:ascii="Arial"/>
          <w:sz w:val="22"/>
        </w:rPr>
        <w:t>Yu, Effects of garlic oil, nitrate, saponin and their combinations supplemented to different substrates on in vitro fermentation, ruminal methanogenesis, and</w:t>
      </w:r>
      <w:r>
        <w:rPr>
          <w:rFonts w:ascii="Arial"/>
          <w:spacing w:val="-2"/>
          <w:sz w:val="22"/>
        </w:rPr>
        <w:t> </w:t>
      </w:r>
      <w:r>
        <w:rPr>
          <w:rFonts w:ascii="Arial"/>
          <w:sz w:val="22"/>
        </w:rPr>
        <w:t>abundance</w:t>
      </w:r>
      <w:r>
        <w:rPr>
          <w:rFonts w:ascii="Arial"/>
          <w:spacing w:val="-6"/>
          <w:sz w:val="22"/>
        </w:rPr>
        <w:t> </w:t>
      </w:r>
      <w:r>
        <w:rPr>
          <w:rFonts w:ascii="Arial"/>
          <w:sz w:val="22"/>
        </w:rPr>
        <w:t>and</w:t>
      </w:r>
      <w:r>
        <w:rPr>
          <w:rFonts w:ascii="Arial"/>
          <w:spacing w:val="-6"/>
          <w:sz w:val="22"/>
        </w:rPr>
        <w:t> </w:t>
      </w:r>
      <w:r>
        <w:rPr>
          <w:rFonts w:ascii="Arial"/>
          <w:sz w:val="22"/>
        </w:rPr>
        <w:t>diversity</w:t>
      </w:r>
      <w:r>
        <w:rPr>
          <w:rFonts w:ascii="Arial"/>
          <w:spacing w:val="-8"/>
          <w:sz w:val="22"/>
        </w:rPr>
        <w:t> </w:t>
      </w:r>
      <w:r>
        <w:rPr>
          <w:rFonts w:ascii="Arial"/>
          <w:sz w:val="22"/>
        </w:rPr>
        <w:t>of</w:t>
      </w:r>
      <w:r>
        <w:rPr>
          <w:rFonts w:ascii="Arial"/>
          <w:spacing w:val="1"/>
          <w:sz w:val="22"/>
        </w:rPr>
        <w:t> </w:t>
      </w:r>
      <w:r>
        <w:rPr>
          <w:rFonts w:ascii="Arial"/>
          <w:sz w:val="22"/>
        </w:rPr>
        <w:t>microbial</w:t>
      </w:r>
      <w:r>
        <w:rPr>
          <w:rFonts w:ascii="Arial"/>
          <w:spacing w:val="-9"/>
          <w:sz w:val="22"/>
        </w:rPr>
        <w:t> </w:t>
      </w:r>
      <w:r>
        <w:rPr>
          <w:rFonts w:ascii="Arial"/>
          <w:sz w:val="22"/>
        </w:rPr>
        <w:t>populations,</w:t>
      </w:r>
      <w:r>
        <w:rPr>
          <w:rFonts w:ascii="Arial"/>
          <w:spacing w:val="-7"/>
          <w:sz w:val="22"/>
        </w:rPr>
        <w:t> </w:t>
      </w:r>
      <w:r>
        <w:rPr>
          <w:rFonts w:ascii="Arial"/>
          <w:sz w:val="22"/>
        </w:rPr>
        <w:t>J</w:t>
      </w:r>
      <w:r>
        <w:rPr>
          <w:rFonts w:ascii="Arial"/>
          <w:spacing w:val="-3"/>
          <w:sz w:val="22"/>
        </w:rPr>
        <w:t> </w:t>
      </w:r>
      <w:r>
        <w:rPr>
          <w:rFonts w:ascii="Arial"/>
          <w:sz w:val="22"/>
        </w:rPr>
        <w:t>Appl</w:t>
      </w:r>
      <w:r>
        <w:rPr>
          <w:rFonts w:ascii="Arial"/>
          <w:spacing w:val="-9"/>
          <w:sz w:val="22"/>
        </w:rPr>
        <w:t> </w:t>
      </w:r>
      <w:r>
        <w:rPr>
          <w:rFonts w:ascii="Arial"/>
          <w:sz w:val="22"/>
        </w:rPr>
        <w:t>Microbiol,</w:t>
      </w:r>
      <w:r>
        <w:rPr>
          <w:rFonts w:ascii="Arial"/>
          <w:spacing w:val="-2"/>
          <w:sz w:val="22"/>
        </w:rPr>
        <w:t> </w:t>
      </w:r>
      <w:r>
        <w:rPr>
          <w:rFonts w:ascii="Arial"/>
          <w:sz w:val="22"/>
        </w:rPr>
        <w:t>(2015).</w:t>
      </w:r>
    </w:p>
    <w:p>
      <w:pPr>
        <w:pStyle w:val="BodyText"/>
        <w:spacing w:before="2"/>
        <w:rPr>
          <w:rFonts w:ascii="Arial"/>
          <w:sz w:val="17"/>
        </w:rPr>
      </w:pPr>
    </w:p>
    <w:p>
      <w:pPr>
        <w:spacing w:before="0"/>
        <w:ind w:left="259" w:right="246" w:firstLine="0"/>
        <w:jc w:val="both"/>
        <w:rPr>
          <w:rFonts w:ascii="Arial"/>
          <w:sz w:val="22"/>
        </w:rPr>
      </w:pPr>
      <w:r>
        <w:rPr>
          <w:rFonts w:ascii="Arial"/>
          <w:sz w:val="22"/>
        </w:rPr>
        <w:t>[4] A.K. Patra, J. Saxena, A new perspective on the use of plant secondary metabolites to inhibit methanogenesis in the rumen, Phytochemistry, 71 (2010) 1198-1222.</w:t>
      </w:r>
    </w:p>
    <w:p>
      <w:pPr>
        <w:pStyle w:val="BodyText"/>
        <w:spacing w:before="2"/>
        <w:rPr>
          <w:rFonts w:ascii="Arial"/>
          <w:sz w:val="17"/>
        </w:rPr>
      </w:pPr>
    </w:p>
    <w:p>
      <w:pPr>
        <w:spacing w:before="0"/>
        <w:ind w:left="259" w:right="244" w:firstLine="0"/>
        <w:jc w:val="both"/>
        <w:rPr>
          <w:rFonts w:ascii="Arial"/>
          <w:sz w:val="22"/>
        </w:rPr>
      </w:pPr>
      <w:r>
        <w:rPr>
          <w:rFonts w:ascii="Arial"/>
          <w:sz w:val="22"/>
        </w:rPr>
        <w:t>[5] A.K. Patra, Z. Yu, Effects of essential oils on methane production and fermentation by, and abundance and diversity of, rumen microbial populations, Appl Environ Microbiol, 78 (2012) 4271-4280.</w:t>
      </w:r>
    </w:p>
    <w:p>
      <w:pPr>
        <w:pStyle w:val="BodyText"/>
        <w:spacing w:before="2"/>
        <w:rPr>
          <w:rFonts w:ascii="Arial"/>
          <w:sz w:val="17"/>
        </w:rPr>
      </w:pPr>
    </w:p>
    <w:p>
      <w:pPr>
        <w:spacing w:line="240" w:lineRule="auto" w:before="0"/>
        <w:ind w:left="259" w:right="231" w:firstLine="0"/>
        <w:jc w:val="both"/>
        <w:rPr>
          <w:rFonts w:ascii="Arial"/>
          <w:sz w:val="22"/>
        </w:rPr>
      </w:pPr>
      <w:r>
        <w:rPr>
          <w:rFonts w:ascii="Arial"/>
          <w:sz w:val="22"/>
        </w:rPr>
        <w:t>[6] </w:t>
      </w:r>
      <w:r>
        <w:rPr>
          <w:rFonts w:ascii="Arial"/>
          <w:spacing w:val="-3"/>
          <w:sz w:val="22"/>
        </w:rPr>
        <w:t>S.M. </w:t>
      </w:r>
      <w:r>
        <w:rPr>
          <w:rFonts w:ascii="Arial"/>
          <w:sz w:val="22"/>
        </w:rPr>
        <w:t>Sallam, S.A. Abdelgaleil, I.C. Bueno, M.E. Nasser, R.C. Araujo, A.L. Abdalla, Effect of some essential oils on in vitro methane emission, Arch Anim Nutr, 65 (2011) </w:t>
      </w:r>
      <w:r>
        <w:rPr>
          <w:rFonts w:ascii="Arial"/>
          <w:spacing w:val="4"/>
          <w:sz w:val="22"/>
        </w:rPr>
        <w:t>203- </w:t>
      </w:r>
      <w:r>
        <w:rPr>
          <w:rFonts w:ascii="Arial"/>
          <w:sz w:val="22"/>
        </w:rPr>
        <w:t>214.</w:t>
      </w:r>
    </w:p>
    <w:p>
      <w:pPr>
        <w:pStyle w:val="BodyText"/>
        <w:spacing w:before="7"/>
        <w:rPr>
          <w:rFonts w:ascii="Arial"/>
          <w:sz w:val="17"/>
        </w:rPr>
      </w:pPr>
    </w:p>
    <w:p>
      <w:pPr>
        <w:spacing w:line="240" w:lineRule="auto" w:before="0"/>
        <w:ind w:left="259" w:right="251" w:firstLine="0"/>
        <w:jc w:val="both"/>
        <w:rPr>
          <w:rFonts w:ascii="Arial"/>
          <w:sz w:val="22"/>
        </w:rPr>
      </w:pPr>
      <w:r>
        <w:rPr>
          <w:rFonts w:ascii="Arial"/>
          <w:sz w:val="22"/>
        </w:rPr>
        <w:t>[7] J. Rasmussen, A. Harrison, The benefits of supplementary fat in feed rations for ruminants with particular focus on reducing levels of methane production, ISRN Vet Sci, 2011 (2011) 613172.</w:t>
      </w:r>
    </w:p>
    <w:p>
      <w:pPr>
        <w:pStyle w:val="BodyText"/>
        <w:spacing w:before="7"/>
        <w:rPr>
          <w:rFonts w:ascii="Arial"/>
          <w:sz w:val="17"/>
        </w:rPr>
      </w:pPr>
    </w:p>
    <w:p>
      <w:pPr>
        <w:spacing w:line="240" w:lineRule="auto" w:before="0"/>
        <w:ind w:left="259" w:right="237" w:firstLine="0"/>
        <w:jc w:val="both"/>
        <w:rPr>
          <w:rFonts w:ascii="Arial"/>
          <w:sz w:val="22"/>
        </w:rPr>
      </w:pPr>
      <w:r>
        <w:rPr>
          <w:rFonts w:ascii="Arial"/>
          <w:sz w:val="22"/>
        </w:rPr>
        <w:t>[8] X.Z. Li, Q.S. Gao, C.G. Yan, S.H. Choi, J.S. Shin, M.K. </w:t>
      </w:r>
      <w:r>
        <w:rPr>
          <w:rFonts w:ascii="Arial"/>
          <w:spacing w:val="2"/>
          <w:sz w:val="22"/>
        </w:rPr>
        <w:t>Song, </w:t>
      </w:r>
      <w:r>
        <w:rPr>
          <w:rFonts w:ascii="Arial"/>
          <w:sz w:val="22"/>
        </w:rPr>
        <w:t>Conjugated fatty acids and methane production by rumen microbes when incubated with linseed oil alone or mixed with fish oil and/or malate, Anim Sci J,</w:t>
      </w:r>
      <w:r>
        <w:rPr>
          <w:rFonts w:ascii="Arial"/>
          <w:spacing w:val="-30"/>
          <w:sz w:val="22"/>
        </w:rPr>
        <w:t> </w:t>
      </w:r>
      <w:r>
        <w:rPr>
          <w:rFonts w:ascii="Arial"/>
          <w:sz w:val="22"/>
        </w:rPr>
        <w:t>(2015).</w:t>
      </w:r>
    </w:p>
    <w:p>
      <w:pPr>
        <w:pStyle w:val="BodyText"/>
        <w:spacing w:before="3"/>
        <w:rPr>
          <w:rFonts w:ascii="Arial"/>
          <w:sz w:val="17"/>
        </w:rPr>
      </w:pPr>
    </w:p>
    <w:p>
      <w:pPr>
        <w:spacing w:before="0"/>
        <w:ind w:left="259" w:right="248" w:firstLine="0"/>
        <w:jc w:val="both"/>
        <w:rPr>
          <w:rFonts w:ascii="Arial"/>
          <w:sz w:val="22"/>
        </w:rPr>
      </w:pPr>
      <w:r>
        <w:rPr>
          <w:rFonts w:ascii="Arial"/>
          <w:sz w:val="22"/>
        </w:rPr>
        <w:t>[9] J.W. Czerkawski, K.L. Blaxter, F.W. Wainman, The metabolism of oleic, linoleic and linolenic acids by sheep with reference to their effects on methane production, Br J Nutr, 20 (1966)</w:t>
      </w:r>
      <w:r>
        <w:rPr>
          <w:rFonts w:ascii="Arial"/>
          <w:spacing w:val="-4"/>
          <w:sz w:val="22"/>
        </w:rPr>
        <w:t> </w:t>
      </w:r>
      <w:r>
        <w:rPr>
          <w:rFonts w:ascii="Arial"/>
          <w:sz w:val="22"/>
        </w:rPr>
        <w:t>349-362.</w:t>
      </w:r>
    </w:p>
    <w:p>
      <w:pPr>
        <w:pStyle w:val="BodyText"/>
        <w:spacing w:before="2"/>
        <w:rPr>
          <w:rFonts w:ascii="Arial"/>
          <w:sz w:val="17"/>
        </w:rPr>
      </w:pPr>
    </w:p>
    <w:p>
      <w:pPr>
        <w:spacing w:before="0"/>
        <w:ind w:left="259" w:right="254" w:firstLine="0"/>
        <w:jc w:val="both"/>
        <w:rPr>
          <w:rFonts w:ascii="Arial"/>
          <w:sz w:val="22"/>
        </w:rPr>
      </w:pPr>
      <w:r>
        <w:rPr>
          <w:rFonts w:ascii="Arial"/>
          <w:sz w:val="22"/>
        </w:rPr>
        <w:t>[10] H.V. Petit, Digestion, milk production, milk composition, and blood composition of dairy cows fed whole flaxseed, J Dairy Sci, 85 (2002)</w:t>
      </w:r>
      <w:r>
        <w:rPr>
          <w:rFonts w:ascii="Arial"/>
          <w:spacing w:val="-21"/>
          <w:sz w:val="22"/>
        </w:rPr>
        <w:t> </w:t>
      </w:r>
      <w:r>
        <w:rPr>
          <w:rFonts w:ascii="Arial"/>
          <w:sz w:val="22"/>
        </w:rPr>
        <w:t>1482-1490.</w:t>
      </w:r>
    </w:p>
    <w:p>
      <w:pPr>
        <w:spacing w:after="0"/>
        <w:jc w:val="both"/>
        <w:rPr>
          <w:rFonts w:ascii="Arial"/>
          <w:sz w:val="22"/>
        </w:rPr>
        <w:sectPr>
          <w:pgSz w:w="12240" w:h="15840"/>
          <w:pgMar w:header="684" w:footer="1184" w:top="1380" w:bottom="1380" w:left="1440" w:right="1460"/>
        </w:sectPr>
      </w:pPr>
    </w:p>
    <w:p>
      <w:pPr>
        <w:pStyle w:val="BodyText"/>
        <w:spacing w:before="2"/>
        <w:rPr>
          <w:rFonts w:ascii="Arial"/>
          <w:sz w:val="15"/>
        </w:rPr>
      </w:pPr>
    </w:p>
    <w:p>
      <w:pPr>
        <w:spacing w:line="240" w:lineRule="auto" w:before="72"/>
        <w:ind w:left="259" w:right="234" w:firstLine="0"/>
        <w:jc w:val="both"/>
        <w:rPr>
          <w:rFonts w:ascii="Arial"/>
          <w:sz w:val="22"/>
        </w:rPr>
      </w:pPr>
      <w:r>
        <w:rPr>
          <w:rFonts w:ascii="Arial"/>
          <w:sz w:val="22"/>
        </w:rPr>
        <w:t>[11] T.M. Hess, J.K. Rexford, D.K. Hansen, M. Harris, N. Schauermann, T. Ross, T.E. Engle, K.G. Allen, C.M. Mulligan, Effects of two different dietary sources of long chain omega-3, highly unsaturated fatty acids on incorporation into the plasma, red blood cell, and skeletal muscle in horses, J Anim Sci, 90 (2012) 3023-3031.</w:t>
      </w:r>
    </w:p>
    <w:p>
      <w:pPr>
        <w:pStyle w:val="BodyText"/>
        <w:spacing w:before="2"/>
        <w:rPr>
          <w:rFonts w:ascii="Arial"/>
          <w:sz w:val="18"/>
        </w:rPr>
      </w:pPr>
    </w:p>
    <w:p>
      <w:pPr>
        <w:spacing w:line="250" w:lineRule="exact" w:before="0"/>
        <w:ind w:left="259" w:right="235" w:firstLine="0"/>
        <w:jc w:val="both"/>
        <w:rPr>
          <w:rFonts w:ascii="Arial"/>
          <w:sz w:val="22"/>
        </w:rPr>
      </w:pPr>
      <w:r>
        <w:rPr>
          <w:rFonts w:ascii="Arial"/>
          <w:sz w:val="22"/>
        </w:rPr>
        <w:t>[12] K.i. Ichihara, Y. Fukubayashi, Preparation of fatty acid methyl esters for gas-liquid chromatography, J Lipid Res, 51 (2010) 635-640.</w:t>
      </w:r>
    </w:p>
    <w:p>
      <w:pPr>
        <w:pStyle w:val="BodyText"/>
        <w:spacing w:before="4"/>
        <w:rPr>
          <w:rFonts w:ascii="Arial"/>
          <w:sz w:val="17"/>
        </w:rPr>
      </w:pPr>
    </w:p>
    <w:p>
      <w:pPr>
        <w:spacing w:line="240" w:lineRule="auto" w:before="0"/>
        <w:ind w:left="259" w:right="240" w:firstLine="0"/>
        <w:jc w:val="both"/>
        <w:rPr>
          <w:rFonts w:ascii="Arial"/>
          <w:sz w:val="22"/>
        </w:rPr>
      </w:pPr>
      <w:r>
        <w:rPr>
          <w:rFonts w:ascii="Arial"/>
          <w:sz w:val="22"/>
        </w:rPr>
        <w:t>[13] J.G. Kramer, V. Fellner, M.R. Dugan, F. Sauer, M. Mossoba, M. Yurawecz, Evaluating acid and base catalysts in the methylation of milk and rumen fatty acids with special emphasis on conjugated dienes and total trans fatty acids, Lipids, 32 (1997) 1219-1228.</w:t>
      </w:r>
    </w:p>
    <w:p>
      <w:pPr>
        <w:pStyle w:val="BodyText"/>
        <w:spacing w:before="7"/>
        <w:rPr>
          <w:rFonts w:ascii="Arial"/>
          <w:sz w:val="17"/>
        </w:rPr>
      </w:pPr>
    </w:p>
    <w:p>
      <w:pPr>
        <w:spacing w:line="240" w:lineRule="auto" w:before="0"/>
        <w:ind w:left="259" w:right="231" w:firstLine="0"/>
        <w:jc w:val="both"/>
        <w:rPr>
          <w:rFonts w:ascii="Arial"/>
          <w:sz w:val="22"/>
        </w:rPr>
      </w:pPr>
      <w:r>
        <w:rPr>
          <w:rFonts w:ascii="Arial"/>
          <w:sz w:val="22"/>
        </w:rPr>
        <w:t>[14] M.M. Or-Rashid, N.E. Odongo, B.W. McBride, Fatty acid composition of ruminal bacteria and protozoa, with emphasis on conjugated linoleic acid, vaccenic acid, and odd- chain and branched-chain fatty acids, J Anim Sci, 85 (2007) 1228-1234.</w:t>
      </w:r>
    </w:p>
    <w:p>
      <w:pPr>
        <w:pStyle w:val="BodyText"/>
        <w:spacing w:before="2"/>
        <w:rPr>
          <w:rFonts w:ascii="Arial"/>
          <w:sz w:val="17"/>
        </w:rPr>
      </w:pPr>
    </w:p>
    <w:p>
      <w:pPr>
        <w:spacing w:line="242" w:lineRule="auto" w:before="0"/>
        <w:ind w:left="259" w:right="247" w:firstLine="0"/>
        <w:jc w:val="both"/>
        <w:rPr>
          <w:rFonts w:ascii="Arial"/>
          <w:sz w:val="22"/>
        </w:rPr>
      </w:pPr>
      <w:r>
        <w:rPr>
          <w:rFonts w:ascii="Arial"/>
          <w:sz w:val="22"/>
        </w:rPr>
        <w:t>[15] A. Varnek, I.I. Baskin, Chemoinformatics as a Theoretical Chemistry Discipline, Mol Inform, 30 (2011) 20-32.</w:t>
      </w:r>
    </w:p>
    <w:p>
      <w:pPr>
        <w:spacing w:line="240" w:lineRule="auto" w:before="195"/>
        <w:ind w:left="259" w:right="239" w:firstLine="0"/>
        <w:jc w:val="both"/>
        <w:rPr>
          <w:rFonts w:ascii="Arial"/>
          <w:sz w:val="22"/>
        </w:rPr>
      </w:pPr>
      <w:r>
        <w:rPr>
          <w:rFonts w:ascii="Arial"/>
          <w:sz w:val="22"/>
        </w:rPr>
        <w:t>[16] H. Gonzalez-Diaz, S. Arrasate, A. Gomez-SanJuan, N. Sotomayor, E. Lete, L. Besada-Porto, J.M. Ruso, General theory for multiple input-output  perturbations  in complex molecular systems. 1. Linear QSPR electronegativity models in physical, organic, and medicinal chemistry, Curr Top Med Chem, 13 (2013) 1713-1741.</w:t>
      </w:r>
    </w:p>
    <w:p>
      <w:pPr>
        <w:pStyle w:val="BodyText"/>
        <w:spacing w:before="7"/>
        <w:rPr>
          <w:rFonts w:ascii="Arial"/>
          <w:sz w:val="17"/>
        </w:rPr>
      </w:pPr>
    </w:p>
    <w:p>
      <w:pPr>
        <w:spacing w:line="240" w:lineRule="auto" w:before="1"/>
        <w:ind w:left="259" w:right="234" w:firstLine="0"/>
        <w:jc w:val="both"/>
        <w:rPr>
          <w:rFonts w:ascii="Arial"/>
          <w:sz w:val="22"/>
        </w:rPr>
      </w:pPr>
      <w:r>
        <w:rPr>
          <w:rFonts w:ascii="Arial"/>
          <w:sz w:val="22"/>
        </w:rPr>
        <w:t>[17] K. Roy, J.T. Leonard, QSAR analyses of 3-(4-benzylpiperidin-1-yl)-N- phenylpropylamine derivatives as potent CCR5 antagonists, Journal of chemical information and modeling, 45 (2005) 1352-1368.</w:t>
      </w:r>
    </w:p>
    <w:p>
      <w:pPr>
        <w:pStyle w:val="BodyText"/>
        <w:spacing w:before="2"/>
        <w:rPr>
          <w:rFonts w:ascii="Arial"/>
          <w:sz w:val="18"/>
        </w:rPr>
      </w:pPr>
    </w:p>
    <w:p>
      <w:pPr>
        <w:spacing w:line="250" w:lineRule="exact" w:before="0"/>
        <w:ind w:left="259" w:right="251" w:firstLine="0"/>
        <w:jc w:val="both"/>
        <w:rPr>
          <w:rFonts w:ascii="Arial"/>
          <w:sz w:val="22"/>
        </w:rPr>
      </w:pPr>
      <w:r>
        <w:rPr>
          <w:rFonts w:ascii="Arial"/>
          <w:sz w:val="22"/>
        </w:rPr>
        <w:t>[18] E.E. Anslyn, D.A. Dougherty, Modern Physical Organic Chemistry, University Science Books2006.</w:t>
      </w:r>
    </w:p>
    <w:p>
      <w:pPr>
        <w:pStyle w:val="BodyText"/>
        <w:spacing w:before="4"/>
        <w:rPr>
          <w:rFonts w:ascii="Arial"/>
          <w:sz w:val="17"/>
        </w:rPr>
      </w:pPr>
    </w:p>
    <w:p>
      <w:pPr>
        <w:spacing w:line="240" w:lineRule="auto" w:before="0"/>
        <w:ind w:left="259" w:right="246" w:firstLine="0"/>
        <w:jc w:val="both"/>
        <w:rPr>
          <w:rFonts w:ascii="Arial"/>
          <w:sz w:val="22"/>
        </w:rPr>
      </w:pPr>
      <w:r>
        <w:rPr>
          <w:rFonts w:ascii="Arial"/>
          <w:sz w:val="22"/>
        </w:rPr>
        <w:t>[19] H. Gonzalez-Diaz, S. Arrasate, N. Sotomayor, E. Lete, C.R. Munteanu, A. Pazos, L. Besada-Porto, J.M. Ruso, MIANN models in medicinal, physical and organic chemistry, Curr Top Med Chem, 13 (2013) 619-641.</w:t>
      </w:r>
    </w:p>
    <w:p>
      <w:pPr>
        <w:pStyle w:val="BodyText"/>
        <w:spacing w:before="2"/>
        <w:rPr>
          <w:rFonts w:ascii="Arial"/>
          <w:sz w:val="17"/>
        </w:rPr>
      </w:pPr>
    </w:p>
    <w:p>
      <w:pPr>
        <w:spacing w:before="0"/>
        <w:ind w:left="259" w:right="0" w:firstLine="0"/>
        <w:jc w:val="both"/>
        <w:rPr>
          <w:rFonts w:ascii="Arial"/>
          <w:sz w:val="22"/>
        </w:rPr>
      </w:pPr>
      <w:r>
        <w:rPr>
          <w:rFonts w:ascii="Arial"/>
          <w:sz w:val="22"/>
        </w:rPr>
        <w:t>[20] A. Duardo-Sanchez, C.R. Munteanu, P. Riera-Fernandez, A. Lopez-Diaz, A. Pazos,</w:t>
      </w:r>
    </w:p>
    <w:p>
      <w:pPr>
        <w:spacing w:line="242" w:lineRule="auto" w:before="1"/>
        <w:ind w:left="259" w:right="236" w:firstLine="0"/>
        <w:jc w:val="both"/>
        <w:rPr>
          <w:rFonts w:ascii="Arial"/>
          <w:sz w:val="22"/>
        </w:rPr>
      </w:pPr>
      <w:r>
        <w:rPr>
          <w:rFonts w:ascii="Arial"/>
          <w:sz w:val="22"/>
        </w:rPr>
        <w:t>H. Gonzalez-Diaz, Modeling complex metabolic reactions, ecological systems, and financial and legal networks with </w:t>
      </w:r>
      <w:r>
        <w:rPr>
          <w:rFonts w:ascii="Arial"/>
          <w:spacing w:val="-3"/>
          <w:sz w:val="22"/>
        </w:rPr>
        <w:t>MIANN </w:t>
      </w:r>
      <w:r>
        <w:rPr>
          <w:rFonts w:ascii="Arial"/>
          <w:sz w:val="22"/>
        </w:rPr>
        <w:t>models based on Markov-Wiener node descriptors, Journal of chemical information and modeling, 54 (2014)</w:t>
      </w:r>
      <w:r>
        <w:rPr>
          <w:rFonts w:ascii="Arial"/>
          <w:spacing w:val="-27"/>
          <w:sz w:val="22"/>
        </w:rPr>
        <w:t> </w:t>
      </w:r>
      <w:r>
        <w:rPr>
          <w:rFonts w:ascii="Arial"/>
          <w:sz w:val="22"/>
        </w:rPr>
        <w:t>16-29.</w:t>
      </w:r>
    </w:p>
    <w:p>
      <w:pPr>
        <w:spacing w:before="195"/>
        <w:ind w:left="259" w:right="234" w:firstLine="0"/>
        <w:jc w:val="both"/>
        <w:rPr>
          <w:rFonts w:ascii="Arial"/>
          <w:sz w:val="22"/>
        </w:rPr>
      </w:pPr>
      <w:r>
        <w:rPr>
          <w:rFonts w:ascii="Arial"/>
          <w:sz w:val="22"/>
        </w:rPr>
        <w:t>[21] Nutrient Requirements of Small Ruminants: Sheep, Goats, Cervids, and New World Camelids, The National Academies Press, Washington, DC, 2007.</w:t>
      </w:r>
    </w:p>
    <w:p>
      <w:pPr>
        <w:pStyle w:val="BodyText"/>
        <w:spacing w:before="2"/>
        <w:rPr>
          <w:rFonts w:ascii="Arial"/>
          <w:sz w:val="17"/>
        </w:rPr>
      </w:pPr>
    </w:p>
    <w:p>
      <w:pPr>
        <w:spacing w:before="0"/>
        <w:ind w:left="259" w:right="0" w:firstLine="0"/>
        <w:jc w:val="both"/>
        <w:rPr>
          <w:rFonts w:ascii="Arial"/>
          <w:sz w:val="22"/>
        </w:rPr>
      </w:pPr>
      <w:r>
        <w:rPr>
          <w:rFonts w:ascii="Arial"/>
          <w:sz w:val="22"/>
        </w:rPr>
        <w:t>[22] S.X. Tang, G.O. Tayo, Z.L. Tan, Z.H. Sun, L.X. Shen, C.S. Zhou, W.J. Xiao, G.P. Ren,</w:t>
      </w:r>
    </w:p>
    <w:p>
      <w:pPr>
        <w:spacing w:line="240" w:lineRule="auto" w:before="1"/>
        <w:ind w:left="259" w:right="236" w:firstLine="0"/>
        <w:jc w:val="both"/>
        <w:rPr>
          <w:rFonts w:ascii="Arial"/>
          <w:sz w:val="22"/>
        </w:rPr>
      </w:pPr>
      <w:r>
        <w:rPr>
          <w:rFonts w:ascii="Arial"/>
          <w:sz w:val="22"/>
        </w:rPr>
        <w:t>X.F. Han, S.B. Shen, Effects of yeast culture and fibrolytic enzyme supplementation on in vitro fermentation characteristics of low-quality cereal straws, J Anim Sci, 86 (2008) 1164- 1172.</w:t>
      </w:r>
    </w:p>
    <w:p>
      <w:pPr>
        <w:pStyle w:val="BodyText"/>
        <w:spacing w:before="2"/>
        <w:rPr>
          <w:rFonts w:ascii="Arial"/>
          <w:sz w:val="18"/>
        </w:rPr>
      </w:pPr>
    </w:p>
    <w:p>
      <w:pPr>
        <w:spacing w:line="250" w:lineRule="exact" w:before="0"/>
        <w:ind w:left="259" w:right="249" w:firstLine="0"/>
        <w:jc w:val="both"/>
        <w:rPr>
          <w:rFonts w:ascii="Arial"/>
          <w:sz w:val="22"/>
        </w:rPr>
      </w:pPr>
      <w:r>
        <w:rPr>
          <w:rFonts w:ascii="Arial"/>
          <w:sz w:val="22"/>
        </w:rPr>
        <w:t>[23] K.H. Menke, H. Steingass, Estimation of energetic feed value obtained from chemical analysis and in vitro gas production using rumen fluid, Anim Res Dev, 28 (1988) 7-55.</w:t>
      </w:r>
    </w:p>
    <w:p>
      <w:pPr>
        <w:pStyle w:val="BodyText"/>
        <w:spacing w:before="10"/>
        <w:rPr>
          <w:rFonts w:ascii="Arial"/>
          <w:sz w:val="17"/>
        </w:rPr>
      </w:pPr>
    </w:p>
    <w:p>
      <w:pPr>
        <w:spacing w:line="250" w:lineRule="exact" w:before="0"/>
        <w:ind w:left="259" w:right="247" w:firstLine="0"/>
        <w:jc w:val="both"/>
        <w:rPr>
          <w:rFonts w:ascii="Arial"/>
          <w:sz w:val="22"/>
        </w:rPr>
      </w:pPr>
      <w:r>
        <w:rPr>
          <w:rFonts w:ascii="Arial"/>
          <w:sz w:val="22"/>
        </w:rPr>
        <w:t>[24] F. Legay-Carmier, D. Bauchart, Distribution of bacteria in the rumen contents of dairy cows given a diet supplemented with soya-bean oil, Br J Nutr, 61 (1989) 725-740.</w:t>
      </w:r>
    </w:p>
    <w:p>
      <w:pPr>
        <w:spacing w:after="0" w:line="250" w:lineRule="exact"/>
        <w:jc w:val="both"/>
        <w:rPr>
          <w:rFonts w:ascii="Arial"/>
          <w:sz w:val="22"/>
        </w:rPr>
        <w:sectPr>
          <w:pgSz w:w="12240" w:h="15840"/>
          <w:pgMar w:header="684" w:footer="1184" w:top="1380" w:bottom="1380" w:left="1440" w:right="1460"/>
        </w:sectPr>
      </w:pPr>
    </w:p>
    <w:p>
      <w:pPr>
        <w:pStyle w:val="BodyText"/>
        <w:spacing w:before="2"/>
        <w:rPr>
          <w:rFonts w:ascii="Arial"/>
          <w:sz w:val="15"/>
        </w:rPr>
      </w:pPr>
    </w:p>
    <w:p>
      <w:pPr>
        <w:spacing w:before="72"/>
        <w:ind w:left="259" w:right="249" w:firstLine="0"/>
        <w:jc w:val="both"/>
        <w:rPr>
          <w:rFonts w:ascii="Arial"/>
          <w:sz w:val="22"/>
        </w:rPr>
      </w:pPr>
      <w:r>
        <w:rPr>
          <w:rFonts w:ascii="Arial"/>
          <w:sz w:val="22"/>
        </w:rPr>
        <w:t>[25] T. Hill, P. Lewicki, STATISTICS Methods and Applications. A Comprehensive Reference for Science, Industry and Data Mining, StatSoft, Tulsa, 2006</w:t>
      </w:r>
    </w:p>
    <w:p>
      <w:pPr>
        <w:pStyle w:val="BodyText"/>
        <w:spacing w:before="3"/>
        <w:rPr>
          <w:rFonts w:ascii="Arial"/>
          <w:sz w:val="17"/>
        </w:rPr>
      </w:pPr>
    </w:p>
    <w:p>
      <w:pPr>
        <w:spacing w:before="0"/>
        <w:ind w:left="259" w:right="248" w:firstLine="0"/>
        <w:jc w:val="both"/>
        <w:rPr>
          <w:rFonts w:ascii="Arial"/>
          <w:sz w:val="22"/>
        </w:rPr>
      </w:pPr>
      <w:r>
        <w:rPr>
          <w:rFonts w:ascii="Arial"/>
          <w:sz w:val="22"/>
        </w:rPr>
        <w:t>[26] A.A. Toropov, E. Benfenati, SMILES in QSPR/QSAR Modeling: results and perspectives, Curr Drug Discov Technol, 4 (2007) 77-116.</w:t>
      </w:r>
    </w:p>
    <w:p>
      <w:pPr>
        <w:pStyle w:val="BodyText"/>
        <w:spacing w:before="2"/>
        <w:rPr>
          <w:rFonts w:ascii="Arial"/>
          <w:sz w:val="17"/>
        </w:rPr>
      </w:pPr>
    </w:p>
    <w:p>
      <w:pPr>
        <w:spacing w:before="0"/>
        <w:ind w:left="259" w:right="238" w:firstLine="0"/>
        <w:jc w:val="both"/>
        <w:rPr>
          <w:rFonts w:ascii="Arial"/>
          <w:sz w:val="22"/>
        </w:rPr>
      </w:pPr>
      <w:r>
        <w:rPr>
          <w:rFonts w:ascii="Arial"/>
          <w:sz w:val="22"/>
        </w:rPr>
        <w:t>[27] A. Karwath, L. De Raedt, SMIREP: predicting chemical activity from SMILES, Journal of chemical information and modeling, 46 (2006) 2432-2444.</w:t>
      </w:r>
    </w:p>
    <w:p>
      <w:pPr>
        <w:pStyle w:val="BodyText"/>
        <w:spacing w:before="2"/>
        <w:rPr>
          <w:rFonts w:ascii="Arial"/>
          <w:sz w:val="17"/>
        </w:rPr>
      </w:pPr>
    </w:p>
    <w:p>
      <w:pPr>
        <w:spacing w:before="0"/>
        <w:ind w:left="259" w:right="235" w:firstLine="0"/>
        <w:jc w:val="both"/>
        <w:rPr>
          <w:rFonts w:ascii="Arial"/>
          <w:sz w:val="22"/>
        </w:rPr>
      </w:pPr>
      <w:r>
        <w:rPr>
          <w:rFonts w:ascii="Arial"/>
          <w:sz w:val="22"/>
        </w:rPr>
        <w:t>[28] M.A. Siani, D. Weininger, J.M. Blaney, CHUCKLES: a method for representing and searching peptide and peptoid sequences on both monomer and atomic levels, J. Chem. Inf. Comput. Sci., 34 (1994) 588-593.</w:t>
      </w:r>
    </w:p>
    <w:p>
      <w:pPr>
        <w:pStyle w:val="BodyText"/>
        <w:spacing w:before="2"/>
        <w:rPr>
          <w:rFonts w:ascii="Arial"/>
          <w:sz w:val="17"/>
        </w:rPr>
      </w:pPr>
    </w:p>
    <w:p>
      <w:pPr>
        <w:spacing w:before="0"/>
        <w:ind w:left="259" w:right="249" w:firstLine="0"/>
        <w:jc w:val="both"/>
        <w:rPr>
          <w:rFonts w:ascii="Arial"/>
          <w:sz w:val="22"/>
        </w:rPr>
      </w:pPr>
      <w:r>
        <w:rPr>
          <w:rFonts w:ascii="Arial"/>
          <w:sz w:val="22"/>
        </w:rPr>
        <w:t>[29] I.V. Tetko, V.Y. Tanchuk, T.N. Kasheva, A.E. Villa, Internet software for the calculation of the lipophilicity and aqueous solubility of chemical compounds, J. Chem. Inf. Comput. Sci., 41 (2001) 246-252.</w:t>
      </w:r>
    </w:p>
    <w:p>
      <w:pPr>
        <w:pStyle w:val="BodyText"/>
        <w:spacing w:before="3"/>
        <w:rPr>
          <w:rFonts w:ascii="Arial"/>
          <w:sz w:val="17"/>
        </w:rPr>
      </w:pPr>
    </w:p>
    <w:p>
      <w:pPr>
        <w:spacing w:line="240" w:lineRule="auto" w:before="0"/>
        <w:ind w:left="259" w:right="253" w:firstLine="0"/>
        <w:jc w:val="both"/>
        <w:rPr>
          <w:rFonts w:ascii="Arial"/>
          <w:sz w:val="22"/>
        </w:rPr>
      </w:pPr>
      <w:r>
        <w:rPr>
          <w:rFonts w:ascii="Arial"/>
          <w:sz w:val="22"/>
        </w:rPr>
        <w:t>[30] D. Vidal, </w:t>
      </w:r>
      <w:r>
        <w:rPr>
          <w:rFonts w:ascii="Arial"/>
          <w:spacing w:val="-4"/>
          <w:sz w:val="22"/>
        </w:rPr>
        <w:t>M. </w:t>
      </w:r>
      <w:r>
        <w:rPr>
          <w:rFonts w:ascii="Arial"/>
          <w:sz w:val="22"/>
        </w:rPr>
        <w:t>Thormann, </w:t>
      </w:r>
      <w:r>
        <w:rPr>
          <w:rFonts w:ascii="Arial"/>
          <w:spacing w:val="-4"/>
          <w:sz w:val="22"/>
        </w:rPr>
        <w:t>M. </w:t>
      </w:r>
      <w:r>
        <w:rPr>
          <w:rFonts w:ascii="Arial"/>
          <w:sz w:val="22"/>
        </w:rPr>
        <w:t>Pons, LINGO, an efficient holographic text based method  to calculate biophysical properties and intermolecular similarities, Journal of chemical information and modeling, 45 (2005)</w:t>
      </w:r>
      <w:r>
        <w:rPr>
          <w:rFonts w:ascii="Arial"/>
          <w:spacing w:val="-17"/>
          <w:sz w:val="22"/>
        </w:rPr>
        <w:t> </w:t>
      </w:r>
      <w:r>
        <w:rPr>
          <w:rFonts w:ascii="Arial"/>
          <w:sz w:val="22"/>
        </w:rPr>
        <w:t>386-393.</w:t>
      </w:r>
    </w:p>
    <w:p>
      <w:pPr>
        <w:pStyle w:val="BodyText"/>
        <w:spacing w:before="7"/>
        <w:rPr>
          <w:rFonts w:ascii="Arial"/>
          <w:sz w:val="17"/>
        </w:rPr>
      </w:pPr>
    </w:p>
    <w:p>
      <w:pPr>
        <w:spacing w:before="0"/>
        <w:ind w:left="259" w:right="0" w:firstLine="0"/>
        <w:jc w:val="both"/>
        <w:rPr>
          <w:rFonts w:ascii="Arial"/>
          <w:sz w:val="22"/>
        </w:rPr>
      </w:pPr>
      <w:r>
        <w:rPr>
          <w:rFonts w:ascii="Arial"/>
          <w:sz w:val="22"/>
        </w:rPr>
        <w:t>[31] S. Haykin, Neural Networks: A Comprehensive Foundation, Prentice Hall PTR1998.</w:t>
      </w:r>
    </w:p>
    <w:p>
      <w:pPr>
        <w:pStyle w:val="BodyText"/>
        <w:spacing w:before="2"/>
        <w:rPr>
          <w:rFonts w:ascii="Arial"/>
          <w:sz w:val="17"/>
        </w:rPr>
      </w:pPr>
    </w:p>
    <w:p>
      <w:pPr>
        <w:spacing w:before="0"/>
        <w:ind w:left="259" w:right="250" w:firstLine="0"/>
        <w:jc w:val="both"/>
        <w:rPr>
          <w:rFonts w:ascii="Arial"/>
          <w:sz w:val="22"/>
        </w:rPr>
      </w:pPr>
      <w:r>
        <w:rPr>
          <w:rFonts w:ascii="Arial"/>
          <w:sz w:val="22"/>
        </w:rPr>
        <w:t>[32] J. Salimon, T.A. Omar, N. Salih, Comparison of Two Derivatization Methods for the Analysis of Fatty Acids and Trans Fatty Acids in Bakery Products Using Gas Chromatography, Scientific World J., 2014 (2014) 10.</w:t>
      </w:r>
    </w:p>
    <w:p>
      <w:pPr>
        <w:pStyle w:val="BodyText"/>
        <w:spacing w:before="2"/>
        <w:rPr>
          <w:rFonts w:ascii="Arial"/>
          <w:sz w:val="17"/>
        </w:rPr>
      </w:pPr>
    </w:p>
    <w:p>
      <w:pPr>
        <w:spacing w:before="0"/>
        <w:ind w:left="259" w:right="247" w:firstLine="0"/>
        <w:jc w:val="both"/>
        <w:rPr>
          <w:rFonts w:ascii="Arial"/>
          <w:sz w:val="22"/>
        </w:rPr>
      </w:pPr>
      <w:r>
        <w:rPr>
          <w:rFonts w:ascii="Arial"/>
          <w:sz w:val="22"/>
        </w:rPr>
        <w:t>[33] I.S. Nam, P.C. Garnsworthy, Biohydrogenation of linoleic acid by rumen fungi compared with rumen bacteria, J Appl Microbiol, 103 (2007) 551-556.</w:t>
      </w:r>
    </w:p>
    <w:p>
      <w:pPr>
        <w:pStyle w:val="BodyText"/>
        <w:spacing w:before="2"/>
        <w:rPr>
          <w:rFonts w:ascii="Arial"/>
          <w:sz w:val="17"/>
        </w:rPr>
      </w:pPr>
    </w:p>
    <w:p>
      <w:pPr>
        <w:spacing w:before="0"/>
        <w:ind w:left="259" w:right="240" w:firstLine="0"/>
        <w:jc w:val="both"/>
        <w:rPr>
          <w:rFonts w:ascii="Arial"/>
          <w:sz w:val="22"/>
        </w:rPr>
      </w:pPr>
      <w:r>
        <w:rPr>
          <w:rFonts w:ascii="Arial"/>
          <w:sz w:val="22"/>
        </w:rPr>
        <w:t>[34] P.F. Wilde, R.M. Dawson, The biohydrogenation of alpha-linolenic acid and oleic acid by rumen micro-organisms, Biochem J, 98 (1966) 469-475.</w:t>
      </w:r>
    </w:p>
    <w:p>
      <w:pPr>
        <w:pStyle w:val="BodyText"/>
        <w:spacing w:before="2"/>
        <w:rPr>
          <w:rFonts w:ascii="Arial"/>
          <w:sz w:val="17"/>
        </w:rPr>
      </w:pPr>
    </w:p>
    <w:p>
      <w:pPr>
        <w:spacing w:line="240" w:lineRule="auto" w:before="0"/>
        <w:ind w:left="259" w:right="231" w:firstLine="0"/>
        <w:jc w:val="both"/>
        <w:rPr>
          <w:rFonts w:ascii="Arial" w:hAnsi="Arial"/>
          <w:sz w:val="22"/>
        </w:rPr>
      </w:pPr>
      <w:r>
        <w:rPr>
          <w:rFonts w:ascii="Arial" w:hAnsi="Arial"/>
          <w:sz w:val="22"/>
        </w:rPr>
        <w:t>[35] P. Kankaanpää, B. Yang, H. Kallio, E. Isolauri, S. Salminen, Effects of Polyunsaturated Fatty Acids in Growth Medium on Lipid Composition and on Physicochemical Surface Properties of Lactobacilli, Appl Environ Microbiol, 70 (2004) 129- 136.</w:t>
      </w:r>
    </w:p>
    <w:p>
      <w:pPr>
        <w:pStyle w:val="BodyText"/>
        <w:spacing w:before="3"/>
        <w:rPr>
          <w:rFonts w:ascii="Arial"/>
          <w:sz w:val="18"/>
        </w:rPr>
      </w:pPr>
    </w:p>
    <w:p>
      <w:pPr>
        <w:spacing w:line="250" w:lineRule="exact" w:before="0"/>
        <w:ind w:left="259" w:right="247" w:firstLine="0"/>
        <w:jc w:val="both"/>
        <w:rPr>
          <w:rFonts w:ascii="Arial"/>
          <w:sz w:val="22"/>
        </w:rPr>
      </w:pPr>
      <w:r>
        <w:rPr>
          <w:rFonts w:ascii="Arial"/>
          <w:sz w:val="22"/>
        </w:rPr>
        <w:t>[36] H. Goldfine, Bacterial membranes and lipid packing theory, J Lipid Res, 25 (1984) 1501-1507.</w:t>
      </w:r>
    </w:p>
    <w:p>
      <w:pPr>
        <w:pStyle w:val="BodyText"/>
        <w:spacing w:before="10"/>
        <w:rPr>
          <w:rFonts w:ascii="Arial"/>
          <w:sz w:val="17"/>
        </w:rPr>
      </w:pPr>
    </w:p>
    <w:p>
      <w:pPr>
        <w:spacing w:line="250" w:lineRule="exact" w:before="0"/>
        <w:ind w:left="259" w:right="255" w:firstLine="0"/>
        <w:jc w:val="both"/>
        <w:rPr>
          <w:rFonts w:ascii="Arial"/>
          <w:sz w:val="22"/>
        </w:rPr>
      </w:pPr>
      <w:r>
        <w:rPr>
          <w:rFonts w:ascii="Arial"/>
          <w:sz w:val="22"/>
        </w:rPr>
        <w:t>[37] D.C. Bay, R.J. Turner, Membrane composition influences the topology bias of  bacterial integral membrane proteins, Biochim Biophys Acta, 1828 (2013)</w:t>
      </w:r>
      <w:r>
        <w:rPr>
          <w:rFonts w:ascii="Arial"/>
          <w:spacing w:val="-32"/>
          <w:sz w:val="22"/>
        </w:rPr>
        <w:t> </w:t>
      </w:r>
      <w:r>
        <w:rPr>
          <w:rFonts w:ascii="Arial"/>
          <w:sz w:val="22"/>
        </w:rPr>
        <w:t>260-270.</w:t>
      </w:r>
    </w:p>
    <w:p>
      <w:pPr>
        <w:pStyle w:val="BodyText"/>
        <w:spacing w:before="10"/>
        <w:rPr>
          <w:rFonts w:ascii="Arial"/>
          <w:sz w:val="17"/>
        </w:rPr>
      </w:pPr>
    </w:p>
    <w:p>
      <w:pPr>
        <w:spacing w:line="250" w:lineRule="exact" w:before="0"/>
        <w:ind w:left="259" w:right="247" w:firstLine="0"/>
        <w:jc w:val="both"/>
        <w:rPr>
          <w:rFonts w:ascii="Arial"/>
          <w:sz w:val="22"/>
        </w:rPr>
      </w:pPr>
      <w:r>
        <w:rPr>
          <w:rFonts w:ascii="Arial"/>
          <w:sz w:val="22"/>
        </w:rPr>
        <w:t>[38] P.A. Janmey, P.K. Kinnunen, Biophysical properties of lipids and  dynamic membranes, Trends Cell Biol, 16 (2006) 538-546.</w:t>
      </w:r>
    </w:p>
    <w:p>
      <w:pPr>
        <w:pStyle w:val="BodyText"/>
        <w:spacing w:before="10"/>
        <w:rPr>
          <w:rFonts w:ascii="Arial"/>
          <w:sz w:val="17"/>
        </w:rPr>
      </w:pPr>
    </w:p>
    <w:p>
      <w:pPr>
        <w:spacing w:line="250" w:lineRule="exact" w:before="1"/>
        <w:ind w:left="259" w:right="250" w:firstLine="0"/>
        <w:jc w:val="both"/>
        <w:rPr>
          <w:rFonts w:ascii="Arial"/>
          <w:sz w:val="22"/>
        </w:rPr>
      </w:pPr>
      <w:r>
        <w:rPr>
          <w:rFonts w:ascii="Arial"/>
          <w:sz w:val="22"/>
        </w:rPr>
        <w:t>[39] A. Lock, D. Bauman, Modifying milk fat composition of dairy cows to enhance fatty acids beneficial to human health, Lipids, 39 (2004) 1197-1206.</w:t>
      </w:r>
    </w:p>
    <w:p>
      <w:pPr>
        <w:pStyle w:val="BodyText"/>
        <w:spacing w:before="4"/>
        <w:rPr>
          <w:rFonts w:ascii="Arial"/>
          <w:sz w:val="17"/>
        </w:rPr>
      </w:pPr>
    </w:p>
    <w:p>
      <w:pPr>
        <w:spacing w:line="240" w:lineRule="auto" w:before="0"/>
        <w:ind w:left="259" w:right="231" w:firstLine="0"/>
        <w:jc w:val="both"/>
        <w:rPr>
          <w:rFonts w:ascii="Arial"/>
          <w:sz w:val="22"/>
        </w:rPr>
      </w:pPr>
      <w:r>
        <w:rPr>
          <w:rFonts w:ascii="Arial"/>
          <w:sz w:val="22"/>
        </w:rPr>
        <w:t>[40] M.J. Allison, M.P. Bryant, I. Katz, M. Keeney, Metabolic function of branched-chain volatile fatty acids, growth factors for ruminococci II. : Biosynthesis of Higher Branched- Chain Fatty Acids and Aldehydes, J Bacteriol, 83 (1962) 1084-1093.</w:t>
      </w:r>
    </w:p>
    <w:p>
      <w:pPr>
        <w:spacing w:after="0" w:line="240" w:lineRule="auto"/>
        <w:jc w:val="both"/>
        <w:rPr>
          <w:rFonts w:ascii="Arial"/>
          <w:sz w:val="22"/>
        </w:rPr>
        <w:sectPr>
          <w:pgSz w:w="12240" w:h="15840"/>
          <w:pgMar w:header="684" w:footer="1184" w:top="1380" w:bottom="1380" w:left="1440" w:right="1460"/>
        </w:sectPr>
      </w:pPr>
    </w:p>
    <w:p>
      <w:pPr>
        <w:pStyle w:val="BodyText"/>
        <w:spacing w:before="2"/>
        <w:rPr>
          <w:rFonts w:ascii="Arial"/>
          <w:sz w:val="15"/>
        </w:rPr>
      </w:pPr>
    </w:p>
    <w:p>
      <w:pPr>
        <w:spacing w:before="72"/>
        <w:ind w:left="259" w:right="248" w:firstLine="0"/>
        <w:jc w:val="both"/>
        <w:rPr>
          <w:rFonts w:ascii="Arial"/>
          <w:sz w:val="22"/>
        </w:rPr>
      </w:pPr>
      <w:r>
        <w:rPr>
          <w:rFonts w:ascii="Arial"/>
          <w:sz w:val="22"/>
        </w:rPr>
        <w:t>[41] P. Fontanille, V. Kumar, G. Christophe, </w:t>
      </w:r>
      <w:r>
        <w:rPr>
          <w:rFonts w:ascii="Arial"/>
          <w:spacing w:val="-3"/>
          <w:sz w:val="22"/>
        </w:rPr>
        <w:t>R. </w:t>
      </w:r>
      <w:r>
        <w:rPr>
          <w:rFonts w:ascii="Arial"/>
          <w:sz w:val="22"/>
        </w:rPr>
        <w:t>Nouaille, C. Larroche, Bioconversion of volatile fatty acids into lipids by the oleaginous yeast Yarrowia lipolytica, Bioresour Technol, 114 (2012)</w:t>
      </w:r>
      <w:r>
        <w:rPr>
          <w:rFonts w:ascii="Arial"/>
          <w:spacing w:val="-7"/>
          <w:sz w:val="22"/>
        </w:rPr>
        <w:t> </w:t>
      </w:r>
      <w:r>
        <w:rPr>
          <w:rFonts w:ascii="Arial"/>
          <w:sz w:val="22"/>
        </w:rPr>
        <w:t>443-449.</w:t>
      </w:r>
    </w:p>
    <w:p>
      <w:pPr>
        <w:pStyle w:val="BodyText"/>
        <w:spacing w:before="3"/>
        <w:rPr>
          <w:rFonts w:ascii="Arial"/>
          <w:sz w:val="17"/>
        </w:rPr>
      </w:pPr>
    </w:p>
    <w:p>
      <w:pPr>
        <w:spacing w:before="0"/>
        <w:ind w:left="259" w:right="233" w:firstLine="0"/>
        <w:jc w:val="both"/>
        <w:rPr>
          <w:rFonts w:ascii="Arial"/>
          <w:sz w:val="22"/>
        </w:rPr>
      </w:pPr>
      <w:r>
        <w:rPr>
          <w:rFonts w:ascii="Arial"/>
          <w:sz w:val="22"/>
        </w:rPr>
        <w:t>[42] I.A. Nges, B. Mbatia, L. Bjornsson, Improved utilization of fish waste by anaerobic digestion following omega-3 fatty acids extraction, J Environ Manage, 110 (2012) 159-165.</w:t>
      </w:r>
    </w:p>
    <w:p>
      <w:pPr>
        <w:pStyle w:val="BodyText"/>
        <w:spacing w:before="2"/>
        <w:rPr>
          <w:rFonts w:ascii="Arial"/>
          <w:sz w:val="17"/>
        </w:rPr>
      </w:pPr>
    </w:p>
    <w:p>
      <w:pPr>
        <w:spacing w:line="240" w:lineRule="auto" w:before="0"/>
        <w:ind w:left="259" w:right="233" w:firstLine="0"/>
        <w:jc w:val="both"/>
        <w:rPr>
          <w:rFonts w:ascii="Arial" w:hAnsi="Arial"/>
          <w:sz w:val="22"/>
        </w:rPr>
      </w:pPr>
      <w:r>
        <w:rPr>
          <w:rFonts w:ascii="Arial" w:hAnsi="Arial"/>
          <w:sz w:val="22"/>
        </w:rPr>
        <w:t>[43] Y. Liu, G. Buendía-Rodríguez, Dataset of methane and gas pressure for Experimental and Perturbation Study of Methane Production and Fatty Acid Metabolism-Distribution in Ruminal Microbiome., Figshare, 2015.</w:t>
      </w:r>
    </w:p>
    <w:p>
      <w:pPr>
        <w:pStyle w:val="BodyText"/>
        <w:spacing w:before="7"/>
        <w:rPr>
          <w:rFonts w:ascii="Arial"/>
          <w:sz w:val="17"/>
        </w:rPr>
      </w:pPr>
    </w:p>
    <w:p>
      <w:pPr>
        <w:spacing w:line="240" w:lineRule="auto" w:before="1"/>
        <w:ind w:left="259" w:right="237" w:firstLine="0"/>
        <w:jc w:val="both"/>
        <w:rPr>
          <w:rFonts w:ascii="Arial" w:hAnsi="Arial"/>
          <w:sz w:val="22"/>
        </w:rPr>
      </w:pPr>
      <w:r>
        <w:rPr>
          <w:rFonts w:ascii="Arial" w:hAnsi="Arial"/>
          <w:sz w:val="22"/>
        </w:rPr>
        <w:t>[44] Y. Liu, G. Buendía-Rodríguez, H. González-Díaz, Dataset for Experimental and Perturbation Study of Methane Production and Fatty Acid Metabolism-Distribution in Ruminal Microbiome., Figshare, 2015.</w:t>
      </w:r>
    </w:p>
    <w:p>
      <w:pPr>
        <w:pStyle w:val="BodyText"/>
        <w:spacing w:before="7"/>
        <w:rPr>
          <w:rFonts w:ascii="Arial"/>
          <w:sz w:val="17"/>
        </w:rPr>
      </w:pPr>
    </w:p>
    <w:p>
      <w:pPr>
        <w:spacing w:line="240" w:lineRule="auto" w:before="0"/>
        <w:ind w:left="259" w:right="237" w:firstLine="0"/>
        <w:jc w:val="both"/>
        <w:rPr>
          <w:rFonts w:ascii="Arial" w:hAnsi="Arial"/>
          <w:sz w:val="22"/>
        </w:rPr>
      </w:pPr>
      <w:r>
        <w:rPr>
          <w:rFonts w:ascii="Arial" w:hAnsi="Arial"/>
          <w:sz w:val="22"/>
        </w:rPr>
        <w:t>[45] Y. Liu, G. Buendía-Rodríguez, H. González-Díaz, STD Dataset for Experimental and Perturbation Study of Methane Production and Fatty Acid Metabolism-Distribution in Ruminal Microbiome, Figshare, 2015.</w:t>
      </w:r>
    </w:p>
    <w:p>
      <w:pPr>
        <w:pStyle w:val="BodyText"/>
        <w:spacing w:before="2"/>
        <w:rPr>
          <w:rFonts w:ascii="Arial"/>
          <w:sz w:val="17"/>
        </w:rPr>
      </w:pPr>
    </w:p>
    <w:p>
      <w:pPr>
        <w:spacing w:line="240" w:lineRule="auto" w:before="0"/>
        <w:ind w:left="259" w:right="239" w:firstLine="0"/>
        <w:jc w:val="both"/>
        <w:rPr>
          <w:rFonts w:ascii="Arial"/>
          <w:sz w:val="22"/>
        </w:rPr>
      </w:pPr>
      <w:r>
        <w:rPr>
          <w:rFonts w:ascii="Arial"/>
          <w:sz w:val="22"/>
        </w:rPr>
        <w:t>[46] H. Gonzalez-Diaz, D.M. Herrera-Ibata, A. Duardo-Sanchez, C.R. Munteanu, R.A. Orbegozo-Medina, A. Pazos, ANN multiscale model of anti-HIV drugs activity vs AIDS prevalence in the US at county level based on information indices of molecular graphs and social networks, Journal of chemical information and modeling, 54 (2014) 744-755.</w:t>
      </w:r>
    </w:p>
    <w:p>
      <w:pPr>
        <w:pStyle w:val="BodyText"/>
        <w:spacing w:before="7"/>
        <w:rPr>
          <w:rFonts w:ascii="Arial"/>
          <w:sz w:val="17"/>
        </w:rPr>
      </w:pPr>
    </w:p>
    <w:p>
      <w:pPr>
        <w:spacing w:line="240" w:lineRule="auto" w:before="1"/>
        <w:ind w:left="259" w:right="237" w:firstLine="0"/>
        <w:jc w:val="both"/>
        <w:rPr>
          <w:rFonts w:ascii="Arial"/>
          <w:sz w:val="22"/>
        </w:rPr>
      </w:pPr>
      <w:r>
        <w:rPr>
          <w:rFonts w:ascii="Arial"/>
          <w:sz w:val="22"/>
        </w:rPr>
        <w:t>[47] N. Alonso, O. Caamano, F.J. Romero-Duran, F. Luan, D.S.C. </w:t>
      </w:r>
      <w:r>
        <w:rPr>
          <w:rFonts w:ascii="Arial"/>
          <w:spacing w:val="-3"/>
          <w:sz w:val="22"/>
        </w:rPr>
        <w:t>MN, </w:t>
      </w:r>
      <w:r>
        <w:rPr>
          <w:rFonts w:ascii="Arial"/>
          <w:spacing w:val="-4"/>
          <w:sz w:val="22"/>
        </w:rPr>
        <w:t>M. </w:t>
      </w:r>
      <w:r>
        <w:rPr>
          <w:rFonts w:ascii="Arial"/>
          <w:sz w:val="22"/>
        </w:rPr>
        <w:t>Yanez, H. Gonzalez-Diaz, X. Garcia-Mera, Model for high-throughput screening of multitarget drugs in chemical neurosciences: synthesis, assay, and theoretic study of rasagiline carbamates, ACS chemical neuroscience, 4 (2013)</w:t>
      </w:r>
      <w:r>
        <w:rPr>
          <w:rFonts w:ascii="Arial"/>
          <w:spacing w:val="-16"/>
          <w:sz w:val="22"/>
        </w:rPr>
        <w:t> </w:t>
      </w:r>
      <w:r>
        <w:rPr>
          <w:rFonts w:ascii="Arial"/>
          <w:sz w:val="22"/>
        </w:rPr>
        <w:t>1393-1403.</w:t>
      </w:r>
    </w:p>
    <w:p>
      <w:pPr>
        <w:pStyle w:val="BodyText"/>
        <w:spacing w:before="2"/>
        <w:rPr>
          <w:rFonts w:ascii="Arial"/>
          <w:sz w:val="17"/>
        </w:rPr>
      </w:pPr>
    </w:p>
    <w:p>
      <w:pPr>
        <w:spacing w:line="240" w:lineRule="auto" w:before="0"/>
        <w:ind w:left="259" w:right="236" w:firstLine="0"/>
        <w:jc w:val="both"/>
        <w:rPr>
          <w:rFonts w:ascii="Arial"/>
          <w:sz w:val="22"/>
        </w:rPr>
      </w:pPr>
      <w:r>
        <w:rPr>
          <w:rFonts w:ascii="Arial"/>
          <w:sz w:val="22"/>
        </w:rPr>
        <w:t>[48] H. Gonzalez-Diaz, P. Riera-Fernandez, New Markov-autocorrelation indices for re- evaluation of links in chemical and biological complex networks used in metabolomics, parasitology, neurosciences, and epidemiology, Journal of chemical information and modeling, 52 (2012) 3331-3340.</w:t>
      </w:r>
    </w:p>
    <w:p>
      <w:pPr>
        <w:pStyle w:val="BodyText"/>
        <w:spacing w:before="7"/>
        <w:rPr>
          <w:rFonts w:ascii="Arial"/>
          <w:sz w:val="17"/>
        </w:rPr>
      </w:pPr>
    </w:p>
    <w:p>
      <w:pPr>
        <w:spacing w:line="240" w:lineRule="auto" w:before="0"/>
        <w:ind w:left="259" w:right="234" w:firstLine="0"/>
        <w:jc w:val="both"/>
        <w:rPr>
          <w:rFonts w:ascii="Arial"/>
          <w:sz w:val="22"/>
        </w:rPr>
      </w:pPr>
      <w:r>
        <w:rPr>
          <w:rFonts w:ascii="Arial"/>
          <w:sz w:val="22"/>
        </w:rPr>
        <w:t>[49] G. Aguero-Chapin, A. Antunes, F.M. Ubeira, K.C. Chou, H. Gonzalez-Diaz, Comparative study of topological indices of macro/supramolecular RNA complex networks, Journal of chemical information and modeling, 48 (2008) 2265-2277.</w:t>
      </w:r>
    </w:p>
    <w:p>
      <w:pPr>
        <w:pStyle w:val="BodyText"/>
        <w:spacing w:before="8"/>
        <w:rPr>
          <w:rFonts w:ascii="Arial"/>
          <w:sz w:val="17"/>
        </w:rPr>
      </w:pPr>
    </w:p>
    <w:p>
      <w:pPr>
        <w:spacing w:line="240" w:lineRule="auto" w:before="0"/>
        <w:ind w:left="259" w:right="231" w:firstLine="0"/>
        <w:jc w:val="both"/>
        <w:rPr>
          <w:rFonts w:ascii="Arial"/>
          <w:sz w:val="22"/>
        </w:rPr>
      </w:pPr>
      <w:r>
        <w:rPr>
          <w:rFonts w:ascii="Arial"/>
          <w:sz w:val="22"/>
        </w:rPr>
        <w:t>[50] G. Aguero-Chapin, H. Gonzalez-Diaz, G. de la Riva, E. Rodriguez, A. Sanchez- Rodriguez, G. Podda, R.I. Vazquez-Padron, MMM-QSAR recognition of ribonucleases without alignment: comparison with an HMM model and isolation from Schizosaccharomyces pombe, prediction, and experimental assay of a new sequence, Journal of chemical information and modeling, 48 (2008) 434-448.</w:t>
      </w:r>
    </w:p>
    <w:p>
      <w:pPr>
        <w:pStyle w:val="BodyText"/>
        <w:spacing w:before="7"/>
        <w:rPr>
          <w:rFonts w:ascii="Arial"/>
          <w:sz w:val="17"/>
        </w:rPr>
      </w:pPr>
    </w:p>
    <w:p>
      <w:pPr>
        <w:spacing w:line="240" w:lineRule="auto" w:before="0"/>
        <w:ind w:left="259" w:right="231" w:firstLine="0"/>
        <w:jc w:val="both"/>
        <w:rPr>
          <w:rFonts w:ascii="Arial"/>
          <w:sz w:val="22"/>
        </w:rPr>
      </w:pPr>
      <w:r>
        <w:rPr>
          <w:rFonts w:ascii="Arial"/>
          <w:sz w:val="22"/>
        </w:rPr>
        <w:t>[51] A. Speck-Planche, V.V. Kleandrova, F. Luan, M.N. Cordeiro, Chemoinformatics in anti-cancer chemotherapy: multi-target QSAR model for the in silico discovery of anti- breast cancer agents, Eur. J. Pharm. Sci., 47 (2012) 273-279.</w:t>
      </w:r>
    </w:p>
    <w:p>
      <w:pPr>
        <w:pStyle w:val="BodyText"/>
        <w:spacing w:before="7"/>
        <w:rPr>
          <w:rFonts w:ascii="Arial"/>
          <w:sz w:val="17"/>
        </w:rPr>
      </w:pPr>
    </w:p>
    <w:p>
      <w:pPr>
        <w:spacing w:line="240" w:lineRule="auto" w:before="0"/>
        <w:ind w:left="259" w:right="235" w:firstLine="0"/>
        <w:jc w:val="both"/>
        <w:rPr>
          <w:rFonts w:ascii="Arial"/>
          <w:sz w:val="22"/>
        </w:rPr>
      </w:pPr>
      <w:r>
        <w:rPr>
          <w:rFonts w:ascii="Arial"/>
          <w:sz w:val="22"/>
        </w:rPr>
        <w:t>[52] A. Speck-Planche, V.V. Kleandrova, F. Luan, M.N. Cordeiro, Unified multi-target approach for the rational in silico design of anti-bladder cancer agents, Anticancer Agents Med Chem, 13 (2013) 791-800.</w:t>
      </w:r>
    </w:p>
    <w:p>
      <w:pPr>
        <w:spacing w:after="0" w:line="240" w:lineRule="auto"/>
        <w:jc w:val="both"/>
        <w:rPr>
          <w:rFonts w:ascii="Arial"/>
          <w:sz w:val="22"/>
        </w:rPr>
        <w:sectPr>
          <w:pgSz w:w="12240" w:h="15840"/>
          <w:pgMar w:header="684" w:footer="1184" w:top="1380" w:bottom="1380" w:left="1440" w:right="1460"/>
        </w:sectPr>
      </w:pPr>
    </w:p>
    <w:p>
      <w:pPr>
        <w:pStyle w:val="BodyText"/>
        <w:spacing w:before="2"/>
        <w:rPr>
          <w:rFonts w:ascii="Arial"/>
          <w:sz w:val="15"/>
        </w:rPr>
      </w:pPr>
    </w:p>
    <w:p>
      <w:pPr>
        <w:spacing w:line="240" w:lineRule="auto" w:before="72"/>
        <w:ind w:left="259" w:right="231" w:firstLine="0"/>
        <w:jc w:val="both"/>
        <w:rPr>
          <w:rFonts w:ascii="Arial"/>
          <w:sz w:val="22"/>
        </w:rPr>
      </w:pPr>
      <w:r>
        <w:rPr>
          <w:rFonts w:ascii="Arial"/>
          <w:sz w:val="22"/>
        </w:rPr>
        <w:t>[53] A. Speck-Planche, V.V. Kleandrova, M.N. Cordeiro, New insights toward the discovery of antibacterial agents: multi-tasking QSBER model for the simultaneous prediction of anti- tuberculosis activity and toxicological profiles of drugs, Eur. J. Pharm. Sci., 48 (2013) 812 - 818.</w:t>
      </w:r>
    </w:p>
    <w:p>
      <w:pPr>
        <w:pStyle w:val="BodyText"/>
        <w:spacing w:before="7"/>
        <w:rPr>
          <w:rFonts w:ascii="Arial"/>
          <w:sz w:val="17"/>
        </w:rPr>
      </w:pPr>
    </w:p>
    <w:p>
      <w:pPr>
        <w:spacing w:line="240" w:lineRule="auto" w:before="0"/>
        <w:ind w:left="259" w:right="235" w:firstLine="0"/>
        <w:jc w:val="both"/>
        <w:rPr>
          <w:rFonts w:ascii="Arial"/>
          <w:sz w:val="22"/>
        </w:rPr>
      </w:pPr>
      <w:r>
        <w:rPr>
          <w:rFonts w:ascii="Arial"/>
          <w:sz w:val="22"/>
        </w:rPr>
        <w:t>[54] A. Speck-Planche, V.V. Kleandrova, F. Luan, M.N. Cordeiro, Multi-target inhibitors for proteins associated with Alzheimer: in silico discovery using fragment-based descriptors, Curr Alzheimer Res, 10 (2013) 117-124.</w:t>
      </w:r>
    </w:p>
    <w:p>
      <w:pPr>
        <w:spacing w:after="0" w:line="240" w:lineRule="auto"/>
        <w:jc w:val="both"/>
        <w:rPr>
          <w:rFonts w:ascii="Arial"/>
          <w:sz w:val="22"/>
        </w:rPr>
        <w:sectPr>
          <w:pgSz w:w="12240" w:h="15840"/>
          <w:pgMar w:header="684" w:footer="1184" w:top="1380" w:bottom="1380" w:left="1440" w:right="1460"/>
        </w:sectPr>
      </w:pPr>
    </w:p>
    <w:p>
      <w:pPr>
        <w:pStyle w:val="BodyText"/>
        <w:rPr>
          <w:rFonts w:ascii="Arial"/>
          <w:sz w:val="20"/>
        </w:rPr>
      </w:pPr>
    </w:p>
    <w:p>
      <w:pPr>
        <w:pStyle w:val="BodyText"/>
        <w:rPr>
          <w:rFonts w:ascii="Arial"/>
          <w:sz w:val="20"/>
        </w:rPr>
      </w:pPr>
    </w:p>
    <w:p>
      <w:pPr>
        <w:pStyle w:val="BodyText"/>
        <w:spacing w:before="8"/>
        <w:rPr>
          <w:rFonts w:ascii="Arial"/>
          <w:sz w:val="15"/>
        </w:rPr>
      </w:pPr>
    </w:p>
    <w:p>
      <w:pPr>
        <w:spacing w:before="69"/>
        <w:ind w:left="12" w:right="0" w:firstLine="0"/>
        <w:jc w:val="center"/>
        <w:rPr>
          <w:rFonts w:ascii="Times New Roman"/>
          <w:b/>
          <w:sz w:val="24"/>
        </w:rPr>
      </w:pPr>
      <w:r>
        <w:rPr>
          <w:rFonts w:ascii="Times New Roman"/>
          <w:b/>
          <w:sz w:val="24"/>
        </w:rPr>
        <w:t>FIGURES CAPTIONS</w:t>
      </w:r>
    </w:p>
    <w:p>
      <w:pPr>
        <w:pStyle w:val="BodyText"/>
        <w:spacing w:before="10"/>
        <w:rPr>
          <w:rFonts w:ascii="Times New Roman"/>
          <w:b/>
          <w:sz w:val="20"/>
        </w:rPr>
      </w:pPr>
      <w:r>
        <w:rPr/>
        <w:drawing>
          <wp:anchor distT="0" distB="0" distL="0" distR="0" allowOverlap="1" layoutInCell="1" locked="0" behindDoc="0" simplePos="0" relativeHeight="4792">
            <wp:simplePos x="0" y="0"/>
            <wp:positionH relativeFrom="page">
              <wp:posOffset>1078864</wp:posOffset>
            </wp:positionH>
            <wp:positionV relativeFrom="paragraph">
              <wp:posOffset>177219</wp:posOffset>
            </wp:positionV>
            <wp:extent cx="5617845" cy="3078479"/>
            <wp:effectExtent l="0" t="0" r="0" b="0"/>
            <wp:wrapTopAndBottom/>
            <wp:docPr id="151" name="image93.jpeg" descr=""/>
            <wp:cNvGraphicFramePr>
              <a:graphicFrameLocks noChangeAspect="1"/>
            </wp:cNvGraphicFramePr>
            <a:graphic>
              <a:graphicData uri="http://schemas.openxmlformats.org/drawingml/2006/picture">
                <pic:pic>
                  <pic:nvPicPr>
                    <pic:cNvPr id="152" name="image93.jpeg"/>
                    <pic:cNvPicPr/>
                  </pic:nvPicPr>
                  <pic:blipFill>
                    <a:blip r:embed="rId175" cstate="print"/>
                    <a:stretch>
                      <a:fillRect/>
                    </a:stretch>
                  </pic:blipFill>
                  <pic:spPr>
                    <a:xfrm>
                      <a:off x="0" y="0"/>
                      <a:ext cx="5617845" cy="3078479"/>
                    </a:xfrm>
                    <a:prstGeom prst="rect">
                      <a:avLst/>
                    </a:prstGeom>
                  </pic:spPr>
                </pic:pic>
              </a:graphicData>
            </a:graphic>
          </wp:anchor>
        </w:drawing>
      </w:r>
    </w:p>
    <w:p>
      <w:pPr>
        <w:pStyle w:val="BodyText"/>
        <w:ind w:left="9"/>
        <w:jc w:val="center"/>
        <w:rPr>
          <w:rFonts w:ascii="Times New Roman"/>
        </w:rPr>
      </w:pPr>
      <w:r>
        <w:rPr>
          <w:rFonts w:ascii="Times New Roman"/>
          <w:b/>
        </w:rPr>
        <w:t>Figure 1. </w:t>
      </w:r>
      <w:r>
        <w:rPr>
          <w:rFonts w:ascii="Times New Roman"/>
        </w:rPr>
        <w:t>Illustration of the general workflow for experimental part</w:t>
      </w:r>
    </w:p>
    <w:p>
      <w:pPr>
        <w:pStyle w:val="BodyText"/>
        <w:rPr>
          <w:rFonts w:ascii="Times New Roman"/>
          <w:sz w:val="20"/>
        </w:rPr>
      </w:pPr>
    </w:p>
    <w:p>
      <w:pPr>
        <w:pStyle w:val="BodyText"/>
        <w:spacing w:before="5"/>
        <w:rPr>
          <w:rFonts w:ascii="Times New Roman"/>
        </w:rPr>
      </w:pPr>
      <w:r>
        <w:rPr/>
        <w:drawing>
          <wp:anchor distT="0" distB="0" distL="0" distR="0" allowOverlap="1" layoutInCell="1" locked="0" behindDoc="0" simplePos="0" relativeHeight="4816">
            <wp:simplePos x="0" y="0"/>
            <wp:positionH relativeFrom="page">
              <wp:posOffset>1078864</wp:posOffset>
            </wp:positionH>
            <wp:positionV relativeFrom="paragraph">
              <wp:posOffset>203775</wp:posOffset>
            </wp:positionV>
            <wp:extent cx="5617845" cy="3276600"/>
            <wp:effectExtent l="0" t="0" r="0" b="0"/>
            <wp:wrapTopAndBottom/>
            <wp:docPr id="153" name="image94.jpeg" descr=""/>
            <wp:cNvGraphicFramePr>
              <a:graphicFrameLocks noChangeAspect="1"/>
            </wp:cNvGraphicFramePr>
            <a:graphic>
              <a:graphicData uri="http://schemas.openxmlformats.org/drawingml/2006/picture">
                <pic:pic>
                  <pic:nvPicPr>
                    <pic:cNvPr id="154" name="image94.jpeg"/>
                    <pic:cNvPicPr/>
                  </pic:nvPicPr>
                  <pic:blipFill>
                    <a:blip r:embed="rId176" cstate="print"/>
                    <a:stretch>
                      <a:fillRect/>
                    </a:stretch>
                  </pic:blipFill>
                  <pic:spPr>
                    <a:xfrm>
                      <a:off x="0" y="0"/>
                      <a:ext cx="5617845" cy="3276600"/>
                    </a:xfrm>
                    <a:prstGeom prst="rect">
                      <a:avLst/>
                    </a:prstGeom>
                  </pic:spPr>
                </pic:pic>
              </a:graphicData>
            </a:graphic>
          </wp:anchor>
        </w:drawing>
      </w:r>
    </w:p>
    <w:p>
      <w:pPr>
        <w:pStyle w:val="BodyText"/>
        <w:spacing w:before="4"/>
        <w:rPr>
          <w:rFonts w:ascii="Times New Roman"/>
          <w:sz w:val="7"/>
        </w:rPr>
      </w:pPr>
    </w:p>
    <w:p>
      <w:pPr>
        <w:pStyle w:val="BodyText"/>
        <w:spacing w:before="69"/>
        <w:ind w:left="725"/>
        <w:rPr>
          <w:rFonts w:ascii="Times New Roman"/>
        </w:rPr>
      </w:pPr>
      <w:r>
        <w:rPr>
          <w:rFonts w:ascii="Times New Roman"/>
          <w:b/>
        </w:rPr>
        <w:t>Figure 2. </w:t>
      </w:r>
      <w:r>
        <w:rPr>
          <w:rFonts w:ascii="Times New Roman"/>
        </w:rPr>
        <w:t>Illustration of the general workflow for experimental + theoretical study</w:t>
      </w:r>
    </w:p>
    <w:p>
      <w:pPr>
        <w:spacing w:after="0"/>
        <w:rPr>
          <w:rFonts w:ascii="Times New Roman"/>
        </w:rPr>
        <w:sectPr>
          <w:pgSz w:w="12240" w:h="15840"/>
          <w:pgMar w:header="684" w:footer="1184" w:top="1380" w:bottom="1380" w:left="1440" w:right="1460"/>
        </w:sectPr>
      </w:pPr>
    </w:p>
    <w:p>
      <w:pPr>
        <w:pStyle w:val="BodyText"/>
        <w:spacing w:before="10"/>
        <w:rPr>
          <w:rFonts w:ascii="Times New Roman"/>
          <w:sz w:val="21"/>
        </w:rPr>
      </w:pPr>
    </w:p>
    <w:p>
      <w:pPr>
        <w:pStyle w:val="BodyText"/>
        <w:ind w:left="259"/>
        <w:rPr>
          <w:rFonts w:ascii="Times New Roman"/>
          <w:sz w:val="20"/>
        </w:rPr>
      </w:pPr>
      <w:r>
        <w:rPr>
          <w:rFonts w:ascii="Times New Roman"/>
          <w:sz w:val="20"/>
        </w:rPr>
        <w:drawing>
          <wp:inline distT="0" distB="0" distL="0" distR="0">
            <wp:extent cx="5615153" cy="2950464"/>
            <wp:effectExtent l="0" t="0" r="0" b="0"/>
            <wp:docPr id="155" name="image95.png" descr=""/>
            <wp:cNvGraphicFramePr>
              <a:graphicFrameLocks noChangeAspect="1"/>
            </wp:cNvGraphicFramePr>
            <a:graphic>
              <a:graphicData uri="http://schemas.openxmlformats.org/drawingml/2006/picture">
                <pic:pic>
                  <pic:nvPicPr>
                    <pic:cNvPr id="156" name="image95.png"/>
                    <pic:cNvPicPr/>
                  </pic:nvPicPr>
                  <pic:blipFill>
                    <a:blip r:embed="rId177" cstate="print"/>
                    <a:stretch>
                      <a:fillRect/>
                    </a:stretch>
                  </pic:blipFill>
                  <pic:spPr>
                    <a:xfrm>
                      <a:off x="0" y="0"/>
                      <a:ext cx="5615153" cy="2950464"/>
                    </a:xfrm>
                    <a:prstGeom prst="rect">
                      <a:avLst/>
                    </a:prstGeom>
                  </pic:spPr>
                </pic:pic>
              </a:graphicData>
            </a:graphic>
          </wp:inline>
        </w:drawing>
      </w:r>
      <w:r>
        <w:rPr>
          <w:rFonts w:ascii="Times New Roman"/>
          <w:sz w:val="20"/>
        </w:rPr>
      </w:r>
    </w:p>
    <w:p>
      <w:pPr>
        <w:pStyle w:val="BodyText"/>
        <w:spacing w:before="3"/>
        <w:rPr>
          <w:rFonts w:ascii="Times New Roman"/>
          <w:sz w:val="9"/>
        </w:rPr>
      </w:pPr>
    </w:p>
    <w:p>
      <w:pPr>
        <w:pStyle w:val="BodyText"/>
        <w:spacing w:before="69"/>
        <w:ind w:left="12"/>
        <w:jc w:val="center"/>
        <w:rPr>
          <w:rFonts w:ascii="Times New Roman"/>
        </w:rPr>
      </w:pPr>
      <w:r>
        <w:rPr>
          <w:rFonts w:ascii="Times New Roman"/>
          <w:b/>
        </w:rPr>
        <w:t>TOC</w:t>
      </w:r>
      <w:r>
        <w:rPr>
          <w:rFonts w:ascii="Times New Roman"/>
        </w:rPr>
        <w:t>. Graphical abstract</w:t>
      </w:r>
    </w:p>
    <w:p>
      <w:pPr>
        <w:pStyle w:val="BodyText"/>
        <w:rPr>
          <w:rFonts w:ascii="Times New Roman"/>
        </w:rPr>
      </w:pPr>
    </w:p>
    <w:p>
      <w:pPr>
        <w:pStyle w:val="BodyText"/>
        <w:spacing w:line="242" w:lineRule="auto" w:before="167"/>
        <w:ind w:left="479" w:right="457"/>
        <w:jc w:val="center"/>
        <w:rPr>
          <w:rFonts w:ascii="Times New Roman"/>
        </w:rPr>
      </w:pPr>
      <w:r>
        <w:rPr>
          <w:rFonts w:ascii="Times New Roman"/>
          <w:b/>
        </w:rPr>
        <w:t>Table 1. </w:t>
      </w:r>
      <w:r>
        <w:rPr>
          <w:rFonts w:ascii="Times New Roman"/>
        </w:rPr>
        <w:t>Eigenvalues of Internal Peak Area, IPA (%) </w:t>
      </w:r>
      <w:r>
        <w:rPr>
          <w:rFonts w:ascii="Times New Roman"/>
          <w:i/>
          <w:position w:val="9"/>
          <w:sz w:val="16"/>
        </w:rPr>
        <w:t>a</w:t>
      </w:r>
      <w:r>
        <w:rPr>
          <w:rFonts w:ascii="Times New Roman"/>
        </w:rPr>
        <w:t>, of LCFA profiles from ruminal mixed microbes by acid- and/or base- catalyzed methylation</w:t>
      </w:r>
    </w:p>
    <w:p>
      <w:pPr>
        <w:pStyle w:val="BodyText"/>
        <w:rPr>
          <w:rFonts w:ascii="Times New Roman"/>
          <w:sz w:val="20"/>
        </w:rPr>
      </w:pPr>
    </w:p>
    <w:p>
      <w:pPr>
        <w:pStyle w:val="BodyText"/>
        <w:spacing w:before="6"/>
        <w:rPr>
          <w:rFonts w:ascii="Times New Roman"/>
          <w:sz w:val="22"/>
        </w:rPr>
      </w:pPr>
    </w:p>
    <w:p>
      <w:pPr>
        <w:spacing w:before="76"/>
        <w:ind w:left="240" w:right="993" w:firstLine="0"/>
        <w:jc w:val="right"/>
        <w:rPr>
          <w:rFonts w:ascii="Times New Roman"/>
          <w:sz w:val="20"/>
        </w:rPr>
      </w:pPr>
      <w:r>
        <w:rPr/>
        <w:pict>
          <v:shape style="position:absolute;margin-left:84.744003pt;margin-top:-23.584076pt;width:441.8pt;height:322.9pt;mso-position-horizontal-relative:page;mso-position-vertical-relative:paragraph;z-index:484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165"/>
                    <w:gridCol w:w="1954"/>
                    <w:gridCol w:w="1606"/>
                    <w:gridCol w:w="2111"/>
                  </w:tblGrid>
                  <w:tr>
                    <w:trPr>
                      <w:trHeight w:val="322" w:hRule="exact"/>
                    </w:trPr>
                    <w:tc>
                      <w:tcPr>
                        <w:tcW w:w="3165" w:type="dxa"/>
                        <w:tcBorders>
                          <w:left w:val="nil"/>
                          <w:bottom w:val="nil"/>
                          <w:right w:val="single" w:sz="4" w:space="0" w:color="000000"/>
                        </w:tcBorders>
                      </w:tcPr>
                      <w:p>
                        <w:pPr/>
                      </w:p>
                    </w:tc>
                    <w:tc>
                      <w:tcPr>
                        <w:tcW w:w="3560" w:type="dxa"/>
                        <w:gridSpan w:val="2"/>
                        <w:tcBorders>
                          <w:left w:val="single" w:sz="4" w:space="0" w:color="000000"/>
                          <w:bottom w:val="single" w:sz="4" w:space="0" w:color="000000"/>
                          <w:right w:val="nil"/>
                        </w:tcBorders>
                      </w:tcPr>
                      <w:p>
                        <w:pPr>
                          <w:pStyle w:val="TableParagraph"/>
                          <w:spacing w:before="29"/>
                          <w:ind w:left="1598" w:right="-7"/>
                          <w:rPr>
                            <w:sz w:val="20"/>
                          </w:rPr>
                        </w:pPr>
                        <w:r>
                          <w:rPr>
                            <w:sz w:val="20"/>
                          </w:rPr>
                          <w:t>Different methylation m</w:t>
                        </w:r>
                      </w:p>
                    </w:tc>
                    <w:tc>
                      <w:tcPr>
                        <w:tcW w:w="2111" w:type="dxa"/>
                        <w:tcBorders>
                          <w:left w:val="nil"/>
                          <w:bottom w:val="single" w:sz="4" w:space="0" w:color="000000"/>
                          <w:right w:val="nil"/>
                        </w:tcBorders>
                      </w:tcPr>
                      <w:p>
                        <w:pPr>
                          <w:pStyle w:val="TableParagraph"/>
                          <w:spacing w:before="29"/>
                          <w:ind w:left="-10"/>
                          <w:rPr>
                            <w:sz w:val="20"/>
                          </w:rPr>
                        </w:pPr>
                        <w:r>
                          <w:rPr>
                            <w:sz w:val="20"/>
                          </w:rPr>
                          <w:t>ethods</w:t>
                        </w:r>
                      </w:p>
                    </w:tc>
                  </w:tr>
                  <w:tr>
                    <w:trPr>
                      <w:trHeight w:val="470" w:hRule="exact"/>
                    </w:trPr>
                    <w:tc>
                      <w:tcPr>
                        <w:tcW w:w="3165" w:type="dxa"/>
                        <w:tcBorders>
                          <w:top w:val="nil"/>
                          <w:left w:val="nil"/>
                          <w:bottom w:val="single" w:sz="4" w:space="0" w:color="000000"/>
                          <w:right w:val="single" w:sz="4" w:space="0" w:color="000000"/>
                        </w:tcBorders>
                      </w:tcPr>
                      <w:p>
                        <w:pPr>
                          <w:pStyle w:val="TableParagraph"/>
                          <w:spacing w:line="187" w:lineRule="exact"/>
                          <w:ind w:left="125"/>
                          <w:rPr>
                            <w:sz w:val="20"/>
                          </w:rPr>
                        </w:pPr>
                        <w:r>
                          <w:rPr>
                            <w:sz w:val="20"/>
                          </w:rPr>
                          <w:t>Items</w:t>
                        </w:r>
                      </w:p>
                    </w:tc>
                    <w:tc>
                      <w:tcPr>
                        <w:tcW w:w="1954" w:type="dxa"/>
                        <w:tcBorders>
                          <w:top w:val="single" w:sz="4" w:space="0" w:color="000000"/>
                          <w:left w:val="single" w:sz="4" w:space="0" w:color="000000"/>
                          <w:bottom w:val="single" w:sz="4" w:space="0" w:color="000000"/>
                          <w:right w:val="nil"/>
                        </w:tcBorders>
                      </w:tcPr>
                      <w:p>
                        <w:pPr>
                          <w:pStyle w:val="TableParagraph"/>
                          <w:spacing w:before="106"/>
                          <w:ind w:left="261" w:right="254"/>
                          <w:jc w:val="center"/>
                          <w:rPr>
                            <w:sz w:val="20"/>
                          </w:rPr>
                        </w:pPr>
                        <w:r>
                          <w:rPr>
                            <w:sz w:val="20"/>
                          </w:rPr>
                          <w:t>Base methylation</w:t>
                        </w:r>
                      </w:p>
                    </w:tc>
                    <w:tc>
                      <w:tcPr>
                        <w:tcW w:w="3717" w:type="dxa"/>
                        <w:gridSpan w:val="2"/>
                        <w:tcBorders>
                          <w:top w:val="single" w:sz="4" w:space="0" w:color="000000"/>
                          <w:left w:val="nil"/>
                          <w:bottom w:val="single" w:sz="4" w:space="0" w:color="000000"/>
                          <w:right w:val="nil"/>
                        </w:tcBorders>
                      </w:tcPr>
                      <w:p>
                        <w:pPr>
                          <w:pStyle w:val="TableParagraph"/>
                          <w:tabs>
                            <w:tab w:pos="2016" w:val="left" w:leader="none"/>
                          </w:tabs>
                          <w:spacing w:line="336" w:lineRule="exact"/>
                          <w:ind w:left="269"/>
                          <w:rPr>
                            <w:sz w:val="20"/>
                          </w:rPr>
                        </w:pPr>
                        <w:r>
                          <w:rPr>
                            <w:sz w:val="20"/>
                          </w:rPr>
                          <w:t>Acid</w:t>
                        </w:r>
                        <w:r>
                          <w:rPr>
                            <w:spacing w:val="-1"/>
                            <w:sz w:val="20"/>
                          </w:rPr>
                          <w:t> </w:t>
                        </w:r>
                        <w:r>
                          <w:rPr>
                            <w:sz w:val="20"/>
                          </w:rPr>
                          <w:t>methylation</w:t>
                          <w:tab/>
                        </w:r>
                        <w:r>
                          <w:rPr>
                            <w:position w:val="12"/>
                            <w:sz w:val="20"/>
                          </w:rPr>
                          <w:t>Acid- and</w:t>
                        </w:r>
                        <w:r>
                          <w:rPr>
                            <w:spacing w:val="-3"/>
                            <w:position w:val="12"/>
                            <w:sz w:val="20"/>
                          </w:rPr>
                          <w:t> </w:t>
                        </w:r>
                        <w:r>
                          <w:rPr>
                            <w:position w:val="12"/>
                            <w:sz w:val="20"/>
                          </w:rPr>
                          <w:t>base-</w:t>
                        </w:r>
                      </w:p>
                    </w:tc>
                  </w:tr>
                  <w:tr>
                    <w:trPr>
                      <w:trHeight w:val="299" w:hRule="exact"/>
                    </w:trPr>
                    <w:tc>
                      <w:tcPr>
                        <w:tcW w:w="3165" w:type="dxa"/>
                        <w:tcBorders>
                          <w:top w:val="single" w:sz="4" w:space="0" w:color="000000"/>
                          <w:left w:val="nil"/>
                          <w:bottom w:val="nil"/>
                          <w:right w:val="nil"/>
                        </w:tcBorders>
                      </w:tcPr>
                      <w:p>
                        <w:pPr>
                          <w:pStyle w:val="TableParagraph"/>
                          <w:spacing w:before="53"/>
                          <w:ind w:left="125"/>
                          <w:rPr>
                            <w:sz w:val="20"/>
                          </w:rPr>
                        </w:pPr>
                        <w:r>
                          <w:rPr>
                            <w:sz w:val="20"/>
                          </w:rPr>
                          <w:t>C12:0</w:t>
                        </w:r>
                      </w:p>
                    </w:tc>
                    <w:tc>
                      <w:tcPr>
                        <w:tcW w:w="1954" w:type="dxa"/>
                        <w:tcBorders>
                          <w:top w:val="single" w:sz="4" w:space="0" w:color="000000"/>
                          <w:left w:val="nil"/>
                          <w:bottom w:val="nil"/>
                          <w:right w:val="nil"/>
                        </w:tcBorders>
                      </w:tcPr>
                      <w:p>
                        <w:pPr>
                          <w:pStyle w:val="TableParagraph"/>
                          <w:spacing w:before="53"/>
                          <w:ind w:left="741" w:right="717"/>
                          <w:jc w:val="center"/>
                          <w:rPr>
                            <w:sz w:val="20"/>
                          </w:rPr>
                        </w:pPr>
                        <w:r>
                          <w:rPr>
                            <w:sz w:val="20"/>
                          </w:rPr>
                          <w:t>0.55</w:t>
                        </w:r>
                      </w:p>
                    </w:tc>
                    <w:tc>
                      <w:tcPr>
                        <w:tcW w:w="1606" w:type="dxa"/>
                        <w:tcBorders>
                          <w:top w:val="single" w:sz="4" w:space="0" w:color="000000"/>
                          <w:left w:val="nil"/>
                          <w:bottom w:val="nil"/>
                          <w:right w:val="nil"/>
                        </w:tcBorders>
                      </w:tcPr>
                      <w:p>
                        <w:pPr>
                          <w:pStyle w:val="TableParagraph"/>
                          <w:spacing w:before="53"/>
                          <w:ind w:right="461"/>
                          <w:jc w:val="right"/>
                          <w:rPr>
                            <w:sz w:val="20"/>
                          </w:rPr>
                        </w:pPr>
                        <w:r>
                          <w:rPr>
                            <w:sz w:val="20"/>
                          </w:rPr>
                          <w:t>0.52</w:t>
                        </w:r>
                      </w:p>
                    </w:tc>
                    <w:tc>
                      <w:tcPr>
                        <w:tcW w:w="2111" w:type="dxa"/>
                        <w:tcBorders>
                          <w:top w:val="single" w:sz="4" w:space="0" w:color="000000"/>
                          <w:left w:val="nil"/>
                          <w:bottom w:val="nil"/>
                          <w:right w:val="nil"/>
                        </w:tcBorders>
                      </w:tcPr>
                      <w:p>
                        <w:pPr>
                          <w:pStyle w:val="TableParagraph"/>
                          <w:spacing w:before="53"/>
                          <w:ind w:right="723"/>
                          <w:jc w:val="right"/>
                          <w:rPr>
                            <w:sz w:val="20"/>
                          </w:rPr>
                        </w:pPr>
                        <w:r>
                          <w:rPr>
                            <w:sz w:val="20"/>
                          </w:rPr>
                          <w:t>1.87</w:t>
                        </w:r>
                      </w:p>
                    </w:tc>
                  </w:tr>
                  <w:tr>
                    <w:trPr>
                      <w:trHeight w:val="233" w:hRule="exact"/>
                    </w:trPr>
                    <w:tc>
                      <w:tcPr>
                        <w:tcW w:w="3165" w:type="dxa"/>
                        <w:tcBorders>
                          <w:top w:val="nil"/>
                          <w:left w:val="nil"/>
                          <w:bottom w:val="nil"/>
                          <w:right w:val="nil"/>
                        </w:tcBorders>
                      </w:tcPr>
                      <w:p>
                        <w:pPr>
                          <w:pStyle w:val="TableParagraph"/>
                          <w:spacing w:line="220" w:lineRule="exact"/>
                          <w:ind w:left="125"/>
                          <w:rPr>
                            <w:sz w:val="20"/>
                          </w:rPr>
                        </w:pPr>
                        <w:r>
                          <w:rPr>
                            <w:sz w:val="20"/>
                          </w:rPr>
                          <w:t>C14:0</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1.06</w:t>
                        </w:r>
                      </w:p>
                    </w:tc>
                    <w:tc>
                      <w:tcPr>
                        <w:tcW w:w="1606" w:type="dxa"/>
                        <w:tcBorders>
                          <w:top w:val="nil"/>
                          <w:left w:val="nil"/>
                          <w:bottom w:val="nil"/>
                          <w:right w:val="nil"/>
                        </w:tcBorders>
                      </w:tcPr>
                      <w:p>
                        <w:pPr>
                          <w:pStyle w:val="TableParagraph"/>
                          <w:spacing w:line="220" w:lineRule="exact"/>
                          <w:ind w:right="461"/>
                          <w:jc w:val="right"/>
                          <w:rPr>
                            <w:sz w:val="20"/>
                          </w:rPr>
                        </w:pPr>
                        <w:r>
                          <w:rPr>
                            <w:sz w:val="20"/>
                          </w:rPr>
                          <w:t>1.24</w:t>
                        </w:r>
                      </w:p>
                    </w:tc>
                    <w:tc>
                      <w:tcPr>
                        <w:tcW w:w="2111" w:type="dxa"/>
                        <w:tcBorders>
                          <w:top w:val="nil"/>
                          <w:left w:val="nil"/>
                          <w:bottom w:val="nil"/>
                          <w:right w:val="nil"/>
                        </w:tcBorders>
                      </w:tcPr>
                      <w:p>
                        <w:pPr>
                          <w:pStyle w:val="TableParagraph"/>
                          <w:spacing w:line="220" w:lineRule="exact"/>
                          <w:ind w:right="723"/>
                          <w:jc w:val="right"/>
                          <w:rPr>
                            <w:sz w:val="20"/>
                          </w:rPr>
                        </w:pPr>
                        <w:r>
                          <w:rPr>
                            <w:sz w:val="20"/>
                          </w:rPr>
                          <w:t>2.12</w:t>
                        </w:r>
                      </w:p>
                    </w:tc>
                  </w:tr>
                  <w:tr>
                    <w:trPr>
                      <w:trHeight w:val="233" w:hRule="exact"/>
                    </w:trPr>
                    <w:tc>
                      <w:tcPr>
                        <w:tcW w:w="3165" w:type="dxa"/>
                        <w:tcBorders>
                          <w:top w:val="nil"/>
                          <w:left w:val="nil"/>
                          <w:bottom w:val="nil"/>
                          <w:right w:val="nil"/>
                        </w:tcBorders>
                      </w:tcPr>
                      <w:p>
                        <w:pPr>
                          <w:pStyle w:val="TableParagraph"/>
                          <w:spacing w:line="222" w:lineRule="exact"/>
                          <w:ind w:left="125"/>
                          <w:rPr>
                            <w:sz w:val="20"/>
                          </w:rPr>
                        </w:pPr>
                        <w:r>
                          <w:rPr>
                            <w:sz w:val="20"/>
                          </w:rPr>
                          <w:t>C14:1</w:t>
                        </w:r>
                      </w:p>
                    </w:tc>
                    <w:tc>
                      <w:tcPr>
                        <w:tcW w:w="1954" w:type="dxa"/>
                        <w:tcBorders>
                          <w:top w:val="nil"/>
                          <w:left w:val="nil"/>
                          <w:bottom w:val="nil"/>
                          <w:right w:val="nil"/>
                        </w:tcBorders>
                      </w:tcPr>
                      <w:p>
                        <w:pPr>
                          <w:pStyle w:val="TableParagraph"/>
                          <w:spacing w:line="222" w:lineRule="exact"/>
                          <w:ind w:left="741" w:right="717"/>
                          <w:jc w:val="center"/>
                          <w:rPr>
                            <w:sz w:val="20"/>
                          </w:rPr>
                        </w:pPr>
                        <w:r>
                          <w:rPr>
                            <w:sz w:val="20"/>
                          </w:rPr>
                          <w:t>1.95</w:t>
                        </w:r>
                      </w:p>
                    </w:tc>
                    <w:tc>
                      <w:tcPr>
                        <w:tcW w:w="1606" w:type="dxa"/>
                        <w:tcBorders>
                          <w:top w:val="nil"/>
                          <w:left w:val="nil"/>
                          <w:bottom w:val="nil"/>
                          <w:right w:val="nil"/>
                        </w:tcBorders>
                      </w:tcPr>
                      <w:p>
                        <w:pPr>
                          <w:pStyle w:val="TableParagraph"/>
                          <w:spacing w:line="222" w:lineRule="exact"/>
                          <w:ind w:right="461"/>
                          <w:jc w:val="right"/>
                          <w:rPr>
                            <w:sz w:val="20"/>
                          </w:rPr>
                        </w:pPr>
                        <w:r>
                          <w:rPr>
                            <w:sz w:val="20"/>
                          </w:rPr>
                          <w:t>2.31</w:t>
                        </w:r>
                      </w:p>
                    </w:tc>
                    <w:tc>
                      <w:tcPr>
                        <w:tcW w:w="2111" w:type="dxa"/>
                        <w:tcBorders>
                          <w:top w:val="nil"/>
                          <w:left w:val="nil"/>
                          <w:bottom w:val="nil"/>
                          <w:right w:val="nil"/>
                        </w:tcBorders>
                      </w:tcPr>
                      <w:p>
                        <w:pPr>
                          <w:pStyle w:val="TableParagraph"/>
                          <w:spacing w:line="222" w:lineRule="exact"/>
                          <w:ind w:right="723"/>
                          <w:jc w:val="right"/>
                          <w:rPr>
                            <w:sz w:val="20"/>
                          </w:rPr>
                        </w:pPr>
                        <w:r>
                          <w:rPr>
                            <w:sz w:val="20"/>
                          </w:rPr>
                          <w:t>2.38</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C15:0</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1.20</w:t>
                        </w:r>
                      </w:p>
                    </w:tc>
                    <w:tc>
                      <w:tcPr>
                        <w:tcW w:w="1606" w:type="dxa"/>
                        <w:tcBorders>
                          <w:top w:val="nil"/>
                          <w:left w:val="nil"/>
                          <w:bottom w:val="nil"/>
                          <w:right w:val="nil"/>
                        </w:tcBorders>
                      </w:tcPr>
                      <w:p>
                        <w:pPr>
                          <w:pStyle w:val="TableParagraph"/>
                          <w:spacing w:line="220" w:lineRule="exact"/>
                          <w:ind w:right="461"/>
                          <w:jc w:val="right"/>
                          <w:rPr>
                            <w:sz w:val="20"/>
                          </w:rPr>
                        </w:pPr>
                        <w:r>
                          <w:rPr>
                            <w:sz w:val="20"/>
                          </w:rPr>
                          <w:t>1.47</w:t>
                        </w:r>
                      </w:p>
                    </w:tc>
                    <w:tc>
                      <w:tcPr>
                        <w:tcW w:w="2111" w:type="dxa"/>
                        <w:tcBorders>
                          <w:top w:val="nil"/>
                          <w:left w:val="nil"/>
                          <w:bottom w:val="nil"/>
                          <w:right w:val="nil"/>
                        </w:tcBorders>
                      </w:tcPr>
                      <w:p>
                        <w:pPr>
                          <w:pStyle w:val="TableParagraph"/>
                          <w:spacing w:line="220" w:lineRule="exact"/>
                          <w:ind w:right="723"/>
                          <w:jc w:val="right"/>
                          <w:rPr>
                            <w:sz w:val="20"/>
                          </w:rPr>
                        </w:pPr>
                        <w:r>
                          <w:rPr>
                            <w:sz w:val="20"/>
                          </w:rPr>
                          <w:t>1.60</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C15:1</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0.40</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0.53</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0.68</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C16:0</w:t>
                        </w:r>
                      </w:p>
                    </w:tc>
                    <w:tc>
                      <w:tcPr>
                        <w:tcW w:w="1954" w:type="dxa"/>
                        <w:tcBorders>
                          <w:top w:val="nil"/>
                          <w:left w:val="nil"/>
                          <w:bottom w:val="nil"/>
                          <w:right w:val="nil"/>
                        </w:tcBorders>
                      </w:tcPr>
                      <w:p>
                        <w:pPr>
                          <w:pStyle w:val="TableParagraph"/>
                          <w:spacing w:line="220" w:lineRule="exact"/>
                          <w:ind w:left="741" w:right="722"/>
                          <w:jc w:val="center"/>
                          <w:rPr>
                            <w:sz w:val="20"/>
                          </w:rPr>
                        </w:pPr>
                        <w:r>
                          <w:rPr>
                            <w:sz w:val="20"/>
                          </w:rPr>
                          <w:t>17.91</w:t>
                        </w:r>
                      </w:p>
                    </w:tc>
                    <w:tc>
                      <w:tcPr>
                        <w:tcW w:w="1606" w:type="dxa"/>
                        <w:tcBorders>
                          <w:top w:val="nil"/>
                          <w:left w:val="nil"/>
                          <w:bottom w:val="nil"/>
                          <w:right w:val="nil"/>
                        </w:tcBorders>
                      </w:tcPr>
                      <w:p>
                        <w:pPr>
                          <w:pStyle w:val="TableParagraph"/>
                          <w:spacing w:line="220" w:lineRule="exact"/>
                          <w:ind w:right="408"/>
                          <w:jc w:val="right"/>
                          <w:rPr>
                            <w:sz w:val="20"/>
                          </w:rPr>
                        </w:pPr>
                        <w:r>
                          <w:rPr>
                            <w:sz w:val="20"/>
                          </w:rPr>
                          <w:t>18.86</w:t>
                        </w:r>
                      </w:p>
                    </w:tc>
                    <w:tc>
                      <w:tcPr>
                        <w:tcW w:w="2111" w:type="dxa"/>
                        <w:tcBorders>
                          <w:top w:val="nil"/>
                          <w:left w:val="nil"/>
                          <w:bottom w:val="nil"/>
                          <w:right w:val="nil"/>
                        </w:tcBorders>
                      </w:tcPr>
                      <w:p>
                        <w:pPr>
                          <w:pStyle w:val="TableParagraph"/>
                          <w:spacing w:line="220" w:lineRule="exact"/>
                          <w:ind w:right="670"/>
                          <w:jc w:val="right"/>
                          <w:rPr>
                            <w:sz w:val="20"/>
                          </w:rPr>
                        </w:pPr>
                        <w:r>
                          <w:rPr>
                            <w:sz w:val="20"/>
                          </w:rPr>
                          <w:t>19.70</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C16:1</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1.85</w:t>
                        </w:r>
                      </w:p>
                    </w:tc>
                    <w:tc>
                      <w:tcPr>
                        <w:tcW w:w="1606" w:type="dxa"/>
                        <w:tcBorders>
                          <w:top w:val="nil"/>
                          <w:left w:val="nil"/>
                          <w:bottom w:val="nil"/>
                          <w:right w:val="nil"/>
                        </w:tcBorders>
                      </w:tcPr>
                      <w:p>
                        <w:pPr>
                          <w:pStyle w:val="TableParagraph"/>
                          <w:spacing w:line="220" w:lineRule="exact"/>
                          <w:ind w:right="461"/>
                          <w:jc w:val="right"/>
                          <w:rPr>
                            <w:sz w:val="20"/>
                          </w:rPr>
                        </w:pPr>
                        <w:r>
                          <w:rPr>
                            <w:sz w:val="20"/>
                          </w:rPr>
                          <w:t>2.30</w:t>
                        </w:r>
                      </w:p>
                    </w:tc>
                    <w:tc>
                      <w:tcPr>
                        <w:tcW w:w="2111" w:type="dxa"/>
                        <w:tcBorders>
                          <w:top w:val="nil"/>
                          <w:left w:val="nil"/>
                          <w:bottom w:val="nil"/>
                          <w:right w:val="nil"/>
                        </w:tcBorders>
                      </w:tcPr>
                      <w:p>
                        <w:pPr>
                          <w:pStyle w:val="TableParagraph"/>
                          <w:spacing w:line="220" w:lineRule="exact"/>
                          <w:ind w:right="723"/>
                          <w:jc w:val="right"/>
                          <w:rPr>
                            <w:sz w:val="20"/>
                          </w:rPr>
                        </w:pPr>
                        <w:r>
                          <w:rPr>
                            <w:sz w:val="20"/>
                          </w:rPr>
                          <w:t>2.14</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C17:0</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0.99</w:t>
                        </w:r>
                      </w:p>
                    </w:tc>
                    <w:tc>
                      <w:tcPr>
                        <w:tcW w:w="1606" w:type="dxa"/>
                        <w:tcBorders>
                          <w:top w:val="nil"/>
                          <w:left w:val="nil"/>
                          <w:bottom w:val="nil"/>
                          <w:right w:val="nil"/>
                        </w:tcBorders>
                      </w:tcPr>
                      <w:p>
                        <w:pPr>
                          <w:pStyle w:val="TableParagraph"/>
                          <w:spacing w:line="220" w:lineRule="exact"/>
                          <w:ind w:right="461"/>
                          <w:jc w:val="right"/>
                          <w:rPr>
                            <w:sz w:val="20"/>
                          </w:rPr>
                        </w:pPr>
                        <w:r>
                          <w:rPr>
                            <w:sz w:val="20"/>
                          </w:rPr>
                          <w:t>1.39</w:t>
                        </w:r>
                      </w:p>
                    </w:tc>
                    <w:tc>
                      <w:tcPr>
                        <w:tcW w:w="2111" w:type="dxa"/>
                        <w:tcBorders>
                          <w:top w:val="nil"/>
                          <w:left w:val="nil"/>
                          <w:bottom w:val="nil"/>
                          <w:right w:val="nil"/>
                        </w:tcBorders>
                      </w:tcPr>
                      <w:p>
                        <w:pPr>
                          <w:pStyle w:val="TableParagraph"/>
                          <w:spacing w:line="220" w:lineRule="exact"/>
                          <w:ind w:right="723"/>
                          <w:jc w:val="right"/>
                          <w:rPr>
                            <w:sz w:val="20"/>
                          </w:rPr>
                        </w:pPr>
                        <w:r>
                          <w:rPr>
                            <w:sz w:val="20"/>
                          </w:rPr>
                          <w:t>1.49</w:t>
                        </w:r>
                      </w:p>
                    </w:tc>
                  </w:tr>
                  <w:tr>
                    <w:trPr>
                      <w:trHeight w:val="231" w:hRule="exact"/>
                    </w:trPr>
                    <w:tc>
                      <w:tcPr>
                        <w:tcW w:w="3165" w:type="dxa"/>
                        <w:tcBorders>
                          <w:top w:val="nil"/>
                          <w:left w:val="nil"/>
                          <w:bottom w:val="nil"/>
                          <w:right w:val="nil"/>
                        </w:tcBorders>
                      </w:tcPr>
                      <w:p>
                        <w:pPr>
                          <w:pStyle w:val="TableParagraph"/>
                          <w:spacing w:line="220" w:lineRule="exact"/>
                          <w:ind w:left="125"/>
                          <w:rPr>
                            <w:sz w:val="20"/>
                          </w:rPr>
                        </w:pPr>
                        <w:r>
                          <w:rPr>
                            <w:sz w:val="20"/>
                          </w:rPr>
                          <w:t>C17:1</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0.00</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0.17</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0.53</w:t>
                        </w:r>
                      </w:p>
                    </w:tc>
                  </w:tr>
                  <w:tr>
                    <w:trPr>
                      <w:trHeight w:val="233" w:hRule="exact"/>
                    </w:trPr>
                    <w:tc>
                      <w:tcPr>
                        <w:tcW w:w="3165" w:type="dxa"/>
                        <w:tcBorders>
                          <w:top w:val="nil"/>
                          <w:left w:val="nil"/>
                          <w:bottom w:val="nil"/>
                          <w:right w:val="nil"/>
                        </w:tcBorders>
                      </w:tcPr>
                      <w:p>
                        <w:pPr>
                          <w:pStyle w:val="TableParagraph"/>
                          <w:spacing w:line="220" w:lineRule="exact"/>
                          <w:ind w:left="125"/>
                          <w:rPr>
                            <w:sz w:val="20"/>
                          </w:rPr>
                        </w:pPr>
                        <w:r>
                          <w:rPr>
                            <w:sz w:val="20"/>
                          </w:rPr>
                          <w:t>C18:0</w:t>
                        </w:r>
                      </w:p>
                    </w:tc>
                    <w:tc>
                      <w:tcPr>
                        <w:tcW w:w="1954" w:type="dxa"/>
                        <w:tcBorders>
                          <w:top w:val="nil"/>
                          <w:left w:val="nil"/>
                          <w:bottom w:val="nil"/>
                          <w:right w:val="nil"/>
                        </w:tcBorders>
                      </w:tcPr>
                      <w:p>
                        <w:pPr>
                          <w:pStyle w:val="TableParagraph"/>
                          <w:spacing w:line="220" w:lineRule="exact"/>
                          <w:ind w:left="741" w:right="722"/>
                          <w:jc w:val="center"/>
                          <w:rPr>
                            <w:sz w:val="20"/>
                          </w:rPr>
                        </w:pPr>
                        <w:r>
                          <w:rPr>
                            <w:sz w:val="20"/>
                          </w:rPr>
                          <w:t>49.76</w:t>
                        </w:r>
                      </w:p>
                    </w:tc>
                    <w:tc>
                      <w:tcPr>
                        <w:tcW w:w="1606" w:type="dxa"/>
                        <w:tcBorders>
                          <w:top w:val="nil"/>
                          <w:left w:val="nil"/>
                          <w:bottom w:val="nil"/>
                          <w:right w:val="nil"/>
                        </w:tcBorders>
                      </w:tcPr>
                      <w:p>
                        <w:pPr>
                          <w:pStyle w:val="TableParagraph"/>
                          <w:spacing w:line="220" w:lineRule="exact"/>
                          <w:ind w:right="408"/>
                          <w:jc w:val="right"/>
                          <w:rPr>
                            <w:sz w:val="20"/>
                          </w:rPr>
                        </w:pPr>
                        <w:r>
                          <w:rPr>
                            <w:sz w:val="20"/>
                          </w:rPr>
                          <w:t>49.17</w:t>
                        </w:r>
                      </w:p>
                    </w:tc>
                    <w:tc>
                      <w:tcPr>
                        <w:tcW w:w="2111" w:type="dxa"/>
                        <w:tcBorders>
                          <w:top w:val="nil"/>
                          <w:left w:val="nil"/>
                          <w:bottom w:val="nil"/>
                          <w:right w:val="nil"/>
                        </w:tcBorders>
                      </w:tcPr>
                      <w:p>
                        <w:pPr>
                          <w:pStyle w:val="TableParagraph"/>
                          <w:spacing w:line="220" w:lineRule="exact"/>
                          <w:ind w:right="670"/>
                          <w:jc w:val="right"/>
                          <w:rPr>
                            <w:sz w:val="20"/>
                          </w:rPr>
                        </w:pPr>
                        <w:r>
                          <w:rPr>
                            <w:sz w:val="20"/>
                          </w:rPr>
                          <w:t>40.21</w:t>
                        </w:r>
                      </w:p>
                    </w:tc>
                  </w:tr>
                  <w:tr>
                    <w:trPr>
                      <w:trHeight w:val="233" w:hRule="exact"/>
                    </w:trPr>
                    <w:tc>
                      <w:tcPr>
                        <w:tcW w:w="3165" w:type="dxa"/>
                        <w:tcBorders>
                          <w:top w:val="nil"/>
                          <w:left w:val="nil"/>
                          <w:bottom w:val="nil"/>
                          <w:right w:val="nil"/>
                        </w:tcBorders>
                      </w:tcPr>
                      <w:p>
                        <w:pPr>
                          <w:pStyle w:val="TableParagraph"/>
                          <w:spacing w:line="222" w:lineRule="exact"/>
                          <w:ind w:left="125"/>
                          <w:rPr>
                            <w:i/>
                            <w:sz w:val="20"/>
                          </w:rPr>
                        </w:pPr>
                        <w:r>
                          <w:rPr>
                            <w:sz w:val="20"/>
                          </w:rPr>
                          <w:t>C18:1 n9</w:t>
                        </w:r>
                        <w:r>
                          <w:rPr>
                            <w:i/>
                            <w:sz w:val="20"/>
                          </w:rPr>
                          <w:t>t</w:t>
                        </w:r>
                      </w:p>
                    </w:tc>
                    <w:tc>
                      <w:tcPr>
                        <w:tcW w:w="1954" w:type="dxa"/>
                        <w:tcBorders>
                          <w:top w:val="nil"/>
                          <w:left w:val="nil"/>
                          <w:bottom w:val="nil"/>
                          <w:right w:val="nil"/>
                        </w:tcBorders>
                      </w:tcPr>
                      <w:p>
                        <w:pPr>
                          <w:pStyle w:val="TableParagraph"/>
                          <w:spacing w:line="222" w:lineRule="exact"/>
                          <w:ind w:left="741" w:right="717"/>
                          <w:jc w:val="center"/>
                          <w:rPr>
                            <w:sz w:val="20"/>
                          </w:rPr>
                        </w:pPr>
                        <w:r>
                          <w:rPr>
                            <w:sz w:val="20"/>
                          </w:rPr>
                          <w:t>8.68</w:t>
                        </w:r>
                      </w:p>
                    </w:tc>
                    <w:tc>
                      <w:tcPr>
                        <w:tcW w:w="1606" w:type="dxa"/>
                        <w:tcBorders>
                          <w:top w:val="nil"/>
                          <w:left w:val="nil"/>
                          <w:bottom w:val="nil"/>
                          <w:right w:val="nil"/>
                        </w:tcBorders>
                      </w:tcPr>
                      <w:p>
                        <w:pPr>
                          <w:pStyle w:val="TableParagraph"/>
                          <w:spacing w:line="222" w:lineRule="exact"/>
                          <w:ind w:right="461"/>
                          <w:jc w:val="right"/>
                          <w:rPr>
                            <w:sz w:val="20"/>
                          </w:rPr>
                        </w:pPr>
                        <w:r>
                          <w:rPr>
                            <w:sz w:val="20"/>
                          </w:rPr>
                          <w:t>8.23</w:t>
                        </w:r>
                      </w:p>
                    </w:tc>
                    <w:tc>
                      <w:tcPr>
                        <w:tcW w:w="2111" w:type="dxa"/>
                        <w:tcBorders>
                          <w:top w:val="nil"/>
                          <w:left w:val="nil"/>
                          <w:bottom w:val="nil"/>
                          <w:right w:val="nil"/>
                        </w:tcBorders>
                      </w:tcPr>
                      <w:p>
                        <w:pPr>
                          <w:pStyle w:val="TableParagraph"/>
                          <w:spacing w:line="222" w:lineRule="exact"/>
                          <w:ind w:right="723"/>
                          <w:jc w:val="right"/>
                          <w:rPr>
                            <w:sz w:val="20"/>
                          </w:rPr>
                        </w:pPr>
                        <w:r>
                          <w:rPr>
                            <w:sz w:val="20"/>
                          </w:rPr>
                          <w:t>8.76</w:t>
                        </w:r>
                      </w:p>
                    </w:tc>
                  </w:tr>
                  <w:tr>
                    <w:trPr>
                      <w:trHeight w:val="230" w:hRule="exact"/>
                    </w:trPr>
                    <w:tc>
                      <w:tcPr>
                        <w:tcW w:w="3165" w:type="dxa"/>
                        <w:tcBorders>
                          <w:top w:val="nil"/>
                          <w:left w:val="nil"/>
                          <w:bottom w:val="nil"/>
                          <w:right w:val="nil"/>
                        </w:tcBorders>
                      </w:tcPr>
                      <w:p>
                        <w:pPr>
                          <w:pStyle w:val="TableParagraph"/>
                          <w:spacing w:line="220" w:lineRule="exact"/>
                          <w:ind w:left="125"/>
                          <w:rPr>
                            <w:i/>
                            <w:sz w:val="20"/>
                          </w:rPr>
                        </w:pPr>
                        <w:r>
                          <w:rPr>
                            <w:sz w:val="20"/>
                          </w:rPr>
                          <w:t>C18:1 n9</w:t>
                        </w:r>
                        <w:r>
                          <w:rPr>
                            <w:i/>
                            <w:sz w:val="20"/>
                          </w:rPr>
                          <w:t>c</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9.00</w:t>
                        </w:r>
                      </w:p>
                    </w:tc>
                    <w:tc>
                      <w:tcPr>
                        <w:tcW w:w="1606" w:type="dxa"/>
                        <w:tcBorders>
                          <w:top w:val="nil"/>
                          <w:left w:val="nil"/>
                          <w:bottom w:val="nil"/>
                          <w:right w:val="nil"/>
                        </w:tcBorders>
                      </w:tcPr>
                      <w:p>
                        <w:pPr>
                          <w:pStyle w:val="TableParagraph"/>
                          <w:spacing w:line="220" w:lineRule="exact"/>
                          <w:ind w:right="461"/>
                          <w:jc w:val="right"/>
                          <w:rPr>
                            <w:sz w:val="20"/>
                          </w:rPr>
                        </w:pPr>
                        <w:r>
                          <w:rPr>
                            <w:sz w:val="20"/>
                          </w:rPr>
                          <w:t>8.69</w:t>
                        </w:r>
                      </w:p>
                    </w:tc>
                    <w:tc>
                      <w:tcPr>
                        <w:tcW w:w="2111" w:type="dxa"/>
                        <w:tcBorders>
                          <w:top w:val="nil"/>
                          <w:left w:val="nil"/>
                          <w:bottom w:val="nil"/>
                          <w:right w:val="nil"/>
                        </w:tcBorders>
                      </w:tcPr>
                      <w:p>
                        <w:pPr>
                          <w:pStyle w:val="TableParagraph"/>
                          <w:spacing w:line="220" w:lineRule="exact"/>
                          <w:ind w:right="723"/>
                          <w:jc w:val="right"/>
                          <w:rPr>
                            <w:sz w:val="20"/>
                          </w:rPr>
                        </w:pPr>
                        <w:r>
                          <w:rPr>
                            <w:sz w:val="20"/>
                          </w:rPr>
                          <w:t>8.17</w:t>
                        </w:r>
                      </w:p>
                    </w:tc>
                  </w:tr>
                  <w:tr>
                    <w:trPr>
                      <w:trHeight w:val="230" w:hRule="exact"/>
                    </w:trPr>
                    <w:tc>
                      <w:tcPr>
                        <w:tcW w:w="3165" w:type="dxa"/>
                        <w:tcBorders>
                          <w:top w:val="nil"/>
                          <w:left w:val="nil"/>
                          <w:bottom w:val="nil"/>
                          <w:right w:val="nil"/>
                        </w:tcBorders>
                      </w:tcPr>
                      <w:p>
                        <w:pPr>
                          <w:pStyle w:val="TableParagraph"/>
                          <w:spacing w:line="220" w:lineRule="exact"/>
                          <w:ind w:left="125"/>
                          <w:rPr>
                            <w:i/>
                            <w:sz w:val="20"/>
                          </w:rPr>
                        </w:pPr>
                        <w:r>
                          <w:rPr>
                            <w:sz w:val="20"/>
                          </w:rPr>
                          <w:t>C18:2 n6</w:t>
                        </w:r>
                        <w:r>
                          <w:rPr>
                            <w:i/>
                            <w:sz w:val="20"/>
                          </w:rPr>
                          <w:t>t</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0.65</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0.74</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0.85</w:t>
                        </w:r>
                      </w:p>
                    </w:tc>
                  </w:tr>
                  <w:tr>
                    <w:trPr>
                      <w:trHeight w:val="230" w:hRule="exact"/>
                    </w:trPr>
                    <w:tc>
                      <w:tcPr>
                        <w:tcW w:w="3165" w:type="dxa"/>
                        <w:tcBorders>
                          <w:top w:val="nil"/>
                          <w:left w:val="nil"/>
                          <w:bottom w:val="nil"/>
                          <w:right w:val="nil"/>
                        </w:tcBorders>
                      </w:tcPr>
                      <w:p>
                        <w:pPr>
                          <w:pStyle w:val="TableParagraph"/>
                          <w:spacing w:line="220" w:lineRule="exact"/>
                          <w:ind w:left="125"/>
                          <w:rPr>
                            <w:i/>
                            <w:sz w:val="20"/>
                          </w:rPr>
                        </w:pPr>
                        <w:r>
                          <w:rPr>
                            <w:sz w:val="20"/>
                          </w:rPr>
                          <w:t>C18:2 n6</w:t>
                        </w:r>
                        <w:r>
                          <w:rPr>
                            <w:i/>
                            <w:sz w:val="20"/>
                          </w:rPr>
                          <w:t>c</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2.37</w:t>
                        </w:r>
                      </w:p>
                    </w:tc>
                    <w:tc>
                      <w:tcPr>
                        <w:tcW w:w="1606" w:type="dxa"/>
                        <w:tcBorders>
                          <w:top w:val="nil"/>
                          <w:left w:val="nil"/>
                          <w:bottom w:val="nil"/>
                          <w:right w:val="nil"/>
                        </w:tcBorders>
                      </w:tcPr>
                      <w:p>
                        <w:pPr>
                          <w:pStyle w:val="TableParagraph"/>
                          <w:spacing w:line="220" w:lineRule="exact"/>
                          <w:ind w:right="461"/>
                          <w:jc w:val="right"/>
                          <w:rPr>
                            <w:sz w:val="20"/>
                          </w:rPr>
                        </w:pPr>
                        <w:r>
                          <w:rPr>
                            <w:sz w:val="20"/>
                          </w:rPr>
                          <w:t>2.63</w:t>
                        </w:r>
                      </w:p>
                    </w:tc>
                    <w:tc>
                      <w:tcPr>
                        <w:tcW w:w="2111" w:type="dxa"/>
                        <w:tcBorders>
                          <w:top w:val="nil"/>
                          <w:left w:val="nil"/>
                          <w:bottom w:val="nil"/>
                          <w:right w:val="nil"/>
                        </w:tcBorders>
                      </w:tcPr>
                      <w:p>
                        <w:pPr>
                          <w:pStyle w:val="TableParagraph"/>
                          <w:spacing w:line="220" w:lineRule="exact"/>
                          <w:ind w:right="723"/>
                          <w:jc w:val="right"/>
                          <w:rPr>
                            <w:sz w:val="20"/>
                          </w:rPr>
                        </w:pPr>
                        <w:r>
                          <w:rPr>
                            <w:sz w:val="20"/>
                          </w:rPr>
                          <w:t>2.81</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C20:0</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0.84</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0.68</w:t>
                        </w:r>
                      </w:p>
                    </w:tc>
                    <w:tc>
                      <w:tcPr>
                        <w:tcW w:w="2111" w:type="dxa"/>
                        <w:tcBorders>
                          <w:top w:val="nil"/>
                          <w:left w:val="nil"/>
                          <w:bottom w:val="nil"/>
                          <w:right w:val="nil"/>
                        </w:tcBorders>
                      </w:tcPr>
                      <w:p>
                        <w:pPr>
                          <w:pStyle w:val="TableParagraph"/>
                          <w:spacing w:line="220" w:lineRule="exact"/>
                          <w:ind w:right="723"/>
                          <w:jc w:val="right"/>
                          <w:rPr>
                            <w:sz w:val="20"/>
                          </w:rPr>
                        </w:pPr>
                        <w:r>
                          <w:rPr>
                            <w:sz w:val="20"/>
                          </w:rPr>
                          <w:t>1.23</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C18:3 n6</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0.45</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0.58</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0.80</w:t>
                        </w:r>
                      </w:p>
                    </w:tc>
                  </w:tr>
                  <w:tr>
                    <w:trPr>
                      <w:trHeight w:val="231" w:hRule="exact"/>
                    </w:trPr>
                    <w:tc>
                      <w:tcPr>
                        <w:tcW w:w="3165" w:type="dxa"/>
                        <w:tcBorders>
                          <w:top w:val="nil"/>
                          <w:left w:val="nil"/>
                          <w:bottom w:val="nil"/>
                          <w:right w:val="nil"/>
                        </w:tcBorders>
                      </w:tcPr>
                      <w:p>
                        <w:pPr>
                          <w:pStyle w:val="TableParagraph"/>
                          <w:spacing w:line="220" w:lineRule="exact"/>
                          <w:ind w:left="125"/>
                          <w:rPr>
                            <w:sz w:val="20"/>
                          </w:rPr>
                        </w:pPr>
                        <w:r>
                          <w:rPr>
                            <w:sz w:val="20"/>
                          </w:rPr>
                          <w:t>C18:3 n3</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0.00</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0.00</w:t>
                        </w:r>
                      </w:p>
                    </w:tc>
                    <w:tc>
                      <w:tcPr>
                        <w:tcW w:w="2111" w:type="dxa"/>
                        <w:tcBorders>
                          <w:top w:val="nil"/>
                          <w:left w:val="nil"/>
                          <w:bottom w:val="nil"/>
                          <w:right w:val="nil"/>
                        </w:tcBorders>
                      </w:tcPr>
                      <w:p>
                        <w:pPr>
                          <w:pStyle w:val="TableParagraph"/>
                          <w:spacing w:line="220" w:lineRule="exact"/>
                          <w:ind w:right="723"/>
                          <w:jc w:val="right"/>
                          <w:rPr>
                            <w:sz w:val="20"/>
                          </w:rPr>
                        </w:pPr>
                        <w:r>
                          <w:rPr>
                            <w:sz w:val="20"/>
                          </w:rPr>
                          <w:t>1.52</w:t>
                        </w:r>
                      </w:p>
                    </w:tc>
                  </w:tr>
                  <w:tr>
                    <w:trPr>
                      <w:trHeight w:val="233" w:hRule="exact"/>
                    </w:trPr>
                    <w:tc>
                      <w:tcPr>
                        <w:tcW w:w="3165" w:type="dxa"/>
                        <w:tcBorders>
                          <w:top w:val="nil"/>
                          <w:left w:val="nil"/>
                          <w:bottom w:val="nil"/>
                          <w:right w:val="nil"/>
                        </w:tcBorders>
                      </w:tcPr>
                      <w:p>
                        <w:pPr>
                          <w:pStyle w:val="TableParagraph"/>
                          <w:spacing w:line="220" w:lineRule="exact"/>
                          <w:ind w:left="125"/>
                          <w:rPr>
                            <w:sz w:val="20"/>
                          </w:rPr>
                        </w:pPr>
                        <w:r>
                          <w:rPr>
                            <w:sz w:val="20"/>
                          </w:rPr>
                          <w:t>C20:2</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0.34</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0.14</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0.75</w:t>
                        </w:r>
                      </w:p>
                    </w:tc>
                  </w:tr>
                  <w:tr>
                    <w:trPr>
                      <w:trHeight w:val="233" w:hRule="exact"/>
                    </w:trPr>
                    <w:tc>
                      <w:tcPr>
                        <w:tcW w:w="3165" w:type="dxa"/>
                        <w:tcBorders>
                          <w:top w:val="nil"/>
                          <w:left w:val="nil"/>
                          <w:bottom w:val="nil"/>
                          <w:right w:val="nil"/>
                        </w:tcBorders>
                      </w:tcPr>
                      <w:p>
                        <w:pPr>
                          <w:pStyle w:val="TableParagraph"/>
                          <w:spacing w:line="222" w:lineRule="exact"/>
                          <w:ind w:left="125"/>
                          <w:rPr>
                            <w:sz w:val="20"/>
                          </w:rPr>
                        </w:pPr>
                        <w:r>
                          <w:rPr>
                            <w:sz w:val="20"/>
                          </w:rPr>
                          <w:t>C22:0</w:t>
                        </w:r>
                      </w:p>
                    </w:tc>
                    <w:tc>
                      <w:tcPr>
                        <w:tcW w:w="1954" w:type="dxa"/>
                        <w:tcBorders>
                          <w:top w:val="nil"/>
                          <w:left w:val="nil"/>
                          <w:bottom w:val="nil"/>
                          <w:right w:val="nil"/>
                        </w:tcBorders>
                      </w:tcPr>
                      <w:p>
                        <w:pPr>
                          <w:pStyle w:val="TableParagraph"/>
                          <w:spacing w:line="222" w:lineRule="exact"/>
                          <w:ind w:left="741" w:right="717"/>
                          <w:jc w:val="center"/>
                          <w:rPr>
                            <w:sz w:val="20"/>
                          </w:rPr>
                        </w:pPr>
                        <w:r>
                          <w:rPr>
                            <w:sz w:val="20"/>
                          </w:rPr>
                          <w:t>0.59</w:t>
                        </w:r>
                      </w:p>
                    </w:tc>
                    <w:tc>
                      <w:tcPr>
                        <w:tcW w:w="1606" w:type="dxa"/>
                        <w:tcBorders>
                          <w:top w:val="nil"/>
                          <w:left w:val="nil"/>
                          <w:bottom w:val="nil"/>
                          <w:right w:val="nil"/>
                        </w:tcBorders>
                      </w:tcPr>
                      <w:p>
                        <w:pPr>
                          <w:pStyle w:val="TableParagraph"/>
                          <w:spacing w:line="222" w:lineRule="exact"/>
                          <w:ind w:right="461"/>
                          <w:jc w:val="right"/>
                          <w:rPr>
                            <w:sz w:val="20"/>
                          </w:rPr>
                        </w:pPr>
                        <w:r>
                          <w:rPr>
                            <w:sz w:val="20"/>
                          </w:rPr>
                          <w:t>0.13</w:t>
                        </w:r>
                      </w:p>
                    </w:tc>
                    <w:tc>
                      <w:tcPr>
                        <w:tcW w:w="2111" w:type="dxa"/>
                        <w:tcBorders>
                          <w:top w:val="nil"/>
                          <w:left w:val="nil"/>
                          <w:bottom w:val="nil"/>
                          <w:right w:val="nil"/>
                        </w:tcBorders>
                      </w:tcPr>
                      <w:p>
                        <w:pPr>
                          <w:pStyle w:val="TableParagraph"/>
                          <w:spacing w:line="222" w:lineRule="exact"/>
                          <w:ind w:right="723"/>
                          <w:jc w:val="right"/>
                          <w:rPr>
                            <w:sz w:val="20"/>
                          </w:rPr>
                        </w:pPr>
                        <w:r>
                          <w:rPr>
                            <w:sz w:val="20"/>
                          </w:rPr>
                          <w:t>1.33</w:t>
                        </w:r>
                      </w:p>
                    </w:tc>
                  </w:tr>
                  <w:tr>
                    <w:trPr>
                      <w:trHeight w:val="230" w:hRule="exact"/>
                    </w:trPr>
                    <w:tc>
                      <w:tcPr>
                        <w:tcW w:w="3165" w:type="dxa"/>
                        <w:tcBorders>
                          <w:top w:val="nil"/>
                          <w:left w:val="nil"/>
                          <w:bottom w:val="nil"/>
                          <w:right w:val="nil"/>
                        </w:tcBorders>
                      </w:tcPr>
                      <w:p>
                        <w:pPr>
                          <w:pStyle w:val="TableParagraph"/>
                          <w:spacing w:line="220" w:lineRule="exact"/>
                          <w:ind w:left="125"/>
                          <w:rPr>
                            <w:sz w:val="20"/>
                          </w:rPr>
                        </w:pPr>
                        <w:r>
                          <w:rPr>
                            <w:sz w:val="20"/>
                          </w:rPr>
                          <w:t>C20:3 n6</w:t>
                        </w:r>
                      </w:p>
                    </w:tc>
                    <w:tc>
                      <w:tcPr>
                        <w:tcW w:w="1954" w:type="dxa"/>
                        <w:tcBorders>
                          <w:top w:val="nil"/>
                          <w:left w:val="nil"/>
                          <w:bottom w:val="nil"/>
                          <w:right w:val="nil"/>
                        </w:tcBorders>
                      </w:tcPr>
                      <w:p>
                        <w:pPr>
                          <w:pStyle w:val="TableParagraph"/>
                          <w:spacing w:line="220" w:lineRule="exact"/>
                          <w:ind w:left="741" w:right="717"/>
                          <w:jc w:val="center"/>
                          <w:rPr>
                            <w:sz w:val="20"/>
                          </w:rPr>
                        </w:pPr>
                        <w:r>
                          <w:rPr>
                            <w:sz w:val="20"/>
                          </w:rPr>
                          <w:t>0.58</w:t>
                        </w:r>
                      </w:p>
                    </w:tc>
                    <w:tc>
                      <w:tcPr>
                        <w:tcW w:w="1606" w:type="dxa"/>
                        <w:tcBorders>
                          <w:top w:val="nil"/>
                          <w:left w:val="nil"/>
                          <w:bottom w:val="nil"/>
                          <w:right w:val="nil"/>
                        </w:tcBorders>
                      </w:tcPr>
                      <w:p>
                        <w:pPr>
                          <w:pStyle w:val="TableParagraph"/>
                          <w:spacing w:line="220" w:lineRule="exact"/>
                          <w:ind w:right="461"/>
                          <w:jc w:val="right"/>
                          <w:rPr>
                            <w:sz w:val="20"/>
                          </w:rPr>
                        </w:pPr>
                        <w:r>
                          <w:rPr>
                            <w:sz w:val="20"/>
                          </w:rPr>
                          <w:t>0.05</w:t>
                        </w:r>
                      </w:p>
                    </w:tc>
                    <w:tc>
                      <w:tcPr>
                        <w:tcW w:w="2111" w:type="dxa"/>
                        <w:tcBorders>
                          <w:top w:val="nil"/>
                          <w:left w:val="nil"/>
                          <w:bottom w:val="nil"/>
                          <w:right w:val="nil"/>
                        </w:tcBorders>
                      </w:tcPr>
                      <w:p>
                        <w:pPr>
                          <w:pStyle w:val="TableParagraph"/>
                          <w:spacing w:line="220" w:lineRule="exact"/>
                          <w:ind w:right="723"/>
                          <w:jc w:val="right"/>
                          <w:rPr>
                            <w:sz w:val="20"/>
                          </w:rPr>
                        </w:pPr>
                        <w:r>
                          <w:rPr>
                            <w:sz w:val="20"/>
                          </w:rPr>
                          <w:t>0.82</w:t>
                        </w:r>
                      </w:p>
                    </w:tc>
                  </w:tr>
                  <w:tr>
                    <w:trPr>
                      <w:trHeight w:val="234" w:hRule="exact"/>
                    </w:trPr>
                    <w:tc>
                      <w:tcPr>
                        <w:tcW w:w="3165" w:type="dxa"/>
                        <w:tcBorders>
                          <w:top w:val="nil"/>
                          <w:left w:val="nil"/>
                          <w:bottom w:val="dotted" w:sz="4" w:space="0" w:color="000000"/>
                          <w:right w:val="nil"/>
                        </w:tcBorders>
                      </w:tcPr>
                      <w:p>
                        <w:pPr>
                          <w:pStyle w:val="TableParagraph"/>
                          <w:spacing w:line="220" w:lineRule="exact"/>
                          <w:ind w:left="125"/>
                          <w:rPr>
                            <w:sz w:val="20"/>
                          </w:rPr>
                        </w:pPr>
                        <w:r>
                          <w:rPr>
                            <w:sz w:val="20"/>
                          </w:rPr>
                          <w:t>C22:1 n9</w:t>
                        </w:r>
                      </w:p>
                    </w:tc>
                    <w:tc>
                      <w:tcPr>
                        <w:tcW w:w="1954" w:type="dxa"/>
                        <w:tcBorders>
                          <w:top w:val="nil"/>
                          <w:left w:val="nil"/>
                          <w:bottom w:val="dotted" w:sz="4" w:space="0" w:color="000000"/>
                          <w:right w:val="nil"/>
                        </w:tcBorders>
                      </w:tcPr>
                      <w:p>
                        <w:pPr>
                          <w:pStyle w:val="TableParagraph"/>
                          <w:spacing w:line="220" w:lineRule="exact"/>
                          <w:ind w:left="741" w:right="717"/>
                          <w:jc w:val="center"/>
                          <w:rPr>
                            <w:sz w:val="20"/>
                          </w:rPr>
                        </w:pPr>
                        <w:r>
                          <w:rPr>
                            <w:sz w:val="20"/>
                          </w:rPr>
                          <w:t>0.82</w:t>
                        </w:r>
                      </w:p>
                    </w:tc>
                    <w:tc>
                      <w:tcPr>
                        <w:tcW w:w="1606" w:type="dxa"/>
                        <w:tcBorders>
                          <w:top w:val="nil"/>
                          <w:left w:val="nil"/>
                          <w:bottom w:val="dotted" w:sz="4" w:space="0" w:color="000000"/>
                          <w:right w:val="nil"/>
                        </w:tcBorders>
                      </w:tcPr>
                      <w:p>
                        <w:pPr>
                          <w:pStyle w:val="TableParagraph"/>
                          <w:spacing w:line="220" w:lineRule="exact"/>
                          <w:ind w:right="461"/>
                          <w:jc w:val="right"/>
                          <w:rPr>
                            <w:sz w:val="20"/>
                          </w:rPr>
                        </w:pPr>
                        <w:r>
                          <w:rPr>
                            <w:sz w:val="20"/>
                          </w:rPr>
                          <w:t>0.17</w:t>
                        </w:r>
                      </w:p>
                    </w:tc>
                    <w:tc>
                      <w:tcPr>
                        <w:tcW w:w="2111" w:type="dxa"/>
                        <w:tcBorders>
                          <w:top w:val="nil"/>
                          <w:left w:val="nil"/>
                          <w:bottom w:val="dotted" w:sz="4" w:space="0" w:color="000000"/>
                          <w:right w:val="nil"/>
                        </w:tcBorders>
                      </w:tcPr>
                      <w:p>
                        <w:pPr>
                          <w:pStyle w:val="TableParagraph"/>
                          <w:spacing w:line="220" w:lineRule="exact"/>
                          <w:ind w:right="723"/>
                          <w:jc w:val="right"/>
                          <w:rPr>
                            <w:sz w:val="20"/>
                          </w:rPr>
                        </w:pPr>
                        <w:r>
                          <w:rPr>
                            <w:sz w:val="20"/>
                          </w:rPr>
                          <w:t>0.24</w:t>
                        </w:r>
                      </w:p>
                    </w:tc>
                  </w:tr>
                  <w:tr>
                    <w:trPr>
                      <w:trHeight w:val="294" w:hRule="exact"/>
                    </w:trPr>
                    <w:tc>
                      <w:tcPr>
                        <w:tcW w:w="3165" w:type="dxa"/>
                        <w:tcBorders>
                          <w:top w:val="dotted" w:sz="4" w:space="0" w:color="000000"/>
                          <w:left w:val="nil"/>
                          <w:bottom w:val="nil"/>
                          <w:right w:val="nil"/>
                        </w:tcBorders>
                      </w:tcPr>
                      <w:p>
                        <w:pPr>
                          <w:pStyle w:val="TableParagraph"/>
                          <w:spacing w:line="221" w:lineRule="exact"/>
                          <w:ind w:left="125"/>
                          <w:rPr>
                            <w:sz w:val="20"/>
                          </w:rPr>
                        </w:pPr>
                        <w:r>
                          <w:rPr>
                            <w:sz w:val="20"/>
                          </w:rPr>
                          <w:t>Unsaturated fatty acids</w:t>
                        </w:r>
                      </w:p>
                    </w:tc>
                    <w:tc>
                      <w:tcPr>
                        <w:tcW w:w="1954" w:type="dxa"/>
                        <w:tcBorders>
                          <w:top w:val="dotted" w:sz="4" w:space="0" w:color="000000"/>
                          <w:left w:val="nil"/>
                          <w:bottom w:val="nil"/>
                          <w:right w:val="nil"/>
                        </w:tcBorders>
                      </w:tcPr>
                      <w:p>
                        <w:pPr>
                          <w:pStyle w:val="TableParagraph"/>
                          <w:spacing w:line="221" w:lineRule="exact"/>
                          <w:ind w:left="741" w:right="722"/>
                          <w:jc w:val="center"/>
                          <w:rPr>
                            <w:sz w:val="20"/>
                          </w:rPr>
                        </w:pPr>
                        <w:r>
                          <w:rPr>
                            <w:sz w:val="20"/>
                          </w:rPr>
                          <w:t>27.10</w:t>
                        </w:r>
                      </w:p>
                    </w:tc>
                    <w:tc>
                      <w:tcPr>
                        <w:tcW w:w="1606" w:type="dxa"/>
                        <w:tcBorders>
                          <w:top w:val="dotted" w:sz="4" w:space="0" w:color="000000"/>
                          <w:left w:val="nil"/>
                          <w:bottom w:val="nil"/>
                          <w:right w:val="nil"/>
                        </w:tcBorders>
                      </w:tcPr>
                      <w:p>
                        <w:pPr>
                          <w:pStyle w:val="TableParagraph"/>
                          <w:spacing w:line="221" w:lineRule="exact"/>
                          <w:ind w:right="408"/>
                          <w:jc w:val="right"/>
                          <w:rPr>
                            <w:sz w:val="20"/>
                          </w:rPr>
                        </w:pPr>
                        <w:r>
                          <w:rPr>
                            <w:sz w:val="20"/>
                          </w:rPr>
                          <w:t>26.55</w:t>
                        </w:r>
                      </w:p>
                    </w:tc>
                    <w:tc>
                      <w:tcPr>
                        <w:tcW w:w="2111" w:type="dxa"/>
                        <w:tcBorders>
                          <w:top w:val="dotted" w:sz="4" w:space="0" w:color="000000"/>
                          <w:left w:val="nil"/>
                          <w:bottom w:val="nil"/>
                          <w:right w:val="nil"/>
                        </w:tcBorders>
                      </w:tcPr>
                      <w:p>
                        <w:pPr>
                          <w:pStyle w:val="TableParagraph"/>
                          <w:spacing w:line="221" w:lineRule="exact"/>
                          <w:ind w:right="670"/>
                          <w:jc w:val="right"/>
                          <w:rPr>
                            <w:sz w:val="20"/>
                          </w:rPr>
                        </w:pPr>
                        <w:r>
                          <w:rPr>
                            <w:sz w:val="20"/>
                          </w:rPr>
                          <w:t>30.44</w:t>
                        </w:r>
                      </w:p>
                    </w:tc>
                  </w:tr>
                  <w:tr>
                    <w:trPr>
                      <w:trHeight w:val="417" w:hRule="exact"/>
                    </w:trPr>
                    <w:tc>
                      <w:tcPr>
                        <w:tcW w:w="5119" w:type="dxa"/>
                        <w:gridSpan w:val="2"/>
                        <w:tcBorders>
                          <w:top w:val="nil"/>
                          <w:left w:val="nil"/>
                          <w:right w:val="nil"/>
                        </w:tcBorders>
                      </w:tcPr>
                      <w:p>
                        <w:pPr>
                          <w:pStyle w:val="TableParagraph"/>
                          <w:spacing w:line="103" w:lineRule="exact"/>
                          <w:ind w:left="125"/>
                          <w:rPr>
                            <w:sz w:val="20"/>
                          </w:rPr>
                        </w:pPr>
                        <w:r>
                          <w:rPr>
                            <w:sz w:val="20"/>
                          </w:rPr>
                          <w:t>Long chain fatty acids &gt;= 18</w:t>
                        </w:r>
                      </w:p>
                      <w:p>
                        <w:pPr>
                          <w:pStyle w:val="TableParagraph"/>
                          <w:tabs>
                            <w:tab w:pos="4379" w:val="right" w:leader="none"/>
                          </w:tabs>
                          <w:spacing w:line="290" w:lineRule="exact"/>
                          <w:ind w:left="125"/>
                          <w:rPr>
                            <w:sz w:val="20"/>
                          </w:rPr>
                        </w:pPr>
                        <w:r>
                          <w:rPr>
                            <w:sz w:val="20"/>
                          </w:rPr>
                          <w:t>carbons</w:t>
                        </w:r>
                        <w:r>
                          <w:rPr>
                            <w:position w:val="12"/>
                            <w:sz w:val="20"/>
                          </w:rPr>
                          <w:tab/>
                          <w:t>74.07</w:t>
                        </w:r>
                      </w:p>
                    </w:tc>
                    <w:tc>
                      <w:tcPr>
                        <w:tcW w:w="1606" w:type="dxa"/>
                        <w:tcBorders>
                          <w:top w:val="nil"/>
                          <w:left w:val="nil"/>
                          <w:right w:val="nil"/>
                        </w:tcBorders>
                      </w:tcPr>
                      <w:p>
                        <w:pPr>
                          <w:pStyle w:val="TableParagraph"/>
                          <w:spacing w:before="47"/>
                          <w:ind w:right="408"/>
                          <w:jc w:val="right"/>
                          <w:rPr>
                            <w:sz w:val="20"/>
                          </w:rPr>
                        </w:pPr>
                        <w:r>
                          <w:rPr>
                            <w:sz w:val="20"/>
                          </w:rPr>
                          <w:t>71.20</w:t>
                        </w:r>
                      </w:p>
                    </w:tc>
                    <w:tc>
                      <w:tcPr>
                        <w:tcW w:w="2111" w:type="dxa"/>
                        <w:tcBorders>
                          <w:top w:val="nil"/>
                          <w:left w:val="nil"/>
                          <w:right w:val="nil"/>
                        </w:tcBorders>
                      </w:tcPr>
                      <w:p>
                        <w:pPr>
                          <w:pStyle w:val="TableParagraph"/>
                          <w:spacing w:before="47"/>
                          <w:ind w:right="670"/>
                          <w:jc w:val="right"/>
                          <w:rPr>
                            <w:sz w:val="20"/>
                          </w:rPr>
                        </w:pPr>
                        <w:r>
                          <w:rPr>
                            <w:sz w:val="20"/>
                          </w:rPr>
                          <w:t>67.50</w:t>
                        </w:r>
                      </w:p>
                    </w:tc>
                  </w:tr>
                </w:tbl>
                <w:p>
                  <w:pPr>
                    <w:pStyle w:val="BodyText"/>
                  </w:pPr>
                </w:p>
              </w:txbxContent>
            </v:textbox>
            <w10:wrap type="none"/>
          </v:shape>
        </w:pict>
      </w:r>
      <w:r>
        <w:rPr>
          <w:rFonts w:ascii="Times New Roman"/>
          <w:sz w:val="20"/>
        </w:rPr>
        <w:t>methylation</w:t>
      </w:r>
    </w:p>
    <w:p>
      <w:pPr>
        <w:spacing w:after="0"/>
        <w:jc w:val="right"/>
        <w:rPr>
          <w:rFonts w:ascii="Times New Roman"/>
          <w:sz w:val="20"/>
        </w:rPr>
        <w:sectPr>
          <w:pgSz w:w="12240" w:h="15840"/>
          <w:pgMar w:header="684" w:footer="1184" w:top="1380" w:bottom="1380" w:left="1440" w:right="1460"/>
        </w:sectPr>
      </w:pPr>
    </w:p>
    <w:p>
      <w:pPr>
        <w:pStyle w:val="BodyText"/>
        <w:rPr>
          <w:rFonts w:ascii="Times New Roman"/>
          <w:sz w:val="22"/>
        </w:rPr>
      </w:pPr>
    </w:p>
    <w:tbl>
      <w:tblPr>
        <w:tblW w:w="0" w:type="auto"/>
        <w:jc w:val="left"/>
        <w:tblInd w:w="26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445"/>
        <w:gridCol w:w="1659"/>
        <w:gridCol w:w="1892"/>
        <w:gridCol w:w="1825"/>
      </w:tblGrid>
      <w:tr>
        <w:trPr>
          <w:trHeight w:val="251" w:hRule="exact"/>
        </w:trPr>
        <w:tc>
          <w:tcPr>
            <w:tcW w:w="3445" w:type="dxa"/>
            <w:tcBorders>
              <w:left w:val="nil"/>
              <w:bottom w:val="nil"/>
              <w:right w:val="nil"/>
            </w:tcBorders>
          </w:tcPr>
          <w:p>
            <w:pPr>
              <w:pStyle w:val="TableParagraph"/>
              <w:spacing w:before="8"/>
              <w:ind w:left="110"/>
              <w:rPr>
                <w:sz w:val="20"/>
              </w:rPr>
            </w:pPr>
            <w:r>
              <w:rPr>
                <w:sz w:val="20"/>
              </w:rPr>
              <w:t>18 carbons unsaturated fatty acids</w:t>
            </w:r>
          </w:p>
        </w:tc>
        <w:tc>
          <w:tcPr>
            <w:tcW w:w="1659" w:type="dxa"/>
            <w:tcBorders>
              <w:left w:val="nil"/>
              <w:bottom w:val="nil"/>
              <w:right w:val="nil"/>
            </w:tcBorders>
          </w:tcPr>
          <w:p>
            <w:pPr>
              <w:pStyle w:val="TableParagraph"/>
              <w:spacing w:before="8"/>
              <w:ind w:left="464"/>
              <w:rPr>
                <w:sz w:val="20"/>
              </w:rPr>
            </w:pPr>
            <w:r>
              <w:rPr>
                <w:sz w:val="20"/>
              </w:rPr>
              <w:t>21.15</w:t>
            </w:r>
          </w:p>
        </w:tc>
        <w:tc>
          <w:tcPr>
            <w:tcW w:w="1892" w:type="dxa"/>
            <w:tcBorders>
              <w:left w:val="nil"/>
              <w:bottom w:val="nil"/>
              <w:right w:val="nil"/>
            </w:tcBorders>
          </w:tcPr>
          <w:p>
            <w:pPr>
              <w:pStyle w:val="TableParagraph"/>
              <w:spacing w:before="8"/>
              <w:ind w:left="721" w:right="679"/>
              <w:jc w:val="center"/>
              <w:rPr>
                <w:sz w:val="20"/>
              </w:rPr>
            </w:pPr>
            <w:r>
              <w:rPr>
                <w:sz w:val="20"/>
              </w:rPr>
              <w:t>20.88</w:t>
            </w:r>
          </w:p>
        </w:tc>
        <w:tc>
          <w:tcPr>
            <w:tcW w:w="1825" w:type="dxa"/>
            <w:tcBorders>
              <w:left w:val="nil"/>
              <w:bottom w:val="nil"/>
              <w:right w:val="nil"/>
            </w:tcBorders>
          </w:tcPr>
          <w:p>
            <w:pPr>
              <w:pStyle w:val="TableParagraph"/>
              <w:spacing w:before="8"/>
              <w:ind w:left="679" w:right="656"/>
              <w:jc w:val="center"/>
              <w:rPr>
                <w:sz w:val="20"/>
              </w:rPr>
            </w:pPr>
            <w:r>
              <w:rPr>
                <w:sz w:val="20"/>
              </w:rPr>
              <w:t>22.91</w:t>
            </w:r>
          </w:p>
        </w:tc>
      </w:tr>
      <w:tr>
        <w:trPr>
          <w:trHeight w:val="230" w:hRule="exact"/>
        </w:trPr>
        <w:tc>
          <w:tcPr>
            <w:tcW w:w="3445" w:type="dxa"/>
            <w:tcBorders>
              <w:top w:val="nil"/>
              <w:left w:val="nil"/>
              <w:bottom w:val="nil"/>
              <w:right w:val="nil"/>
            </w:tcBorders>
          </w:tcPr>
          <w:p>
            <w:pPr>
              <w:pStyle w:val="TableParagraph"/>
              <w:spacing w:before="3"/>
              <w:ind w:left="110"/>
              <w:rPr>
                <w:sz w:val="20"/>
              </w:rPr>
            </w:pPr>
            <w:r>
              <w:rPr>
                <w:i/>
                <w:sz w:val="20"/>
              </w:rPr>
              <w:t>cis</w:t>
            </w:r>
            <w:r>
              <w:rPr>
                <w:sz w:val="20"/>
              </w:rPr>
              <w:t>-fatty acids</w:t>
            </w:r>
          </w:p>
        </w:tc>
        <w:tc>
          <w:tcPr>
            <w:tcW w:w="1659" w:type="dxa"/>
            <w:tcBorders>
              <w:top w:val="nil"/>
              <w:left w:val="nil"/>
              <w:bottom w:val="nil"/>
              <w:right w:val="nil"/>
            </w:tcBorders>
          </w:tcPr>
          <w:p>
            <w:pPr>
              <w:pStyle w:val="TableParagraph"/>
              <w:spacing w:before="3"/>
              <w:ind w:left="464"/>
              <w:rPr>
                <w:sz w:val="20"/>
              </w:rPr>
            </w:pPr>
            <w:r>
              <w:rPr>
                <w:sz w:val="20"/>
              </w:rPr>
              <w:t>11.36</w:t>
            </w:r>
          </w:p>
        </w:tc>
        <w:tc>
          <w:tcPr>
            <w:tcW w:w="1892" w:type="dxa"/>
            <w:tcBorders>
              <w:top w:val="nil"/>
              <w:left w:val="nil"/>
              <w:bottom w:val="nil"/>
              <w:right w:val="nil"/>
            </w:tcBorders>
          </w:tcPr>
          <w:p>
            <w:pPr>
              <w:pStyle w:val="TableParagraph"/>
              <w:spacing w:before="3"/>
              <w:ind w:left="721" w:right="679"/>
              <w:jc w:val="center"/>
              <w:rPr>
                <w:sz w:val="20"/>
              </w:rPr>
            </w:pPr>
            <w:r>
              <w:rPr>
                <w:sz w:val="20"/>
              </w:rPr>
              <w:t>11.32</w:t>
            </w:r>
          </w:p>
        </w:tc>
        <w:tc>
          <w:tcPr>
            <w:tcW w:w="1825" w:type="dxa"/>
            <w:tcBorders>
              <w:top w:val="nil"/>
              <w:left w:val="nil"/>
              <w:bottom w:val="nil"/>
              <w:right w:val="nil"/>
            </w:tcBorders>
          </w:tcPr>
          <w:p>
            <w:pPr>
              <w:pStyle w:val="TableParagraph"/>
              <w:spacing w:before="3"/>
              <w:ind w:left="679" w:right="656"/>
              <w:jc w:val="center"/>
              <w:rPr>
                <w:sz w:val="20"/>
              </w:rPr>
            </w:pPr>
            <w:r>
              <w:rPr>
                <w:sz w:val="20"/>
              </w:rPr>
              <w:t>10.98</w:t>
            </w:r>
          </w:p>
        </w:tc>
      </w:tr>
      <w:tr>
        <w:trPr>
          <w:trHeight w:val="231" w:hRule="exact"/>
        </w:trPr>
        <w:tc>
          <w:tcPr>
            <w:tcW w:w="3445" w:type="dxa"/>
            <w:tcBorders>
              <w:top w:val="nil"/>
              <w:left w:val="nil"/>
              <w:bottom w:val="nil"/>
              <w:right w:val="nil"/>
            </w:tcBorders>
          </w:tcPr>
          <w:p>
            <w:pPr>
              <w:pStyle w:val="TableParagraph"/>
              <w:spacing w:before="3"/>
              <w:ind w:left="110"/>
              <w:rPr>
                <w:sz w:val="20"/>
              </w:rPr>
            </w:pPr>
            <w:r>
              <w:rPr>
                <w:i/>
                <w:sz w:val="20"/>
              </w:rPr>
              <w:t>trans</w:t>
            </w:r>
            <w:r>
              <w:rPr>
                <w:sz w:val="20"/>
              </w:rPr>
              <w:t>-fatty acids</w:t>
            </w:r>
          </w:p>
        </w:tc>
        <w:tc>
          <w:tcPr>
            <w:tcW w:w="1659" w:type="dxa"/>
            <w:tcBorders>
              <w:top w:val="nil"/>
              <w:left w:val="nil"/>
              <w:bottom w:val="nil"/>
              <w:right w:val="nil"/>
            </w:tcBorders>
          </w:tcPr>
          <w:p>
            <w:pPr>
              <w:pStyle w:val="TableParagraph"/>
              <w:spacing w:before="3"/>
              <w:ind w:left="516"/>
              <w:rPr>
                <w:sz w:val="20"/>
              </w:rPr>
            </w:pPr>
            <w:r>
              <w:rPr>
                <w:sz w:val="20"/>
              </w:rPr>
              <w:t>9.34</w:t>
            </w:r>
          </w:p>
        </w:tc>
        <w:tc>
          <w:tcPr>
            <w:tcW w:w="1892" w:type="dxa"/>
            <w:tcBorders>
              <w:top w:val="nil"/>
              <w:left w:val="nil"/>
              <w:bottom w:val="nil"/>
              <w:right w:val="nil"/>
            </w:tcBorders>
          </w:tcPr>
          <w:p>
            <w:pPr>
              <w:pStyle w:val="TableParagraph"/>
              <w:spacing w:before="3"/>
              <w:ind w:left="717" w:right="679"/>
              <w:jc w:val="center"/>
              <w:rPr>
                <w:sz w:val="20"/>
              </w:rPr>
            </w:pPr>
            <w:r>
              <w:rPr>
                <w:sz w:val="20"/>
              </w:rPr>
              <w:t>8.97</w:t>
            </w:r>
          </w:p>
        </w:tc>
        <w:tc>
          <w:tcPr>
            <w:tcW w:w="1825" w:type="dxa"/>
            <w:tcBorders>
              <w:top w:val="nil"/>
              <w:left w:val="nil"/>
              <w:bottom w:val="nil"/>
              <w:right w:val="nil"/>
            </w:tcBorders>
          </w:tcPr>
          <w:p>
            <w:pPr>
              <w:pStyle w:val="TableParagraph"/>
              <w:spacing w:before="3"/>
              <w:ind w:left="675" w:right="656"/>
              <w:jc w:val="center"/>
              <w:rPr>
                <w:sz w:val="20"/>
              </w:rPr>
            </w:pPr>
            <w:r>
              <w:rPr>
                <w:sz w:val="20"/>
              </w:rPr>
              <w:t>9.61</w:t>
            </w:r>
          </w:p>
        </w:tc>
      </w:tr>
      <w:tr>
        <w:trPr>
          <w:trHeight w:val="231" w:hRule="exact"/>
        </w:trPr>
        <w:tc>
          <w:tcPr>
            <w:tcW w:w="3445" w:type="dxa"/>
            <w:tcBorders>
              <w:top w:val="nil"/>
              <w:left w:val="nil"/>
              <w:bottom w:val="nil"/>
              <w:right w:val="nil"/>
            </w:tcBorders>
          </w:tcPr>
          <w:p>
            <w:pPr>
              <w:pStyle w:val="TableParagraph"/>
              <w:spacing w:before="3"/>
              <w:ind w:left="110"/>
              <w:rPr>
                <w:sz w:val="20"/>
              </w:rPr>
            </w:pPr>
            <w:r>
              <w:rPr>
                <w:sz w:val="20"/>
              </w:rPr>
              <w:t>Ratios (</w:t>
            </w:r>
            <w:r>
              <w:rPr>
                <w:i/>
                <w:sz w:val="20"/>
              </w:rPr>
              <w:t>cis</w:t>
            </w:r>
            <w:r>
              <w:rPr>
                <w:sz w:val="20"/>
              </w:rPr>
              <w:t>/</w:t>
            </w:r>
            <w:r>
              <w:rPr>
                <w:i/>
                <w:sz w:val="20"/>
              </w:rPr>
              <w:t>trans</w:t>
            </w:r>
            <w:r>
              <w:rPr>
                <w:sz w:val="20"/>
              </w:rPr>
              <w:t>)</w:t>
            </w:r>
          </w:p>
        </w:tc>
        <w:tc>
          <w:tcPr>
            <w:tcW w:w="1659" w:type="dxa"/>
            <w:tcBorders>
              <w:top w:val="nil"/>
              <w:left w:val="nil"/>
              <w:bottom w:val="nil"/>
              <w:right w:val="nil"/>
            </w:tcBorders>
          </w:tcPr>
          <w:p>
            <w:pPr>
              <w:pStyle w:val="TableParagraph"/>
              <w:spacing w:before="3"/>
              <w:ind w:left="516"/>
              <w:rPr>
                <w:sz w:val="20"/>
              </w:rPr>
            </w:pPr>
            <w:r>
              <w:rPr>
                <w:sz w:val="20"/>
              </w:rPr>
              <w:t>1.22</w:t>
            </w:r>
          </w:p>
        </w:tc>
        <w:tc>
          <w:tcPr>
            <w:tcW w:w="1892" w:type="dxa"/>
            <w:tcBorders>
              <w:top w:val="nil"/>
              <w:left w:val="nil"/>
              <w:bottom w:val="nil"/>
              <w:right w:val="nil"/>
            </w:tcBorders>
          </w:tcPr>
          <w:p>
            <w:pPr>
              <w:pStyle w:val="TableParagraph"/>
              <w:spacing w:before="3"/>
              <w:ind w:left="717" w:right="679"/>
              <w:jc w:val="center"/>
              <w:rPr>
                <w:sz w:val="20"/>
              </w:rPr>
            </w:pPr>
            <w:r>
              <w:rPr>
                <w:sz w:val="20"/>
              </w:rPr>
              <w:t>1.26</w:t>
            </w:r>
          </w:p>
        </w:tc>
        <w:tc>
          <w:tcPr>
            <w:tcW w:w="1825" w:type="dxa"/>
            <w:tcBorders>
              <w:top w:val="nil"/>
              <w:left w:val="nil"/>
              <w:bottom w:val="nil"/>
              <w:right w:val="nil"/>
            </w:tcBorders>
          </w:tcPr>
          <w:p>
            <w:pPr>
              <w:pStyle w:val="TableParagraph"/>
              <w:spacing w:before="3"/>
              <w:ind w:left="675" w:right="656"/>
              <w:jc w:val="center"/>
              <w:rPr>
                <w:sz w:val="20"/>
              </w:rPr>
            </w:pPr>
            <w:r>
              <w:rPr>
                <w:sz w:val="20"/>
              </w:rPr>
              <w:t>1.14</w:t>
            </w:r>
          </w:p>
        </w:tc>
      </w:tr>
      <w:tr>
        <w:trPr>
          <w:trHeight w:val="230" w:hRule="exact"/>
        </w:trPr>
        <w:tc>
          <w:tcPr>
            <w:tcW w:w="3445" w:type="dxa"/>
            <w:tcBorders>
              <w:top w:val="nil"/>
              <w:left w:val="nil"/>
              <w:bottom w:val="nil"/>
              <w:right w:val="nil"/>
            </w:tcBorders>
          </w:tcPr>
          <w:p>
            <w:pPr>
              <w:pStyle w:val="TableParagraph"/>
              <w:spacing w:before="3"/>
              <w:ind w:left="110"/>
              <w:rPr>
                <w:sz w:val="20"/>
              </w:rPr>
            </w:pPr>
            <w:r>
              <w:rPr>
                <w:sz w:val="20"/>
              </w:rPr>
              <w:t>Ratios (Stearic acid: Palmitic acid)</w:t>
            </w:r>
          </w:p>
        </w:tc>
        <w:tc>
          <w:tcPr>
            <w:tcW w:w="1659" w:type="dxa"/>
            <w:tcBorders>
              <w:top w:val="nil"/>
              <w:left w:val="nil"/>
              <w:bottom w:val="nil"/>
              <w:right w:val="nil"/>
            </w:tcBorders>
          </w:tcPr>
          <w:p>
            <w:pPr>
              <w:pStyle w:val="TableParagraph"/>
              <w:spacing w:before="3"/>
              <w:ind w:left="516"/>
              <w:rPr>
                <w:sz w:val="20"/>
              </w:rPr>
            </w:pPr>
            <w:r>
              <w:rPr>
                <w:sz w:val="20"/>
              </w:rPr>
              <w:t>2.78</w:t>
            </w:r>
          </w:p>
        </w:tc>
        <w:tc>
          <w:tcPr>
            <w:tcW w:w="1892" w:type="dxa"/>
            <w:tcBorders>
              <w:top w:val="nil"/>
              <w:left w:val="nil"/>
              <w:bottom w:val="nil"/>
              <w:right w:val="nil"/>
            </w:tcBorders>
          </w:tcPr>
          <w:p>
            <w:pPr>
              <w:pStyle w:val="TableParagraph"/>
              <w:spacing w:before="3"/>
              <w:ind w:left="717" w:right="679"/>
              <w:jc w:val="center"/>
              <w:rPr>
                <w:sz w:val="20"/>
              </w:rPr>
            </w:pPr>
            <w:r>
              <w:rPr>
                <w:sz w:val="20"/>
              </w:rPr>
              <w:t>2.61</w:t>
            </w:r>
          </w:p>
        </w:tc>
        <w:tc>
          <w:tcPr>
            <w:tcW w:w="1825" w:type="dxa"/>
            <w:tcBorders>
              <w:top w:val="nil"/>
              <w:left w:val="nil"/>
              <w:bottom w:val="nil"/>
              <w:right w:val="nil"/>
            </w:tcBorders>
          </w:tcPr>
          <w:p>
            <w:pPr>
              <w:pStyle w:val="TableParagraph"/>
              <w:spacing w:before="3"/>
              <w:ind w:left="675" w:right="656"/>
              <w:jc w:val="center"/>
              <w:rPr>
                <w:sz w:val="20"/>
              </w:rPr>
            </w:pPr>
            <w:r>
              <w:rPr>
                <w:sz w:val="20"/>
              </w:rPr>
              <w:t>2.04</w:t>
            </w:r>
          </w:p>
        </w:tc>
      </w:tr>
      <w:tr>
        <w:trPr>
          <w:trHeight w:val="230" w:hRule="exact"/>
        </w:trPr>
        <w:tc>
          <w:tcPr>
            <w:tcW w:w="3445" w:type="dxa"/>
            <w:tcBorders>
              <w:top w:val="nil"/>
              <w:left w:val="nil"/>
              <w:bottom w:val="nil"/>
              <w:right w:val="nil"/>
            </w:tcBorders>
          </w:tcPr>
          <w:p>
            <w:pPr>
              <w:pStyle w:val="TableParagraph"/>
              <w:spacing w:before="3"/>
              <w:ind w:left="110"/>
              <w:rPr>
                <w:sz w:val="20"/>
              </w:rPr>
            </w:pPr>
            <w:r>
              <w:rPr>
                <w:sz w:val="20"/>
              </w:rPr>
              <w:t>Odd-carbon fatty acids</w:t>
            </w:r>
          </w:p>
        </w:tc>
        <w:tc>
          <w:tcPr>
            <w:tcW w:w="1659" w:type="dxa"/>
            <w:tcBorders>
              <w:top w:val="nil"/>
              <w:left w:val="nil"/>
              <w:bottom w:val="nil"/>
              <w:right w:val="nil"/>
            </w:tcBorders>
          </w:tcPr>
          <w:p>
            <w:pPr>
              <w:pStyle w:val="TableParagraph"/>
              <w:spacing w:before="3"/>
              <w:ind w:left="516"/>
              <w:rPr>
                <w:sz w:val="20"/>
              </w:rPr>
            </w:pPr>
            <w:r>
              <w:rPr>
                <w:sz w:val="20"/>
              </w:rPr>
              <w:t>2.60</w:t>
            </w:r>
          </w:p>
        </w:tc>
        <w:tc>
          <w:tcPr>
            <w:tcW w:w="1892" w:type="dxa"/>
            <w:tcBorders>
              <w:top w:val="nil"/>
              <w:left w:val="nil"/>
              <w:bottom w:val="nil"/>
              <w:right w:val="nil"/>
            </w:tcBorders>
          </w:tcPr>
          <w:p>
            <w:pPr>
              <w:pStyle w:val="TableParagraph"/>
              <w:spacing w:before="3"/>
              <w:ind w:left="717" w:right="679"/>
              <w:jc w:val="center"/>
              <w:rPr>
                <w:sz w:val="20"/>
              </w:rPr>
            </w:pPr>
            <w:r>
              <w:rPr>
                <w:sz w:val="20"/>
              </w:rPr>
              <w:t>3.56</w:t>
            </w:r>
          </w:p>
        </w:tc>
        <w:tc>
          <w:tcPr>
            <w:tcW w:w="1825" w:type="dxa"/>
            <w:tcBorders>
              <w:top w:val="nil"/>
              <w:left w:val="nil"/>
              <w:bottom w:val="nil"/>
              <w:right w:val="nil"/>
            </w:tcBorders>
          </w:tcPr>
          <w:p>
            <w:pPr>
              <w:pStyle w:val="TableParagraph"/>
              <w:spacing w:before="3"/>
              <w:ind w:left="675" w:right="656"/>
              <w:jc w:val="center"/>
              <w:rPr>
                <w:sz w:val="20"/>
              </w:rPr>
            </w:pPr>
            <w:r>
              <w:rPr>
                <w:sz w:val="20"/>
              </w:rPr>
              <w:t>4.30</w:t>
            </w:r>
          </w:p>
        </w:tc>
      </w:tr>
      <w:tr>
        <w:trPr>
          <w:trHeight w:val="230" w:hRule="exact"/>
        </w:trPr>
        <w:tc>
          <w:tcPr>
            <w:tcW w:w="3445" w:type="dxa"/>
            <w:tcBorders>
              <w:top w:val="nil"/>
              <w:left w:val="nil"/>
              <w:bottom w:val="nil"/>
              <w:right w:val="nil"/>
            </w:tcBorders>
          </w:tcPr>
          <w:p>
            <w:pPr>
              <w:pStyle w:val="TableParagraph"/>
              <w:spacing w:before="3"/>
              <w:ind w:left="110"/>
              <w:rPr>
                <w:sz w:val="20"/>
              </w:rPr>
            </w:pPr>
            <w:r>
              <w:rPr>
                <w:sz w:val="20"/>
              </w:rPr>
              <w:t>Even-carbon saturated fatty acids</w:t>
            </w:r>
          </w:p>
        </w:tc>
        <w:tc>
          <w:tcPr>
            <w:tcW w:w="1659" w:type="dxa"/>
            <w:tcBorders>
              <w:top w:val="nil"/>
              <w:left w:val="nil"/>
              <w:bottom w:val="nil"/>
              <w:right w:val="nil"/>
            </w:tcBorders>
          </w:tcPr>
          <w:p>
            <w:pPr>
              <w:pStyle w:val="TableParagraph"/>
              <w:spacing w:before="3"/>
              <w:ind w:left="464"/>
              <w:rPr>
                <w:sz w:val="20"/>
              </w:rPr>
            </w:pPr>
            <w:r>
              <w:rPr>
                <w:sz w:val="20"/>
              </w:rPr>
              <w:t>70.71</w:t>
            </w:r>
          </w:p>
        </w:tc>
        <w:tc>
          <w:tcPr>
            <w:tcW w:w="1892" w:type="dxa"/>
            <w:tcBorders>
              <w:top w:val="nil"/>
              <w:left w:val="nil"/>
              <w:bottom w:val="nil"/>
              <w:right w:val="nil"/>
            </w:tcBorders>
          </w:tcPr>
          <w:p>
            <w:pPr>
              <w:pStyle w:val="TableParagraph"/>
              <w:spacing w:before="3"/>
              <w:ind w:left="721" w:right="679"/>
              <w:jc w:val="center"/>
              <w:rPr>
                <w:sz w:val="20"/>
              </w:rPr>
            </w:pPr>
            <w:r>
              <w:rPr>
                <w:sz w:val="20"/>
              </w:rPr>
              <w:t>70.59</w:t>
            </w:r>
          </w:p>
        </w:tc>
        <w:tc>
          <w:tcPr>
            <w:tcW w:w="1825" w:type="dxa"/>
            <w:tcBorders>
              <w:top w:val="nil"/>
              <w:left w:val="nil"/>
              <w:bottom w:val="nil"/>
              <w:right w:val="nil"/>
            </w:tcBorders>
          </w:tcPr>
          <w:p>
            <w:pPr>
              <w:pStyle w:val="TableParagraph"/>
              <w:spacing w:before="3"/>
              <w:ind w:left="679" w:right="656"/>
              <w:jc w:val="center"/>
              <w:rPr>
                <w:sz w:val="20"/>
              </w:rPr>
            </w:pPr>
            <w:r>
              <w:rPr>
                <w:sz w:val="20"/>
              </w:rPr>
              <w:t>66.47</w:t>
            </w:r>
          </w:p>
        </w:tc>
      </w:tr>
      <w:tr>
        <w:trPr>
          <w:trHeight w:val="235" w:hRule="exact"/>
        </w:trPr>
        <w:tc>
          <w:tcPr>
            <w:tcW w:w="3445" w:type="dxa"/>
            <w:tcBorders>
              <w:top w:val="nil"/>
              <w:left w:val="nil"/>
              <w:bottom w:val="nil"/>
              <w:right w:val="nil"/>
            </w:tcBorders>
          </w:tcPr>
          <w:p>
            <w:pPr>
              <w:pStyle w:val="TableParagraph"/>
              <w:spacing w:before="7"/>
              <w:ind w:left="110"/>
              <w:rPr>
                <w:sz w:val="20"/>
              </w:rPr>
            </w:pPr>
            <w:r>
              <w:rPr>
                <w:sz w:val="20"/>
              </w:rPr>
              <w:t>Even-carbon unsaturated fatty acids</w:t>
            </w:r>
          </w:p>
        </w:tc>
        <w:tc>
          <w:tcPr>
            <w:tcW w:w="1659" w:type="dxa"/>
            <w:tcBorders>
              <w:top w:val="nil"/>
              <w:left w:val="nil"/>
              <w:bottom w:val="nil"/>
              <w:right w:val="nil"/>
            </w:tcBorders>
          </w:tcPr>
          <w:p>
            <w:pPr>
              <w:pStyle w:val="TableParagraph"/>
              <w:spacing w:before="3"/>
              <w:ind w:left="464"/>
              <w:rPr>
                <w:sz w:val="20"/>
              </w:rPr>
            </w:pPr>
            <w:r>
              <w:rPr>
                <w:sz w:val="20"/>
              </w:rPr>
              <w:t>26.70</w:t>
            </w:r>
          </w:p>
        </w:tc>
        <w:tc>
          <w:tcPr>
            <w:tcW w:w="1892" w:type="dxa"/>
            <w:tcBorders>
              <w:top w:val="nil"/>
              <w:left w:val="nil"/>
              <w:bottom w:val="nil"/>
              <w:right w:val="nil"/>
            </w:tcBorders>
          </w:tcPr>
          <w:p>
            <w:pPr>
              <w:pStyle w:val="TableParagraph"/>
              <w:spacing w:before="3"/>
              <w:ind w:left="721" w:right="679"/>
              <w:jc w:val="center"/>
              <w:rPr>
                <w:sz w:val="20"/>
              </w:rPr>
            </w:pPr>
            <w:r>
              <w:rPr>
                <w:sz w:val="20"/>
              </w:rPr>
              <w:t>25.85</w:t>
            </w:r>
          </w:p>
        </w:tc>
        <w:tc>
          <w:tcPr>
            <w:tcW w:w="1825" w:type="dxa"/>
            <w:tcBorders>
              <w:top w:val="nil"/>
              <w:left w:val="nil"/>
              <w:bottom w:val="nil"/>
              <w:right w:val="nil"/>
            </w:tcBorders>
          </w:tcPr>
          <w:p>
            <w:pPr>
              <w:pStyle w:val="TableParagraph"/>
              <w:spacing w:before="3"/>
              <w:ind w:left="679" w:right="656"/>
              <w:jc w:val="center"/>
              <w:rPr>
                <w:sz w:val="20"/>
              </w:rPr>
            </w:pPr>
            <w:r>
              <w:rPr>
                <w:sz w:val="20"/>
              </w:rPr>
              <w:t>29.23</w:t>
            </w:r>
          </w:p>
        </w:tc>
      </w:tr>
      <w:tr>
        <w:trPr>
          <w:trHeight w:val="244" w:hRule="exact"/>
        </w:trPr>
        <w:tc>
          <w:tcPr>
            <w:tcW w:w="3445" w:type="dxa"/>
            <w:tcBorders>
              <w:top w:val="nil"/>
              <w:left w:val="nil"/>
              <w:right w:val="nil"/>
            </w:tcBorders>
          </w:tcPr>
          <w:p>
            <w:pPr>
              <w:pStyle w:val="TableParagraph"/>
              <w:spacing w:before="3"/>
              <w:ind w:left="110"/>
              <w:rPr>
                <w:sz w:val="20"/>
              </w:rPr>
            </w:pPr>
            <w:r>
              <w:rPr>
                <w:sz w:val="20"/>
              </w:rPr>
              <w:t>Saturated/unsaturated fatty acids</w:t>
            </w:r>
          </w:p>
        </w:tc>
        <w:tc>
          <w:tcPr>
            <w:tcW w:w="1659" w:type="dxa"/>
            <w:tcBorders>
              <w:top w:val="nil"/>
              <w:left w:val="nil"/>
              <w:right w:val="nil"/>
            </w:tcBorders>
          </w:tcPr>
          <w:p>
            <w:pPr>
              <w:pStyle w:val="TableParagraph"/>
              <w:spacing w:before="3"/>
              <w:ind w:left="516"/>
              <w:rPr>
                <w:sz w:val="20"/>
              </w:rPr>
            </w:pPr>
            <w:r>
              <w:rPr>
                <w:sz w:val="20"/>
              </w:rPr>
              <w:t>2.69</w:t>
            </w:r>
          </w:p>
        </w:tc>
        <w:tc>
          <w:tcPr>
            <w:tcW w:w="1892" w:type="dxa"/>
            <w:tcBorders>
              <w:top w:val="nil"/>
              <w:left w:val="nil"/>
              <w:right w:val="nil"/>
            </w:tcBorders>
          </w:tcPr>
          <w:p>
            <w:pPr>
              <w:pStyle w:val="TableParagraph"/>
              <w:spacing w:before="3"/>
              <w:ind w:left="717" w:right="679"/>
              <w:jc w:val="center"/>
              <w:rPr>
                <w:sz w:val="20"/>
              </w:rPr>
            </w:pPr>
            <w:r>
              <w:rPr>
                <w:sz w:val="20"/>
              </w:rPr>
              <w:t>2.77</w:t>
            </w:r>
          </w:p>
        </w:tc>
        <w:tc>
          <w:tcPr>
            <w:tcW w:w="1825" w:type="dxa"/>
            <w:tcBorders>
              <w:top w:val="nil"/>
              <w:left w:val="nil"/>
              <w:right w:val="nil"/>
            </w:tcBorders>
          </w:tcPr>
          <w:p>
            <w:pPr>
              <w:pStyle w:val="TableParagraph"/>
              <w:spacing w:before="3"/>
              <w:ind w:left="675" w:right="656"/>
              <w:jc w:val="center"/>
              <w:rPr>
                <w:sz w:val="20"/>
              </w:rPr>
            </w:pPr>
            <w:r>
              <w:rPr>
                <w:sz w:val="20"/>
              </w:rPr>
              <w:t>2.28</w:t>
            </w:r>
          </w:p>
        </w:tc>
      </w:tr>
    </w:tbl>
    <w:p>
      <w:pPr>
        <w:spacing w:line="220" w:lineRule="exact" w:before="0"/>
        <w:ind w:left="259" w:right="0" w:firstLine="0"/>
        <w:jc w:val="left"/>
        <w:rPr>
          <w:rFonts w:ascii="Times New Roman"/>
          <w:sz w:val="20"/>
        </w:rPr>
      </w:pPr>
      <w:r>
        <w:rPr>
          <w:rFonts w:ascii="Times New Roman"/>
          <w:i/>
          <w:position w:val="7"/>
          <w:sz w:val="13"/>
        </w:rPr>
        <w:t>a  </w:t>
      </w:r>
      <w:r>
        <w:rPr>
          <w:rFonts w:ascii="Times New Roman"/>
          <w:sz w:val="20"/>
        </w:rPr>
        <w:t>Internal peak area values, IPA(%), means the relative proportion of different fatty acids in the corresponding</w:t>
      </w:r>
    </w:p>
    <w:p>
      <w:pPr>
        <w:spacing w:before="1"/>
        <w:ind w:left="259" w:right="0" w:firstLine="0"/>
        <w:jc w:val="left"/>
        <w:rPr>
          <w:rFonts w:ascii="Times New Roman"/>
          <w:sz w:val="20"/>
        </w:rPr>
      </w:pPr>
      <w:r>
        <w:rPr>
          <w:rFonts w:ascii="Times New Roman"/>
          <w:sz w:val="20"/>
        </w:rPr>
        <w:t>individual sample.</w:t>
      </w:r>
    </w:p>
    <w:p>
      <w:pPr>
        <w:pStyle w:val="BodyText"/>
        <w:spacing w:before="9"/>
        <w:rPr>
          <w:rFonts w:ascii="Times New Roman"/>
          <w:sz w:val="18"/>
        </w:rPr>
      </w:pPr>
    </w:p>
    <w:p>
      <w:pPr>
        <w:pStyle w:val="BodyText"/>
        <w:ind w:left="552"/>
        <w:rPr>
          <w:rFonts w:ascii="Times New Roman"/>
          <w:i/>
          <w:sz w:val="16"/>
        </w:rPr>
      </w:pPr>
      <w:r>
        <w:rPr/>
        <w:pict>
          <v:shape style="position:absolute;margin-left:81.50399pt;margin-top:14.848742pt;width:449.15pt;height:39.4pt;mso-position-horizontal-relative:page;mso-position-vertical-relative:paragraph;z-index:4864"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353"/>
                    <w:gridCol w:w="1162"/>
                    <w:gridCol w:w="927"/>
                    <w:gridCol w:w="915"/>
                    <w:gridCol w:w="900"/>
                    <w:gridCol w:w="929"/>
                    <w:gridCol w:w="795"/>
                    <w:gridCol w:w="994"/>
                  </w:tblGrid>
                  <w:tr>
                    <w:trPr>
                      <w:trHeight w:val="480" w:hRule="exact"/>
                    </w:trPr>
                    <w:tc>
                      <w:tcPr>
                        <w:tcW w:w="2353" w:type="dxa"/>
                        <w:vMerge w:val="restart"/>
                        <w:tcBorders>
                          <w:left w:val="nil"/>
                          <w:right w:val="single" w:sz="4" w:space="0" w:color="000000"/>
                        </w:tcBorders>
                      </w:tcPr>
                      <w:p>
                        <w:pPr>
                          <w:pStyle w:val="TableParagraph"/>
                          <w:spacing w:before="8"/>
                          <w:rPr>
                            <w:i/>
                            <w:sz w:val="21"/>
                          </w:rPr>
                        </w:pPr>
                      </w:p>
                      <w:p>
                        <w:pPr>
                          <w:pStyle w:val="TableParagraph"/>
                          <w:ind w:left="110"/>
                          <w:rPr>
                            <w:sz w:val="20"/>
                          </w:rPr>
                        </w:pPr>
                        <w:r>
                          <w:rPr>
                            <w:sz w:val="20"/>
                          </w:rPr>
                          <w:t>Items</w:t>
                        </w:r>
                      </w:p>
                    </w:tc>
                    <w:tc>
                      <w:tcPr>
                        <w:tcW w:w="5628" w:type="dxa"/>
                        <w:gridSpan w:val="6"/>
                        <w:tcBorders>
                          <w:left w:val="single" w:sz="4" w:space="0" w:color="000000"/>
                          <w:bottom w:val="single" w:sz="4" w:space="0" w:color="000000"/>
                          <w:right w:val="single" w:sz="4" w:space="0" w:color="000000"/>
                        </w:tcBorders>
                      </w:tcPr>
                      <w:p>
                        <w:pPr>
                          <w:pStyle w:val="TableParagraph"/>
                          <w:ind w:left="1906" w:right="132" w:hanging="1758"/>
                          <w:rPr>
                            <w:sz w:val="20"/>
                          </w:rPr>
                        </w:pPr>
                        <w:r>
                          <w:rPr>
                            <w:sz w:val="20"/>
                          </w:rPr>
                          <w:t>A various of exogenous ω-6/ω-3 LCFA Ratios (x: [100-x]; in total of 100 mg/g substrate)</w:t>
                        </w:r>
                      </w:p>
                    </w:tc>
                    <w:tc>
                      <w:tcPr>
                        <w:tcW w:w="994" w:type="dxa"/>
                        <w:vMerge w:val="restart"/>
                        <w:tcBorders>
                          <w:left w:val="single" w:sz="4" w:space="0" w:color="000000"/>
                          <w:right w:val="nil"/>
                        </w:tcBorders>
                      </w:tcPr>
                      <w:p>
                        <w:pPr>
                          <w:pStyle w:val="TableParagraph"/>
                          <w:spacing w:before="8"/>
                          <w:rPr>
                            <w:i/>
                            <w:sz w:val="21"/>
                          </w:rPr>
                        </w:pPr>
                      </w:p>
                      <w:p>
                        <w:pPr>
                          <w:pStyle w:val="TableParagraph"/>
                          <w:ind w:left="153"/>
                          <w:rPr>
                            <w:sz w:val="20"/>
                          </w:rPr>
                        </w:pPr>
                        <w:r>
                          <w:rPr>
                            <w:sz w:val="20"/>
                          </w:rPr>
                          <w:t>Average</w:t>
                        </w:r>
                      </w:p>
                    </w:tc>
                  </w:tr>
                  <w:tr>
                    <w:trPr>
                      <w:trHeight w:val="290" w:hRule="exact"/>
                    </w:trPr>
                    <w:tc>
                      <w:tcPr>
                        <w:tcW w:w="2353" w:type="dxa"/>
                        <w:vMerge/>
                        <w:tcBorders>
                          <w:left w:val="nil"/>
                          <w:bottom w:val="single" w:sz="2" w:space="0" w:color="000000"/>
                          <w:right w:val="single" w:sz="4" w:space="0" w:color="000000"/>
                        </w:tcBorders>
                      </w:tcPr>
                      <w:p>
                        <w:pPr/>
                      </w:p>
                    </w:tc>
                    <w:tc>
                      <w:tcPr>
                        <w:tcW w:w="1162" w:type="dxa"/>
                        <w:tcBorders>
                          <w:top w:val="single" w:sz="4" w:space="0" w:color="000000"/>
                          <w:left w:val="single" w:sz="4" w:space="0" w:color="000000"/>
                          <w:bottom w:val="single" w:sz="2" w:space="0" w:color="000000"/>
                          <w:right w:val="nil"/>
                        </w:tcBorders>
                      </w:tcPr>
                      <w:p>
                        <w:pPr>
                          <w:pStyle w:val="TableParagraph"/>
                          <w:spacing w:before="43"/>
                          <w:ind w:left="480"/>
                          <w:rPr>
                            <w:i/>
                            <w:sz w:val="20"/>
                          </w:rPr>
                        </w:pPr>
                        <w:r>
                          <w:rPr>
                            <w:i/>
                            <w:sz w:val="20"/>
                          </w:rPr>
                          <w:t>100-0</w:t>
                        </w:r>
                      </w:p>
                    </w:tc>
                    <w:tc>
                      <w:tcPr>
                        <w:tcW w:w="927" w:type="dxa"/>
                        <w:tcBorders>
                          <w:top w:val="single" w:sz="4" w:space="0" w:color="000000"/>
                          <w:left w:val="nil"/>
                          <w:bottom w:val="single" w:sz="2" w:space="0" w:color="000000"/>
                          <w:right w:val="nil"/>
                        </w:tcBorders>
                      </w:tcPr>
                      <w:p>
                        <w:pPr>
                          <w:pStyle w:val="TableParagraph"/>
                          <w:spacing w:before="43"/>
                          <w:ind w:left="206"/>
                          <w:rPr>
                            <w:i/>
                            <w:sz w:val="20"/>
                          </w:rPr>
                        </w:pPr>
                        <w:r>
                          <w:rPr>
                            <w:i/>
                            <w:sz w:val="20"/>
                          </w:rPr>
                          <w:t>90-10</w:t>
                        </w:r>
                      </w:p>
                    </w:tc>
                    <w:tc>
                      <w:tcPr>
                        <w:tcW w:w="915" w:type="dxa"/>
                        <w:tcBorders>
                          <w:top w:val="single" w:sz="4" w:space="0" w:color="000000"/>
                          <w:left w:val="nil"/>
                          <w:bottom w:val="single" w:sz="2" w:space="0" w:color="000000"/>
                          <w:right w:val="nil"/>
                        </w:tcBorders>
                      </w:tcPr>
                      <w:p>
                        <w:pPr>
                          <w:pStyle w:val="TableParagraph"/>
                          <w:spacing w:before="43"/>
                          <w:ind w:left="249"/>
                          <w:rPr>
                            <w:i/>
                            <w:sz w:val="20"/>
                          </w:rPr>
                        </w:pPr>
                        <w:r>
                          <w:rPr>
                            <w:i/>
                            <w:sz w:val="20"/>
                          </w:rPr>
                          <w:t>80-20</w:t>
                        </w:r>
                      </w:p>
                    </w:tc>
                    <w:tc>
                      <w:tcPr>
                        <w:tcW w:w="900" w:type="dxa"/>
                        <w:tcBorders>
                          <w:top w:val="single" w:sz="4" w:space="0" w:color="000000"/>
                          <w:left w:val="nil"/>
                          <w:bottom w:val="single" w:sz="2" w:space="0" w:color="000000"/>
                          <w:right w:val="nil"/>
                        </w:tcBorders>
                      </w:tcPr>
                      <w:p>
                        <w:pPr>
                          <w:pStyle w:val="TableParagraph"/>
                          <w:spacing w:before="43"/>
                          <w:ind w:left="194"/>
                          <w:rPr>
                            <w:i/>
                            <w:sz w:val="20"/>
                          </w:rPr>
                        </w:pPr>
                        <w:r>
                          <w:rPr>
                            <w:i/>
                            <w:sz w:val="20"/>
                          </w:rPr>
                          <w:t>66-33</w:t>
                        </w:r>
                      </w:p>
                    </w:tc>
                    <w:tc>
                      <w:tcPr>
                        <w:tcW w:w="929" w:type="dxa"/>
                        <w:tcBorders>
                          <w:top w:val="single" w:sz="4" w:space="0" w:color="000000"/>
                          <w:left w:val="nil"/>
                          <w:bottom w:val="single" w:sz="2" w:space="0" w:color="000000"/>
                          <w:right w:val="nil"/>
                        </w:tcBorders>
                      </w:tcPr>
                      <w:p>
                        <w:pPr>
                          <w:pStyle w:val="TableParagraph"/>
                          <w:spacing w:before="43"/>
                          <w:ind w:left="235"/>
                          <w:rPr>
                            <w:i/>
                            <w:sz w:val="20"/>
                          </w:rPr>
                        </w:pPr>
                        <w:r>
                          <w:rPr>
                            <w:i/>
                            <w:sz w:val="20"/>
                          </w:rPr>
                          <w:t>50-50</w:t>
                        </w:r>
                      </w:p>
                    </w:tc>
                    <w:tc>
                      <w:tcPr>
                        <w:tcW w:w="795" w:type="dxa"/>
                        <w:tcBorders>
                          <w:top w:val="single" w:sz="4" w:space="0" w:color="000000"/>
                          <w:left w:val="nil"/>
                          <w:bottom w:val="single" w:sz="2" w:space="0" w:color="000000"/>
                          <w:right w:val="single" w:sz="4" w:space="0" w:color="000000"/>
                        </w:tcBorders>
                      </w:tcPr>
                      <w:p>
                        <w:pPr>
                          <w:pStyle w:val="TableParagraph"/>
                          <w:spacing w:before="43"/>
                          <w:ind w:left="223"/>
                          <w:rPr>
                            <w:i/>
                            <w:sz w:val="20"/>
                          </w:rPr>
                        </w:pPr>
                        <w:r>
                          <w:rPr>
                            <w:i/>
                            <w:sz w:val="20"/>
                          </w:rPr>
                          <w:t>20-80</w:t>
                        </w:r>
                      </w:p>
                    </w:tc>
                    <w:tc>
                      <w:tcPr>
                        <w:tcW w:w="994" w:type="dxa"/>
                        <w:vMerge/>
                        <w:tcBorders>
                          <w:left w:val="single" w:sz="4" w:space="0" w:color="000000"/>
                          <w:bottom w:val="single" w:sz="2" w:space="0" w:color="000000"/>
                          <w:right w:val="nil"/>
                        </w:tcBorders>
                      </w:tcPr>
                      <w:p>
                        <w:pPr/>
                      </w:p>
                    </w:tc>
                  </w:tr>
                </w:tbl>
                <w:p>
                  <w:pPr>
                    <w:pStyle w:val="BodyText"/>
                  </w:pPr>
                </w:p>
              </w:txbxContent>
            </v:textbox>
            <w10:wrap type="none"/>
          </v:shape>
        </w:pict>
      </w:r>
      <w:r>
        <w:rPr>
          <w:rFonts w:ascii="Times New Roman"/>
          <w:b/>
        </w:rPr>
        <w:t>Table 2</w:t>
      </w:r>
      <w:r>
        <w:rPr>
          <w:rFonts w:ascii="Times New Roman"/>
        </w:rPr>
        <w:t>. Eigenvalues of Internal Peak Area of LCFA profiles in bacterial membrane </w:t>
      </w:r>
      <w:r>
        <w:rPr>
          <w:rFonts w:ascii="Times New Roman"/>
          <w:i/>
          <w:position w:val="9"/>
          <w:sz w:val="16"/>
        </w:rPr>
        <w:t>a</w:t>
      </w:r>
    </w:p>
    <w:p>
      <w:pPr>
        <w:pStyle w:val="BodyText"/>
        <w:rPr>
          <w:rFonts w:ascii="Times New Roman"/>
          <w:i/>
          <w:sz w:val="20"/>
        </w:rPr>
      </w:pPr>
    </w:p>
    <w:p>
      <w:pPr>
        <w:pStyle w:val="BodyText"/>
        <w:rPr>
          <w:rFonts w:ascii="Times New Roman"/>
          <w:i/>
          <w:sz w:val="20"/>
        </w:rPr>
      </w:pPr>
    </w:p>
    <w:p>
      <w:pPr>
        <w:pStyle w:val="BodyText"/>
        <w:spacing w:before="8" w:after="1"/>
        <w:rPr>
          <w:rFonts w:ascii="Times New Roman"/>
          <w:i/>
          <w:sz w:val="25"/>
        </w:rPr>
      </w:pPr>
    </w:p>
    <w:tbl>
      <w:tblPr>
        <w:tblW w:w="0" w:type="auto"/>
        <w:jc w:val="left"/>
        <w:tblInd w:w="1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9"/>
        <w:gridCol w:w="983"/>
        <w:gridCol w:w="927"/>
        <w:gridCol w:w="915"/>
        <w:gridCol w:w="901"/>
        <w:gridCol w:w="929"/>
        <w:gridCol w:w="956"/>
        <w:gridCol w:w="826"/>
      </w:tblGrid>
      <w:tr>
        <w:trPr>
          <w:trHeight w:val="340" w:hRule="exact"/>
        </w:trPr>
        <w:tc>
          <w:tcPr>
            <w:tcW w:w="2539" w:type="dxa"/>
          </w:tcPr>
          <w:p>
            <w:pPr>
              <w:pStyle w:val="TableParagraph"/>
              <w:spacing w:before="75"/>
              <w:ind w:left="110"/>
              <w:rPr>
                <w:sz w:val="20"/>
              </w:rPr>
            </w:pPr>
            <w:r>
              <w:rPr>
                <w:sz w:val="20"/>
              </w:rPr>
              <w:t>Lauric acid</w:t>
            </w:r>
          </w:p>
        </w:tc>
        <w:tc>
          <w:tcPr>
            <w:tcW w:w="983" w:type="dxa"/>
          </w:tcPr>
          <w:p>
            <w:pPr>
              <w:pStyle w:val="TableParagraph"/>
              <w:spacing w:before="75"/>
              <w:ind w:right="211"/>
              <w:jc w:val="right"/>
              <w:rPr>
                <w:sz w:val="20"/>
              </w:rPr>
            </w:pPr>
            <w:r>
              <w:rPr>
                <w:sz w:val="20"/>
              </w:rPr>
              <w:t>0.62</w:t>
            </w:r>
          </w:p>
        </w:tc>
        <w:tc>
          <w:tcPr>
            <w:tcW w:w="927" w:type="dxa"/>
          </w:tcPr>
          <w:p>
            <w:pPr>
              <w:pStyle w:val="TableParagraph"/>
              <w:spacing w:before="75"/>
              <w:ind w:right="256"/>
              <w:jc w:val="right"/>
              <w:rPr>
                <w:sz w:val="20"/>
              </w:rPr>
            </w:pPr>
            <w:r>
              <w:rPr>
                <w:sz w:val="20"/>
              </w:rPr>
              <w:t>0.67</w:t>
            </w:r>
          </w:p>
        </w:tc>
        <w:tc>
          <w:tcPr>
            <w:tcW w:w="915" w:type="dxa"/>
          </w:tcPr>
          <w:p>
            <w:pPr>
              <w:pStyle w:val="TableParagraph"/>
              <w:spacing w:before="75"/>
              <w:ind w:right="199"/>
              <w:jc w:val="right"/>
              <w:rPr>
                <w:sz w:val="20"/>
              </w:rPr>
            </w:pPr>
            <w:r>
              <w:rPr>
                <w:sz w:val="20"/>
              </w:rPr>
              <w:t>0.56</w:t>
            </w:r>
          </w:p>
        </w:tc>
        <w:tc>
          <w:tcPr>
            <w:tcW w:w="901" w:type="dxa"/>
          </w:tcPr>
          <w:p>
            <w:pPr>
              <w:pStyle w:val="TableParagraph"/>
              <w:spacing w:before="75"/>
              <w:ind w:left="186" w:right="127"/>
              <w:jc w:val="center"/>
              <w:rPr>
                <w:sz w:val="20"/>
              </w:rPr>
            </w:pPr>
            <w:r>
              <w:rPr>
                <w:sz w:val="20"/>
              </w:rPr>
              <w:t>0.55</w:t>
            </w:r>
          </w:p>
        </w:tc>
        <w:tc>
          <w:tcPr>
            <w:tcW w:w="929" w:type="dxa"/>
          </w:tcPr>
          <w:p>
            <w:pPr>
              <w:pStyle w:val="TableParagraph"/>
              <w:spacing w:before="75"/>
              <w:ind w:left="225" w:right="113"/>
              <w:jc w:val="center"/>
              <w:rPr>
                <w:sz w:val="20"/>
              </w:rPr>
            </w:pPr>
            <w:r>
              <w:rPr>
                <w:sz w:val="20"/>
              </w:rPr>
              <w:t>1.89</w:t>
            </w:r>
          </w:p>
        </w:tc>
        <w:tc>
          <w:tcPr>
            <w:tcW w:w="956" w:type="dxa"/>
          </w:tcPr>
          <w:p>
            <w:pPr>
              <w:pStyle w:val="TableParagraph"/>
              <w:spacing w:before="75"/>
              <w:ind w:left="214" w:right="152"/>
              <w:jc w:val="center"/>
              <w:rPr>
                <w:sz w:val="20"/>
              </w:rPr>
            </w:pPr>
            <w:r>
              <w:rPr>
                <w:sz w:val="20"/>
              </w:rPr>
              <w:t>0.52</w:t>
            </w:r>
          </w:p>
        </w:tc>
        <w:tc>
          <w:tcPr>
            <w:tcW w:w="826" w:type="dxa"/>
          </w:tcPr>
          <w:p>
            <w:pPr>
              <w:pStyle w:val="TableParagraph"/>
              <w:spacing w:before="75"/>
              <w:ind w:right="100"/>
              <w:jc w:val="right"/>
              <w:rPr>
                <w:sz w:val="20"/>
              </w:rPr>
            </w:pPr>
            <w:r>
              <w:rPr>
                <w:sz w:val="20"/>
              </w:rPr>
              <w:t>0.80</w:t>
            </w:r>
          </w:p>
        </w:tc>
      </w:tr>
      <w:tr>
        <w:trPr>
          <w:trHeight w:val="281" w:hRule="exact"/>
        </w:trPr>
        <w:tc>
          <w:tcPr>
            <w:tcW w:w="2539" w:type="dxa"/>
          </w:tcPr>
          <w:p>
            <w:pPr>
              <w:pStyle w:val="TableParagraph"/>
              <w:spacing w:before="14"/>
              <w:ind w:left="110"/>
              <w:rPr>
                <w:sz w:val="20"/>
              </w:rPr>
            </w:pPr>
            <w:r>
              <w:rPr>
                <w:sz w:val="20"/>
              </w:rPr>
              <w:t>Myristic acid</w:t>
            </w:r>
          </w:p>
        </w:tc>
        <w:tc>
          <w:tcPr>
            <w:tcW w:w="983" w:type="dxa"/>
          </w:tcPr>
          <w:p>
            <w:pPr>
              <w:pStyle w:val="TableParagraph"/>
              <w:spacing w:before="14"/>
              <w:ind w:right="211"/>
              <w:jc w:val="right"/>
              <w:rPr>
                <w:sz w:val="20"/>
              </w:rPr>
            </w:pPr>
            <w:r>
              <w:rPr>
                <w:sz w:val="20"/>
              </w:rPr>
              <w:t>1.53</w:t>
            </w:r>
          </w:p>
        </w:tc>
        <w:tc>
          <w:tcPr>
            <w:tcW w:w="927" w:type="dxa"/>
          </w:tcPr>
          <w:p>
            <w:pPr>
              <w:pStyle w:val="TableParagraph"/>
              <w:spacing w:before="14"/>
              <w:ind w:right="256"/>
              <w:jc w:val="right"/>
              <w:rPr>
                <w:sz w:val="20"/>
              </w:rPr>
            </w:pPr>
            <w:r>
              <w:rPr>
                <w:sz w:val="20"/>
              </w:rPr>
              <w:t>1.45</w:t>
            </w:r>
          </w:p>
        </w:tc>
        <w:tc>
          <w:tcPr>
            <w:tcW w:w="915" w:type="dxa"/>
          </w:tcPr>
          <w:p>
            <w:pPr>
              <w:pStyle w:val="TableParagraph"/>
              <w:spacing w:before="14"/>
              <w:ind w:right="199"/>
              <w:jc w:val="right"/>
              <w:rPr>
                <w:sz w:val="20"/>
              </w:rPr>
            </w:pPr>
            <w:r>
              <w:rPr>
                <w:sz w:val="20"/>
              </w:rPr>
              <w:t>1.31</w:t>
            </w:r>
          </w:p>
        </w:tc>
        <w:tc>
          <w:tcPr>
            <w:tcW w:w="901" w:type="dxa"/>
          </w:tcPr>
          <w:p>
            <w:pPr>
              <w:pStyle w:val="TableParagraph"/>
              <w:spacing w:before="14"/>
              <w:ind w:left="186" w:right="127"/>
              <w:jc w:val="center"/>
              <w:rPr>
                <w:sz w:val="20"/>
              </w:rPr>
            </w:pPr>
            <w:r>
              <w:rPr>
                <w:sz w:val="20"/>
              </w:rPr>
              <w:t>1.27</w:t>
            </w:r>
          </w:p>
        </w:tc>
        <w:tc>
          <w:tcPr>
            <w:tcW w:w="929" w:type="dxa"/>
          </w:tcPr>
          <w:p>
            <w:pPr>
              <w:pStyle w:val="TableParagraph"/>
              <w:spacing w:before="14"/>
              <w:ind w:left="225" w:right="113"/>
              <w:jc w:val="center"/>
              <w:rPr>
                <w:sz w:val="20"/>
              </w:rPr>
            </w:pPr>
            <w:r>
              <w:rPr>
                <w:sz w:val="20"/>
              </w:rPr>
              <w:t>1.71</w:t>
            </w:r>
          </w:p>
        </w:tc>
        <w:tc>
          <w:tcPr>
            <w:tcW w:w="956" w:type="dxa"/>
          </w:tcPr>
          <w:p>
            <w:pPr>
              <w:pStyle w:val="TableParagraph"/>
              <w:spacing w:before="14"/>
              <w:ind w:left="214" w:right="152"/>
              <w:jc w:val="center"/>
              <w:rPr>
                <w:sz w:val="20"/>
              </w:rPr>
            </w:pPr>
            <w:r>
              <w:rPr>
                <w:sz w:val="20"/>
              </w:rPr>
              <w:t>1.23</w:t>
            </w:r>
          </w:p>
        </w:tc>
        <w:tc>
          <w:tcPr>
            <w:tcW w:w="826" w:type="dxa"/>
          </w:tcPr>
          <w:p>
            <w:pPr>
              <w:pStyle w:val="TableParagraph"/>
              <w:spacing w:before="14"/>
              <w:ind w:right="100"/>
              <w:jc w:val="right"/>
              <w:rPr>
                <w:sz w:val="20"/>
              </w:rPr>
            </w:pPr>
            <w:r>
              <w:rPr>
                <w:sz w:val="20"/>
              </w:rPr>
              <w:t>1.42</w:t>
            </w:r>
          </w:p>
        </w:tc>
      </w:tr>
      <w:tr>
        <w:trPr>
          <w:trHeight w:val="281" w:hRule="exact"/>
        </w:trPr>
        <w:tc>
          <w:tcPr>
            <w:tcW w:w="2539" w:type="dxa"/>
          </w:tcPr>
          <w:p>
            <w:pPr>
              <w:pStyle w:val="TableParagraph"/>
              <w:spacing w:before="16"/>
              <w:ind w:left="110"/>
              <w:rPr>
                <w:sz w:val="20"/>
              </w:rPr>
            </w:pPr>
            <w:r>
              <w:rPr>
                <w:sz w:val="20"/>
              </w:rPr>
              <w:t>Myritoleic acid</w:t>
            </w:r>
          </w:p>
        </w:tc>
        <w:tc>
          <w:tcPr>
            <w:tcW w:w="983" w:type="dxa"/>
          </w:tcPr>
          <w:p>
            <w:pPr>
              <w:pStyle w:val="TableParagraph"/>
              <w:spacing w:before="16"/>
              <w:ind w:right="211"/>
              <w:jc w:val="right"/>
              <w:rPr>
                <w:sz w:val="20"/>
              </w:rPr>
            </w:pPr>
            <w:r>
              <w:rPr>
                <w:sz w:val="20"/>
              </w:rPr>
              <w:t>2.66</w:t>
            </w:r>
          </w:p>
        </w:tc>
        <w:tc>
          <w:tcPr>
            <w:tcW w:w="927" w:type="dxa"/>
          </w:tcPr>
          <w:p>
            <w:pPr>
              <w:pStyle w:val="TableParagraph"/>
              <w:spacing w:before="16"/>
              <w:ind w:right="256"/>
              <w:jc w:val="right"/>
              <w:rPr>
                <w:sz w:val="20"/>
              </w:rPr>
            </w:pPr>
            <w:r>
              <w:rPr>
                <w:sz w:val="20"/>
              </w:rPr>
              <w:t>2.61</w:t>
            </w:r>
          </w:p>
        </w:tc>
        <w:tc>
          <w:tcPr>
            <w:tcW w:w="915" w:type="dxa"/>
          </w:tcPr>
          <w:p>
            <w:pPr>
              <w:pStyle w:val="TableParagraph"/>
              <w:spacing w:before="16"/>
              <w:ind w:right="199"/>
              <w:jc w:val="right"/>
              <w:rPr>
                <w:sz w:val="20"/>
              </w:rPr>
            </w:pPr>
            <w:r>
              <w:rPr>
                <w:sz w:val="20"/>
              </w:rPr>
              <w:t>2.32</w:t>
            </w:r>
          </w:p>
        </w:tc>
        <w:tc>
          <w:tcPr>
            <w:tcW w:w="901" w:type="dxa"/>
          </w:tcPr>
          <w:p>
            <w:pPr>
              <w:pStyle w:val="TableParagraph"/>
              <w:spacing w:before="16"/>
              <w:ind w:left="186" w:right="127"/>
              <w:jc w:val="center"/>
              <w:rPr>
                <w:sz w:val="20"/>
              </w:rPr>
            </w:pPr>
            <w:r>
              <w:rPr>
                <w:sz w:val="20"/>
              </w:rPr>
              <w:t>2.20</w:t>
            </w:r>
          </w:p>
        </w:tc>
        <w:tc>
          <w:tcPr>
            <w:tcW w:w="929" w:type="dxa"/>
          </w:tcPr>
          <w:p>
            <w:pPr>
              <w:pStyle w:val="TableParagraph"/>
              <w:spacing w:before="16"/>
              <w:ind w:left="225" w:right="113"/>
              <w:jc w:val="center"/>
              <w:rPr>
                <w:sz w:val="20"/>
              </w:rPr>
            </w:pPr>
            <w:r>
              <w:rPr>
                <w:sz w:val="20"/>
              </w:rPr>
              <w:t>1.90</w:t>
            </w:r>
          </w:p>
        </w:tc>
        <w:tc>
          <w:tcPr>
            <w:tcW w:w="956" w:type="dxa"/>
          </w:tcPr>
          <w:p>
            <w:pPr>
              <w:pStyle w:val="TableParagraph"/>
              <w:spacing w:before="16"/>
              <w:ind w:left="214" w:right="152"/>
              <w:jc w:val="center"/>
              <w:rPr>
                <w:sz w:val="20"/>
              </w:rPr>
            </w:pPr>
            <w:r>
              <w:rPr>
                <w:sz w:val="20"/>
              </w:rPr>
              <w:t>2.06</w:t>
            </w:r>
          </w:p>
        </w:tc>
        <w:tc>
          <w:tcPr>
            <w:tcW w:w="826" w:type="dxa"/>
          </w:tcPr>
          <w:p>
            <w:pPr>
              <w:pStyle w:val="TableParagraph"/>
              <w:spacing w:before="16"/>
              <w:ind w:right="100"/>
              <w:jc w:val="right"/>
              <w:rPr>
                <w:sz w:val="20"/>
              </w:rPr>
            </w:pPr>
            <w:r>
              <w:rPr>
                <w:sz w:val="20"/>
              </w:rPr>
              <w:t>2.29</w:t>
            </w:r>
          </w:p>
        </w:tc>
      </w:tr>
      <w:tr>
        <w:trPr>
          <w:trHeight w:val="278" w:hRule="exact"/>
        </w:trPr>
        <w:tc>
          <w:tcPr>
            <w:tcW w:w="2539" w:type="dxa"/>
          </w:tcPr>
          <w:p>
            <w:pPr>
              <w:pStyle w:val="TableParagraph"/>
              <w:spacing w:before="14"/>
              <w:ind w:left="110"/>
              <w:rPr>
                <w:sz w:val="20"/>
              </w:rPr>
            </w:pPr>
            <w:r>
              <w:rPr>
                <w:sz w:val="20"/>
              </w:rPr>
              <w:t>Pentadecanoic acid</w:t>
            </w:r>
          </w:p>
        </w:tc>
        <w:tc>
          <w:tcPr>
            <w:tcW w:w="983" w:type="dxa"/>
          </w:tcPr>
          <w:p>
            <w:pPr>
              <w:pStyle w:val="TableParagraph"/>
              <w:spacing w:before="14"/>
              <w:ind w:right="211"/>
              <w:jc w:val="right"/>
              <w:rPr>
                <w:sz w:val="20"/>
              </w:rPr>
            </w:pPr>
            <w:r>
              <w:rPr>
                <w:sz w:val="20"/>
              </w:rPr>
              <w:t>2.13</w:t>
            </w:r>
          </w:p>
        </w:tc>
        <w:tc>
          <w:tcPr>
            <w:tcW w:w="927" w:type="dxa"/>
          </w:tcPr>
          <w:p>
            <w:pPr>
              <w:pStyle w:val="TableParagraph"/>
              <w:spacing w:before="14"/>
              <w:ind w:right="256"/>
              <w:jc w:val="right"/>
              <w:rPr>
                <w:sz w:val="20"/>
              </w:rPr>
            </w:pPr>
            <w:r>
              <w:rPr>
                <w:sz w:val="20"/>
              </w:rPr>
              <w:t>1.86</w:t>
            </w:r>
          </w:p>
        </w:tc>
        <w:tc>
          <w:tcPr>
            <w:tcW w:w="915" w:type="dxa"/>
          </w:tcPr>
          <w:p>
            <w:pPr>
              <w:pStyle w:val="TableParagraph"/>
              <w:spacing w:before="14"/>
              <w:ind w:right="199"/>
              <w:jc w:val="right"/>
              <w:rPr>
                <w:sz w:val="20"/>
              </w:rPr>
            </w:pPr>
            <w:r>
              <w:rPr>
                <w:sz w:val="20"/>
              </w:rPr>
              <w:t>1.82</w:t>
            </w:r>
          </w:p>
        </w:tc>
        <w:tc>
          <w:tcPr>
            <w:tcW w:w="901" w:type="dxa"/>
          </w:tcPr>
          <w:p>
            <w:pPr>
              <w:pStyle w:val="TableParagraph"/>
              <w:spacing w:before="14"/>
              <w:ind w:left="186" w:right="127"/>
              <w:jc w:val="center"/>
              <w:rPr>
                <w:sz w:val="20"/>
              </w:rPr>
            </w:pPr>
            <w:r>
              <w:rPr>
                <w:sz w:val="20"/>
              </w:rPr>
              <w:t>1.68</w:t>
            </w:r>
          </w:p>
        </w:tc>
        <w:tc>
          <w:tcPr>
            <w:tcW w:w="929" w:type="dxa"/>
          </w:tcPr>
          <w:p>
            <w:pPr>
              <w:pStyle w:val="TableParagraph"/>
              <w:spacing w:before="14"/>
              <w:ind w:left="225" w:right="113"/>
              <w:jc w:val="center"/>
              <w:rPr>
                <w:sz w:val="20"/>
              </w:rPr>
            </w:pPr>
            <w:r>
              <w:rPr>
                <w:sz w:val="20"/>
              </w:rPr>
              <w:t>1.53</w:t>
            </w:r>
          </w:p>
        </w:tc>
        <w:tc>
          <w:tcPr>
            <w:tcW w:w="956" w:type="dxa"/>
          </w:tcPr>
          <w:p>
            <w:pPr>
              <w:pStyle w:val="TableParagraph"/>
              <w:spacing w:before="14"/>
              <w:ind w:left="214" w:right="152"/>
              <w:jc w:val="center"/>
              <w:rPr>
                <w:sz w:val="20"/>
              </w:rPr>
            </w:pPr>
            <w:r>
              <w:rPr>
                <w:sz w:val="20"/>
              </w:rPr>
              <w:t>1.61</w:t>
            </w:r>
          </w:p>
        </w:tc>
        <w:tc>
          <w:tcPr>
            <w:tcW w:w="826" w:type="dxa"/>
          </w:tcPr>
          <w:p>
            <w:pPr>
              <w:pStyle w:val="TableParagraph"/>
              <w:spacing w:before="14"/>
              <w:ind w:right="100"/>
              <w:jc w:val="right"/>
              <w:rPr>
                <w:sz w:val="20"/>
              </w:rPr>
            </w:pPr>
            <w:r>
              <w:rPr>
                <w:sz w:val="20"/>
              </w:rPr>
              <w:t>1.77</w:t>
            </w:r>
          </w:p>
        </w:tc>
      </w:tr>
      <w:tr>
        <w:trPr>
          <w:trHeight w:val="281" w:hRule="exact"/>
        </w:trPr>
        <w:tc>
          <w:tcPr>
            <w:tcW w:w="2539" w:type="dxa"/>
          </w:tcPr>
          <w:p>
            <w:pPr>
              <w:pStyle w:val="TableParagraph"/>
              <w:spacing w:before="14"/>
              <w:ind w:left="110"/>
              <w:rPr>
                <w:sz w:val="20"/>
              </w:rPr>
            </w:pPr>
            <w:r>
              <w:rPr>
                <w:i/>
                <w:sz w:val="20"/>
              </w:rPr>
              <w:t>cis</w:t>
            </w:r>
            <w:r>
              <w:rPr>
                <w:sz w:val="20"/>
              </w:rPr>
              <w:t>-10-Pentadecenoic acid</w:t>
            </w:r>
          </w:p>
        </w:tc>
        <w:tc>
          <w:tcPr>
            <w:tcW w:w="983" w:type="dxa"/>
          </w:tcPr>
          <w:p>
            <w:pPr>
              <w:pStyle w:val="TableParagraph"/>
              <w:spacing w:before="14"/>
              <w:ind w:right="211"/>
              <w:jc w:val="right"/>
              <w:rPr>
                <w:sz w:val="20"/>
              </w:rPr>
            </w:pPr>
            <w:r>
              <w:rPr>
                <w:sz w:val="20"/>
              </w:rPr>
              <w:t>0.83</w:t>
            </w:r>
          </w:p>
        </w:tc>
        <w:tc>
          <w:tcPr>
            <w:tcW w:w="927" w:type="dxa"/>
          </w:tcPr>
          <w:p>
            <w:pPr>
              <w:pStyle w:val="TableParagraph"/>
              <w:spacing w:before="14"/>
              <w:ind w:right="256"/>
              <w:jc w:val="right"/>
              <w:rPr>
                <w:sz w:val="20"/>
              </w:rPr>
            </w:pPr>
            <w:r>
              <w:rPr>
                <w:sz w:val="20"/>
              </w:rPr>
              <w:t>0.73</w:t>
            </w:r>
          </w:p>
        </w:tc>
        <w:tc>
          <w:tcPr>
            <w:tcW w:w="915" w:type="dxa"/>
          </w:tcPr>
          <w:p>
            <w:pPr>
              <w:pStyle w:val="TableParagraph"/>
              <w:spacing w:before="14"/>
              <w:ind w:right="199"/>
              <w:jc w:val="right"/>
              <w:rPr>
                <w:sz w:val="20"/>
              </w:rPr>
            </w:pPr>
            <w:r>
              <w:rPr>
                <w:sz w:val="20"/>
              </w:rPr>
              <w:t>0.64</w:t>
            </w:r>
          </w:p>
        </w:tc>
        <w:tc>
          <w:tcPr>
            <w:tcW w:w="901" w:type="dxa"/>
          </w:tcPr>
          <w:p>
            <w:pPr>
              <w:pStyle w:val="TableParagraph"/>
              <w:spacing w:before="14"/>
              <w:ind w:left="186" w:right="127"/>
              <w:jc w:val="center"/>
              <w:rPr>
                <w:sz w:val="20"/>
              </w:rPr>
            </w:pPr>
            <w:r>
              <w:rPr>
                <w:sz w:val="20"/>
              </w:rPr>
              <w:t>0.58</w:t>
            </w:r>
          </w:p>
        </w:tc>
        <w:tc>
          <w:tcPr>
            <w:tcW w:w="929" w:type="dxa"/>
          </w:tcPr>
          <w:p>
            <w:pPr>
              <w:pStyle w:val="TableParagraph"/>
              <w:spacing w:before="14"/>
              <w:ind w:left="225" w:right="113"/>
              <w:jc w:val="center"/>
              <w:rPr>
                <w:sz w:val="20"/>
              </w:rPr>
            </w:pPr>
            <w:r>
              <w:rPr>
                <w:sz w:val="20"/>
              </w:rPr>
              <w:t>0.45</w:t>
            </w:r>
          </w:p>
        </w:tc>
        <w:tc>
          <w:tcPr>
            <w:tcW w:w="956" w:type="dxa"/>
          </w:tcPr>
          <w:p>
            <w:pPr>
              <w:pStyle w:val="TableParagraph"/>
              <w:spacing w:before="14"/>
              <w:ind w:left="214" w:right="152"/>
              <w:jc w:val="center"/>
              <w:rPr>
                <w:sz w:val="20"/>
              </w:rPr>
            </w:pPr>
            <w:r>
              <w:rPr>
                <w:sz w:val="20"/>
              </w:rPr>
              <w:t>0.44</w:t>
            </w:r>
          </w:p>
        </w:tc>
        <w:tc>
          <w:tcPr>
            <w:tcW w:w="826" w:type="dxa"/>
          </w:tcPr>
          <w:p>
            <w:pPr>
              <w:pStyle w:val="TableParagraph"/>
              <w:spacing w:before="14"/>
              <w:ind w:right="100"/>
              <w:jc w:val="right"/>
              <w:rPr>
                <w:sz w:val="20"/>
              </w:rPr>
            </w:pPr>
            <w:r>
              <w:rPr>
                <w:sz w:val="20"/>
              </w:rPr>
              <w:t>0.61</w:t>
            </w:r>
          </w:p>
        </w:tc>
      </w:tr>
      <w:tr>
        <w:trPr>
          <w:trHeight w:val="281" w:hRule="exact"/>
        </w:trPr>
        <w:tc>
          <w:tcPr>
            <w:tcW w:w="2539" w:type="dxa"/>
          </w:tcPr>
          <w:p>
            <w:pPr>
              <w:pStyle w:val="TableParagraph"/>
              <w:spacing w:before="16"/>
              <w:ind w:left="110"/>
              <w:rPr>
                <w:sz w:val="20"/>
              </w:rPr>
            </w:pPr>
            <w:r>
              <w:rPr>
                <w:sz w:val="20"/>
              </w:rPr>
              <w:t>Palmitic acid</w:t>
            </w:r>
          </w:p>
        </w:tc>
        <w:tc>
          <w:tcPr>
            <w:tcW w:w="983" w:type="dxa"/>
          </w:tcPr>
          <w:p>
            <w:pPr>
              <w:pStyle w:val="TableParagraph"/>
              <w:spacing w:before="16"/>
              <w:ind w:right="211"/>
              <w:jc w:val="right"/>
              <w:rPr>
                <w:sz w:val="20"/>
              </w:rPr>
            </w:pPr>
            <w:r>
              <w:rPr>
                <w:sz w:val="20"/>
              </w:rPr>
              <w:t>18.38</w:t>
            </w:r>
          </w:p>
        </w:tc>
        <w:tc>
          <w:tcPr>
            <w:tcW w:w="927" w:type="dxa"/>
          </w:tcPr>
          <w:p>
            <w:pPr>
              <w:pStyle w:val="TableParagraph"/>
              <w:spacing w:before="16"/>
              <w:ind w:right="254"/>
              <w:jc w:val="right"/>
              <w:rPr>
                <w:sz w:val="20"/>
              </w:rPr>
            </w:pPr>
            <w:r>
              <w:rPr>
                <w:sz w:val="20"/>
              </w:rPr>
              <w:t>18.73</w:t>
            </w:r>
          </w:p>
        </w:tc>
        <w:tc>
          <w:tcPr>
            <w:tcW w:w="915" w:type="dxa"/>
          </w:tcPr>
          <w:p>
            <w:pPr>
              <w:pStyle w:val="TableParagraph"/>
              <w:spacing w:before="16"/>
              <w:ind w:right="199"/>
              <w:jc w:val="right"/>
              <w:rPr>
                <w:sz w:val="20"/>
              </w:rPr>
            </w:pPr>
            <w:r>
              <w:rPr>
                <w:sz w:val="20"/>
              </w:rPr>
              <w:t>18.82</w:t>
            </w:r>
          </w:p>
        </w:tc>
        <w:tc>
          <w:tcPr>
            <w:tcW w:w="901" w:type="dxa"/>
          </w:tcPr>
          <w:p>
            <w:pPr>
              <w:pStyle w:val="TableParagraph"/>
              <w:spacing w:before="16"/>
              <w:ind w:left="186" w:right="224"/>
              <w:jc w:val="center"/>
              <w:rPr>
                <w:sz w:val="20"/>
              </w:rPr>
            </w:pPr>
            <w:r>
              <w:rPr>
                <w:sz w:val="20"/>
              </w:rPr>
              <w:t>18.82</w:t>
            </w:r>
          </w:p>
        </w:tc>
        <w:tc>
          <w:tcPr>
            <w:tcW w:w="929" w:type="dxa"/>
          </w:tcPr>
          <w:p>
            <w:pPr>
              <w:pStyle w:val="TableParagraph"/>
              <w:spacing w:before="16"/>
              <w:ind w:left="225" w:right="213"/>
              <w:jc w:val="center"/>
              <w:rPr>
                <w:sz w:val="20"/>
              </w:rPr>
            </w:pPr>
            <w:r>
              <w:rPr>
                <w:sz w:val="20"/>
              </w:rPr>
              <w:t>18.79</w:t>
            </w:r>
          </w:p>
        </w:tc>
        <w:tc>
          <w:tcPr>
            <w:tcW w:w="956" w:type="dxa"/>
          </w:tcPr>
          <w:p>
            <w:pPr>
              <w:pStyle w:val="TableParagraph"/>
              <w:spacing w:before="16"/>
              <w:ind w:left="214" w:right="250"/>
              <w:jc w:val="center"/>
              <w:rPr>
                <w:sz w:val="20"/>
              </w:rPr>
            </w:pPr>
            <w:r>
              <w:rPr>
                <w:sz w:val="20"/>
              </w:rPr>
              <w:t>18.39</w:t>
            </w:r>
          </w:p>
        </w:tc>
        <w:tc>
          <w:tcPr>
            <w:tcW w:w="826" w:type="dxa"/>
          </w:tcPr>
          <w:p>
            <w:pPr>
              <w:pStyle w:val="TableParagraph"/>
              <w:spacing w:before="16"/>
              <w:ind w:right="100"/>
              <w:jc w:val="right"/>
              <w:rPr>
                <w:sz w:val="20"/>
              </w:rPr>
            </w:pPr>
            <w:r>
              <w:rPr>
                <w:sz w:val="20"/>
              </w:rPr>
              <w:t>18.65</w:t>
            </w:r>
          </w:p>
        </w:tc>
      </w:tr>
      <w:tr>
        <w:trPr>
          <w:trHeight w:val="279" w:hRule="exact"/>
        </w:trPr>
        <w:tc>
          <w:tcPr>
            <w:tcW w:w="2539" w:type="dxa"/>
          </w:tcPr>
          <w:p>
            <w:pPr>
              <w:pStyle w:val="TableParagraph"/>
              <w:spacing w:before="14"/>
              <w:ind w:left="110"/>
              <w:rPr>
                <w:sz w:val="20"/>
              </w:rPr>
            </w:pPr>
            <w:r>
              <w:rPr>
                <w:sz w:val="20"/>
              </w:rPr>
              <w:t>Palmitoleic acid</w:t>
            </w:r>
          </w:p>
        </w:tc>
        <w:tc>
          <w:tcPr>
            <w:tcW w:w="983" w:type="dxa"/>
          </w:tcPr>
          <w:p>
            <w:pPr>
              <w:pStyle w:val="TableParagraph"/>
              <w:spacing w:before="14"/>
              <w:ind w:right="211"/>
              <w:jc w:val="right"/>
              <w:rPr>
                <w:sz w:val="20"/>
              </w:rPr>
            </w:pPr>
            <w:r>
              <w:rPr>
                <w:sz w:val="20"/>
              </w:rPr>
              <w:t>1.45</w:t>
            </w:r>
          </w:p>
        </w:tc>
        <w:tc>
          <w:tcPr>
            <w:tcW w:w="927" w:type="dxa"/>
          </w:tcPr>
          <w:p>
            <w:pPr>
              <w:pStyle w:val="TableParagraph"/>
              <w:spacing w:before="14"/>
              <w:ind w:right="256"/>
              <w:jc w:val="right"/>
              <w:rPr>
                <w:sz w:val="20"/>
              </w:rPr>
            </w:pPr>
            <w:r>
              <w:rPr>
                <w:sz w:val="20"/>
              </w:rPr>
              <w:t>1.91</w:t>
            </w:r>
          </w:p>
        </w:tc>
        <w:tc>
          <w:tcPr>
            <w:tcW w:w="915" w:type="dxa"/>
          </w:tcPr>
          <w:p>
            <w:pPr>
              <w:pStyle w:val="TableParagraph"/>
              <w:spacing w:before="14"/>
              <w:ind w:right="199"/>
              <w:jc w:val="right"/>
              <w:rPr>
                <w:sz w:val="20"/>
              </w:rPr>
            </w:pPr>
            <w:r>
              <w:rPr>
                <w:sz w:val="20"/>
              </w:rPr>
              <w:t>1.97</w:t>
            </w:r>
          </w:p>
        </w:tc>
        <w:tc>
          <w:tcPr>
            <w:tcW w:w="901" w:type="dxa"/>
          </w:tcPr>
          <w:p>
            <w:pPr>
              <w:pStyle w:val="TableParagraph"/>
              <w:spacing w:before="14"/>
              <w:ind w:left="186" w:right="127"/>
              <w:jc w:val="center"/>
              <w:rPr>
                <w:sz w:val="20"/>
              </w:rPr>
            </w:pPr>
            <w:r>
              <w:rPr>
                <w:sz w:val="20"/>
              </w:rPr>
              <w:t>1.29</w:t>
            </w:r>
          </w:p>
        </w:tc>
        <w:tc>
          <w:tcPr>
            <w:tcW w:w="929" w:type="dxa"/>
          </w:tcPr>
          <w:p>
            <w:pPr>
              <w:pStyle w:val="TableParagraph"/>
              <w:spacing w:before="14"/>
              <w:ind w:left="225" w:right="113"/>
              <w:jc w:val="center"/>
              <w:rPr>
                <w:sz w:val="20"/>
              </w:rPr>
            </w:pPr>
            <w:r>
              <w:rPr>
                <w:sz w:val="20"/>
              </w:rPr>
              <w:t>1.72</w:t>
            </w:r>
          </w:p>
        </w:tc>
        <w:tc>
          <w:tcPr>
            <w:tcW w:w="956" w:type="dxa"/>
          </w:tcPr>
          <w:p>
            <w:pPr>
              <w:pStyle w:val="TableParagraph"/>
              <w:spacing w:before="14"/>
              <w:ind w:left="214" w:right="152"/>
              <w:jc w:val="center"/>
              <w:rPr>
                <w:sz w:val="20"/>
              </w:rPr>
            </w:pPr>
            <w:r>
              <w:rPr>
                <w:sz w:val="20"/>
              </w:rPr>
              <w:t>1.94</w:t>
            </w:r>
          </w:p>
        </w:tc>
        <w:tc>
          <w:tcPr>
            <w:tcW w:w="826" w:type="dxa"/>
          </w:tcPr>
          <w:p>
            <w:pPr>
              <w:pStyle w:val="TableParagraph"/>
              <w:spacing w:before="14"/>
              <w:ind w:right="100"/>
              <w:jc w:val="right"/>
              <w:rPr>
                <w:sz w:val="20"/>
              </w:rPr>
            </w:pPr>
            <w:r>
              <w:rPr>
                <w:sz w:val="20"/>
              </w:rPr>
              <w:t>1.71</w:t>
            </w:r>
          </w:p>
        </w:tc>
      </w:tr>
      <w:tr>
        <w:trPr>
          <w:trHeight w:val="281" w:hRule="exact"/>
        </w:trPr>
        <w:tc>
          <w:tcPr>
            <w:tcW w:w="2539" w:type="dxa"/>
          </w:tcPr>
          <w:p>
            <w:pPr>
              <w:pStyle w:val="TableParagraph"/>
              <w:spacing w:before="14"/>
              <w:ind w:left="110"/>
              <w:rPr>
                <w:sz w:val="20"/>
              </w:rPr>
            </w:pPr>
            <w:r>
              <w:rPr>
                <w:sz w:val="20"/>
              </w:rPr>
              <w:t>Heptadecanoic acid</w:t>
            </w:r>
          </w:p>
        </w:tc>
        <w:tc>
          <w:tcPr>
            <w:tcW w:w="983" w:type="dxa"/>
          </w:tcPr>
          <w:p>
            <w:pPr>
              <w:pStyle w:val="TableParagraph"/>
              <w:spacing w:before="14"/>
              <w:ind w:right="211"/>
              <w:jc w:val="right"/>
              <w:rPr>
                <w:sz w:val="20"/>
              </w:rPr>
            </w:pPr>
            <w:r>
              <w:rPr>
                <w:sz w:val="20"/>
              </w:rPr>
              <w:t>1.77</w:t>
            </w:r>
          </w:p>
        </w:tc>
        <w:tc>
          <w:tcPr>
            <w:tcW w:w="927" w:type="dxa"/>
          </w:tcPr>
          <w:p>
            <w:pPr>
              <w:pStyle w:val="TableParagraph"/>
              <w:spacing w:before="14"/>
              <w:ind w:right="256"/>
              <w:jc w:val="right"/>
              <w:rPr>
                <w:sz w:val="20"/>
              </w:rPr>
            </w:pPr>
            <w:r>
              <w:rPr>
                <w:sz w:val="20"/>
              </w:rPr>
              <w:t>2.16</w:t>
            </w:r>
          </w:p>
        </w:tc>
        <w:tc>
          <w:tcPr>
            <w:tcW w:w="915" w:type="dxa"/>
          </w:tcPr>
          <w:p>
            <w:pPr>
              <w:pStyle w:val="TableParagraph"/>
              <w:spacing w:before="14"/>
              <w:ind w:right="199"/>
              <w:jc w:val="right"/>
              <w:rPr>
                <w:sz w:val="20"/>
              </w:rPr>
            </w:pPr>
            <w:r>
              <w:rPr>
                <w:sz w:val="20"/>
              </w:rPr>
              <w:t>2.01</w:t>
            </w:r>
          </w:p>
        </w:tc>
        <w:tc>
          <w:tcPr>
            <w:tcW w:w="901" w:type="dxa"/>
          </w:tcPr>
          <w:p>
            <w:pPr>
              <w:pStyle w:val="TableParagraph"/>
              <w:spacing w:before="14"/>
              <w:ind w:left="186" w:right="127"/>
              <w:jc w:val="center"/>
              <w:rPr>
                <w:sz w:val="20"/>
              </w:rPr>
            </w:pPr>
            <w:r>
              <w:rPr>
                <w:sz w:val="20"/>
              </w:rPr>
              <w:t>1.73</w:t>
            </w:r>
          </w:p>
        </w:tc>
        <w:tc>
          <w:tcPr>
            <w:tcW w:w="929" w:type="dxa"/>
          </w:tcPr>
          <w:p>
            <w:pPr>
              <w:pStyle w:val="TableParagraph"/>
              <w:spacing w:before="14"/>
              <w:ind w:left="225" w:right="113"/>
              <w:jc w:val="center"/>
              <w:rPr>
                <w:sz w:val="20"/>
              </w:rPr>
            </w:pPr>
            <w:r>
              <w:rPr>
                <w:sz w:val="20"/>
              </w:rPr>
              <w:t>1.65</w:t>
            </w:r>
          </w:p>
        </w:tc>
        <w:tc>
          <w:tcPr>
            <w:tcW w:w="956" w:type="dxa"/>
          </w:tcPr>
          <w:p>
            <w:pPr>
              <w:pStyle w:val="TableParagraph"/>
              <w:spacing w:before="14"/>
              <w:ind w:left="214" w:right="152"/>
              <w:jc w:val="center"/>
              <w:rPr>
                <w:sz w:val="20"/>
              </w:rPr>
            </w:pPr>
            <w:r>
              <w:rPr>
                <w:sz w:val="20"/>
              </w:rPr>
              <w:t>1.92</w:t>
            </w:r>
          </w:p>
        </w:tc>
        <w:tc>
          <w:tcPr>
            <w:tcW w:w="826" w:type="dxa"/>
          </w:tcPr>
          <w:p>
            <w:pPr>
              <w:pStyle w:val="TableParagraph"/>
              <w:spacing w:before="14"/>
              <w:ind w:right="100"/>
              <w:jc w:val="right"/>
              <w:rPr>
                <w:sz w:val="20"/>
              </w:rPr>
            </w:pPr>
            <w:r>
              <w:rPr>
                <w:sz w:val="20"/>
              </w:rPr>
              <w:t>1.87</w:t>
            </w:r>
          </w:p>
        </w:tc>
      </w:tr>
      <w:tr>
        <w:trPr>
          <w:trHeight w:val="281" w:hRule="exact"/>
        </w:trPr>
        <w:tc>
          <w:tcPr>
            <w:tcW w:w="2539" w:type="dxa"/>
          </w:tcPr>
          <w:p>
            <w:pPr>
              <w:pStyle w:val="TableParagraph"/>
              <w:spacing w:before="16"/>
              <w:ind w:left="110"/>
              <w:rPr>
                <w:sz w:val="20"/>
              </w:rPr>
            </w:pPr>
            <w:r>
              <w:rPr>
                <w:i/>
                <w:sz w:val="20"/>
              </w:rPr>
              <w:t>cis</w:t>
            </w:r>
            <w:r>
              <w:rPr>
                <w:sz w:val="20"/>
              </w:rPr>
              <w:t>-10-heptadecanoic acid</w:t>
            </w:r>
          </w:p>
        </w:tc>
        <w:tc>
          <w:tcPr>
            <w:tcW w:w="983" w:type="dxa"/>
          </w:tcPr>
          <w:p>
            <w:pPr>
              <w:pStyle w:val="TableParagraph"/>
              <w:spacing w:before="16"/>
              <w:ind w:right="211"/>
              <w:jc w:val="right"/>
              <w:rPr>
                <w:sz w:val="20"/>
              </w:rPr>
            </w:pPr>
            <w:r>
              <w:rPr>
                <w:sz w:val="20"/>
              </w:rPr>
              <w:t>0.62</w:t>
            </w:r>
          </w:p>
        </w:tc>
        <w:tc>
          <w:tcPr>
            <w:tcW w:w="927" w:type="dxa"/>
          </w:tcPr>
          <w:p>
            <w:pPr>
              <w:pStyle w:val="TableParagraph"/>
              <w:spacing w:before="16"/>
              <w:ind w:right="256"/>
              <w:jc w:val="right"/>
              <w:rPr>
                <w:sz w:val="20"/>
              </w:rPr>
            </w:pPr>
            <w:r>
              <w:rPr>
                <w:sz w:val="20"/>
              </w:rPr>
              <w:t>0.41</w:t>
            </w:r>
          </w:p>
        </w:tc>
        <w:tc>
          <w:tcPr>
            <w:tcW w:w="915" w:type="dxa"/>
          </w:tcPr>
          <w:p>
            <w:pPr>
              <w:pStyle w:val="TableParagraph"/>
              <w:spacing w:before="16"/>
              <w:ind w:right="199"/>
              <w:jc w:val="right"/>
              <w:rPr>
                <w:sz w:val="20"/>
              </w:rPr>
            </w:pPr>
            <w:r>
              <w:rPr>
                <w:sz w:val="20"/>
              </w:rPr>
              <w:t>0.16</w:t>
            </w:r>
          </w:p>
        </w:tc>
        <w:tc>
          <w:tcPr>
            <w:tcW w:w="901" w:type="dxa"/>
          </w:tcPr>
          <w:p>
            <w:pPr>
              <w:pStyle w:val="TableParagraph"/>
              <w:spacing w:before="16"/>
              <w:ind w:left="186" w:right="127"/>
              <w:jc w:val="center"/>
              <w:rPr>
                <w:sz w:val="20"/>
              </w:rPr>
            </w:pPr>
            <w:r>
              <w:rPr>
                <w:sz w:val="20"/>
              </w:rPr>
              <w:t>0.00</w:t>
            </w:r>
          </w:p>
        </w:tc>
        <w:tc>
          <w:tcPr>
            <w:tcW w:w="929" w:type="dxa"/>
          </w:tcPr>
          <w:p>
            <w:pPr>
              <w:pStyle w:val="TableParagraph"/>
              <w:spacing w:before="16"/>
              <w:ind w:left="225" w:right="113"/>
              <w:jc w:val="center"/>
              <w:rPr>
                <w:sz w:val="20"/>
              </w:rPr>
            </w:pPr>
            <w:r>
              <w:rPr>
                <w:sz w:val="20"/>
              </w:rPr>
              <w:t>0.25</w:t>
            </w:r>
          </w:p>
        </w:tc>
        <w:tc>
          <w:tcPr>
            <w:tcW w:w="956" w:type="dxa"/>
          </w:tcPr>
          <w:p>
            <w:pPr>
              <w:pStyle w:val="TableParagraph"/>
              <w:spacing w:before="16"/>
              <w:ind w:left="214" w:right="152"/>
              <w:jc w:val="center"/>
              <w:rPr>
                <w:sz w:val="20"/>
              </w:rPr>
            </w:pPr>
            <w:r>
              <w:rPr>
                <w:sz w:val="20"/>
              </w:rPr>
              <w:t>0.25</w:t>
            </w:r>
          </w:p>
        </w:tc>
        <w:tc>
          <w:tcPr>
            <w:tcW w:w="826" w:type="dxa"/>
          </w:tcPr>
          <w:p>
            <w:pPr>
              <w:pStyle w:val="TableParagraph"/>
              <w:spacing w:before="16"/>
              <w:ind w:right="100"/>
              <w:jc w:val="right"/>
              <w:rPr>
                <w:sz w:val="20"/>
              </w:rPr>
            </w:pPr>
            <w:r>
              <w:rPr>
                <w:sz w:val="20"/>
              </w:rPr>
              <w:t>0.28</w:t>
            </w:r>
          </w:p>
        </w:tc>
      </w:tr>
      <w:tr>
        <w:trPr>
          <w:trHeight w:val="278" w:hRule="exact"/>
        </w:trPr>
        <w:tc>
          <w:tcPr>
            <w:tcW w:w="2539" w:type="dxa"/>
          </w:tcPr>
          <w:p>
            <w:pPr>
              <w:pStyle w:val="TableParagraph"/>
              <w:spacing w:before="14"/>
              <w:ind w:left="110"/>
              <w:rPr>
                <w:sz w:val="20"/>
              </w:rPr>
            </w:pPr>
            <w:r>
              <w:rPr>
                <w:sz w:val="20"/>
              </w:rPr>
              <w:t>Stearic acid</w:t>
            </w:r>
          </w:p>
        </w:tc>
        <w:tc>
          <w:tcPr>
            <w:tcW w:w="983" w:type="dxa"/>
          </w:tcPr>
          <w:p>
            <w:pPr>
              <w:pStyle w:val="TableParagraph"/>
              <w:spacing w:before="14"/>
              <w:ind w:right="211"/>
              <w:jc w:val="right"/>
              <w:rPr>
                <w:sz w:val="20"/>
              </w:rPr>
            </w:pPr>
            <w:r>
              <w:rPr>
                <w:sz w:val="20"/>
              </w:rPr>
              <w:t>56.93</w:t>
            </w:r>
          </w:p>
        </w:tc>
        <w:tc>
          <w:tcPr>
            <w:tcW w:w="927" w:type="dxa"/>
          </w:tcPr>
          <w:p>
            <w:pPr>
              <w:pStyle w:val="TableParagraph"/>
              <w:spacing w:before="14"/>
              <w:ind w:right="256"/>
              <w:jc w:val="right"/>
              <w:rPr>
                <w:sz w:val="20"/>
              </w:rPr>
            </w:pPr>
            <w:r>
              <w:rPr>
                <w:sz w:val="20"/>
              </w:rPr>
              <w:t>56.17</w:t>
            </w:r>
          </w:p>
        </w:tc>
        <w:tc>
          <w:tcPr>
            <w:tcW w:w="915" w:type="dxa"/>
          </w:tcPr>
          <w:p>
            <w:pPr>
              <w:pStyle w:val="TableParagraph"/>
              <w:spacing w:before="14"/>
              <w:ind w:right="199"/>
              <w:jc w:val="right"/>
              <w:rPr>
                <w:sz w:val="20"/>
              </w:rPr>
            </w:pPr>
            <w:r>
              <w:rPr>
                <w:sz w:val="20"/>
              </w:rPr>
              <w:t>58.64</w:t>
            </w:r>
          </w:p>
        </w:tc>
        <w:tc>
          <w:tcPr>
            <w:tcW w:w="901" w:type="dxa"/>
          </w:tcPr>
          <w:p>
            <w:pPr>
              <w:pStyle w:val="TableParagraph"/>
              <w:spacing w:before="14"/>
              <w:ind w:left="186" w:right="224"/>
              <w:jc w:val="center"/>
              <w:rPr>
                <w:sz w:val="20"/>
              </w:rPr>
            </w:pPr>
            <w:r>
              <w:rPr>
                <w:sz w:val="20"/>
              </w:rPr>
              <w:t>58.97</w:t>
            </w:r>
          </w:p>
        </w:tc>
        <w:tc>
          <w:tcPr>
            <w:tcW w:w="929" w:type="dxa"/>
          </w:tcPr>
          <w:p>
            <w:pPr>
              <w:pStyle w:val="TableParagraph"/>
              <w:spacing w:before="14"/>
              <w:ind w:left="225" w:right="213"/>
              <w:jc w:val="center"/>
              <w:rPr>
                <w:sz w:val="20"/>
              </w:rPr>
            </w:pPr>
            <w:r>
              <w:rPr>
                <w:sz w:val="20"/>
              </w:rPr>
              <w:t>58.22</w:t>
            </w:r>
          </w:p>
        </w:tc>
        <w:tc>
          <w:tcPr>
            <w:tcW w:w="956" w:type="dxa"/>
          </w:tcPr>
          <w:p>
            <w:pPr>
              <w:pStyle w:val="TableParagraph"/>
              <w:spacing w:before="14"/>
              <w:ind w:left="214" w:right="250"/>
              <w:jc w:val="center"/>
              <w:rPr>
                <w:sz w:val="20"/>
              </w:rPr>
            </w:pPr>
            <w:r>
              <w:rPr>
                <w:sz w:val="20"/>
              </w:rPr>
              <w:t>57.58</w:t>
            </w:r>
          </w:p>
        </w:tc>
        <w:tc>
          <w:tcPr>
            <w:tcW w:w="826" w:type="dxa"/>
          </w:tcPr>
          <w:p>
            <w:pPr>
              <w:pStyle w:val="TableParagraph"/>
              <w:spacing w:before="14"/>
              <w:ind w:right="98"/>
              <w:jc w:val="right"/>
              <w:rPr>
                <w:sz w:val="20"/>
              </w:rPr>
            </w:pPr>
            <w:r>
              <w:rPr>
                <w:sz w:val="20"/>
              </w:rPr>
              <w:t>57.75</w:t>
            </w:r>
          </w:p>
        </w:tc>
      </w:tr>
      <w:tr>
        <w:trPr>
          <w:trHeight w:val="281" w:hRule="exact"/>
        </w:trPr>
        <w:tc>
          <w:tcPr>
            <w:tcW w:w="2539" w:type="dxa"/>
          </w:tcPr>
          <w:p>
            <w:pPr>
              <w:pStyle w:val="TableParagraph"/>
              <w:spacing w:before="14"/>
              <w:ind w:left="110"/>
              <w:rPr>
                <w:sz w:val="20"/>
              </w:rPr>
            </w:pPr>
            <w:r>
              <w:rPr>
                <w:sz w:val="20"/>
              </w:rPr>
              <w:t>Elaidic acid</w:t>
            </w:r>
          </w:p>
        </w:tc>
        <w:tc>
          <w:tcPr>
            <w:tcW w:w="983" w:type="dxa"/>
          </w:tcPr>
          <w:p>
            <w:pPr>
              <w:pStyle w:val="TableParagraph"/>
              <w:spacing w:before="14"/>
              <w:ind w:right="211"/>
              <w:jc w:val="right"/>
              <w:rPr>
                <w:sz w:val="20"/>
              </w:rPr>
            </w:pPr>
            <w:r>
              <w:rPr>
                <w:sz w:val="20"/>
              </w:rPr>
              <w:t>5.95</w:t>
            </w:r>
          </w:p>
        </w:tc>
        <w:tc>
          <w:tcPr>
            <w:tcW w:w="927" w:type="dxa"/>
          </w:tcPr>
          <w:p>
            <w:pPr>
              <w:pStyle w:val="TableParagraph"/>
              <w:spacing w:before="14"/>
              <w:ind w:right="256"/>
              <w:jc w:val="right"/>
              <w:rPr>
                <w:sz w:val="20"/>
              </w:rPr>
            </w:pPr>
            <w:r>
              <w:rPr>
                <w:sz w:val="20"/>
              </w:rPr>
              <w:t>6.61</w:t>
            </w:r>
          </w:p>
        </w:tc>
        <w:tc>
          <w:tcPr>
            <w:tcW w:w="915" w:type="dxa"/>
          </w:tcPr>
          <w:p>
            <w:pPr>
              <w:pStyle w:val="TableParagraph"/>
              <w:spacing w:before="14"/>
              <w:ind w:right="199"/>
              <w:jc w:val="right"/>
              <w:rPr>
                <w:sz w:val="20"/>
              </w:rPr>
            </w:pPr>
            <w:r>
              <w:rPr>
                <w:sz w:val="20"/>
              </w:rPr>
              <w:t>5.71</w:t>
            </w:r>
          </w:p>
        </w:tc>
        <w:tc>
          <w:tcPr>
            <w:tcW w:w="901" w:type="dxa"/>
          </w:tcPr>
          <w:p>
            <w:pPr>
              <w:pStyle w:val="TableParagraph"/>
              <w:spacing w:before="14"/>
              <w:ind w:left="186" w:right="127"/>
              <w:jc w:val="center"/>
              <w:rPr>
                <w:sz w:val="20"/>
              </w:rPr>
            </w:pPr>
            <w:r>
              <w:rPr>
                <w:sz w:val="20"/>
              </w:rPr>
              <w:t>5.59</w:t>
            </w:r>
          </w:p>
        </w:tc>
        <w:tc>
          <w:tcPr>
            <w:tcW w:w="929" w:type="dxa"/>
          </w:tcPr>
          <w:p>
            <w:pPr>
              <w:pStyle w:val="TableParagraph"/>
              <w:spacing w:before="14"/>
              <w:ind w:left="225" w:right="113"/>
              <w:jc w:val="center"/>
              <w:rPr>
                <w:sz w:val="20"/>
              </w:rPr>
            </w:pPr>
            <w:r>
              <w:rPr>
                <w:sz w:val="20"/>
              </w:rPr>
              <w:t>4.89</w:t>
            </w:r>
          </w:p>
        </w:tc>
        <w:tc>
          <w:tcPr>
            <w:tcW w:w="956" w:type="dxa"/>
          </w:tcPr>
          <w:p>
            <w:pPr>
              <w:pStyle w:val="TableParagraph"/>
              <w:spacing w:before="14"/>
              <w:ind w:left="214" w:right="152"/>
              <w:jc w:val="center"/>
              <w:rPr>
                <w:sz w:val="20"/>
              </w:rPr>
            </w:pPr>
            <w:r>
              <w:rPr>
                <w:sz w:val="20"/>
              </w:rPr>
              <w:t>5.01</w:t>
            </w:r>
          </w:p>
        </w:tc>
        <w:tc>
          <w:tcPr>
            <w:tcW w:w="826" w:type="dxa"/>
          </w:tcPr>
          <w:p>
            <w:pPr>
              <w:pStyle w:val="TableParagraph"/>
              <w:spacing w:before="14"/>
              <w:ind w:right="100"/>
              <w:jc w:val="right"/>
              <w:rPr>
                <w:sz w:val="20"/>
              </w:rPr>
            </w:pPr>
            <w:r>
              <w:rPr>
                <w:sz w:val="20"/>
              </w:rPr>
              <w:t>5.63</w:t>
            </w:r>
          </w:p>
        </w:tc>
      </w:tr>
      <w:tr>
        <w:trPr>
          <w:trHeight w:val="281" w:hRule="exact"/>
        </w:trPr>
        <w:tc>
          <w:tcPr>
            <w:tcW w:w="2539" w:type="dxa"/>
          </w:tcPr>
          <w:p>
            <w:pPr>
              <w:pStyle w:val="TableParagraph"/>
              <w:spacing w:before="16"/>
              <w:ind w:left="110"/>
              <w:rPr>
                <w:sz w:val="20"/>
              </w:rPr>
            </w:pPr>
            <w:r>
              <w:rPr>
                <w:sz w:val="20"/>
              </w:rPr>
              <w:t>Oleic acid</w:t>
            </w:r>
          </w:p>
        </w:tc>
        <w:tc>
          <w:tcPr>
            <w:tcW w:w="983" w:type="dxa"/>
          </w:tcPr>
          <w:p>
            <w:pPr>
              <w:pStyle w:val="TableParagraph"/>
              <w:spacing w:before="16"/>
              <w:ind w:right="211"/>
              <w:jc w:val="right"/>
              <w:rPr>
                <w:sz w:val="20"/>
              </w:rPr>
            </w:pPr>
            <w:r>
              <w:rPr>
                <w:sz w:val="20"/>
              </w:rPr>
              <w:t>2.93</w:t>
            </w:r>
          </w:p>
        </w:tc>
        <w:tc>
          <w:tcPr>
            <w:tcW w:w="927" w:type="dxa"/>
          </w:tcPr>
          <w:p>
            <w:pPr>
              <w:pStyle w:val="TableParagraph"/>
              <w:spacing w:before="16"/>
              <w:ind w:right="256"/>
              <w:jc w:val="right"/>
              <w:rPr>
                <w:sz w:val="20"/>
              </w:rPr>
            </w:pPr>
            <w:r>
              <w:rPr>
                <w:sz w:val="20"/>
              </w:rPr>
              <w:t>3.86</w:t>
            </w:r>
          </w:p>
        </w:tc>
        <w:tc>
          <w:tcPr>
            <w:tcW w:w="915" w:type="dxa"/>
          </w:tcPr>
          <w:p>
            <w:pPr>
              <w:pStyle w:val="TableParagraph"/>
              <w:spacing w:before="16"/>
              <w:ind w:right="199"/>
              <w:jc w:val="right"/>
              <w:rPr>
                <w:sz w:val="20"/>
              </w:rPr>
            </w:pPr>
            <w:r>
              <w:rPr>
                <w:sz w:val="20"/>
              </w:rPr>
              <w:t>3.07</w:t>
            </w:r>
          </w:p>
        </w:tc>
        <w:tc>
          <w:tcPr>
            <w:tcW w:w="901" w:type="dxa"/>
          </w:tcPr>
          <w:p>
            <w:pPr>
              <w:pStyle w:val="TableParagraph"/>
              <w:spacing w:before="16"/>
              <w:ind w:left="186" w:right="127"/>
              <w:jc w:val="center"/>
              <w:rPr>
                <w:sz w:val="20"/>
              </w:rPr>
            </w:pPr>
            <w:r>
              <w:rPr>
                <w:sz w:val="20"/>
              </w:rPr>
              <w:t>3.59</w:t>
            </w:r>
          </w:p>
        </w:tc>
        <w:tc>
          <w:tcPr>
            <w:tcW w:w="929" w:type="dxa"/>
          </w:tcPr>
          <w:p>
            <w:pPr>
              <w:pStyle w:val="TableParagraph"/>
              <w:spacing w:before="16"/>
              <w:ind w:left="225" w:right="113"/>
              <w:jc w:val="center"/>
              <w:rPr>
                <w:sz w:val="20"/>
              </w:rPr>
            </w:pPr>
            <w:r>
              <w:rPr>
                <w:sz w:val="20"/>
              </w:rPr>
              <w:t>3.90</w:t>
            </w:r>
          </w:p>
        </w:tc>
        <w:tc>
          <w:tcPr>
            <w:tcW w:w="956" w:type="dxa"/>
          </w:tcPr>
          <w:p>
            <w:pPr>
              <w:pStyle w:val="TableParagraph"/>
              <w:spacing w:before="16"/>
              <w:ind w:left="214" w:right="152"/>
              <w:jc w:val="center"/>
              <w:rPr>
                <w:sz w:val="20"/>
              </w:rPr>
            </w:pPr>
            <w:r>
              <w:rPr>
                <w:sz w:val="20"/>
              </w:rPr>
              <w:t>5.33</w:t>
            </w:r>
          </w:p>
        </w:tc>
        <w:tc>
          <w:tcPr>
            <w:tcW w:w="826" w:type="dxa"/>
          </w:tcPr>
          <w:p>
            <w:pPr>
              <w:pStyle w:val="TableParagraph"/>
              <w:spacing w:before="16"/>
              <w:ind w:right="100"/>
              <w:jc w:val="right"/>
              <w:rPr>
                <w:sz w:val="20"/>
              </w:rPr>
            </w:pPr>
            <w:r>
              <w:rPr>
                <w:sz w:val="20"/>
              </w:rPr>
              <w:t>3.78</w:t>
            </w:r>
          </w:p>
        </w:tc>
      </w:tr>
      <w:tr>
        <w:trPr>
          <w:trHeight w:val="279" w:hRule="exact"/>
        </w:trPr>
        <w:tc>
          <w:tcPr>
            <w:tcW w:w="2539" w:type="dxa"/>
          </w:tcPr>
          <w:p>
            <w:pPr>
              <w:pStyle w:val="TableParagraph"/>
              <w:spacing w:before="14"/>
              <w:ind w:left="110"/>
              <w:rPr>
                <w:sz w:val="20"/>
              </w:rPr>
            </w:pPr>
            <w:r>
              <w:rPr>
                <w:sz w:val="20"/>
              </w:rPr>
              <w:t>Linolelaidic acid</w:t>
            </w:r>
          </w:p>
        </w:tc>
        <w:tc>
          <w:tcPr>
            <w:tcW w:w="983" w:type="dxa"/>
          </w:tcPr>
          <w:p>
            <w:pPr>
              <w:pStyle w:val="TableParagraph"/>
              <w:spacing w:before="14"/>
              <w:ind w:right="211"/>
              <w:jc w:val="right"/>
              <w:rPr>
                <w:sz w:val="20"/>
              </w:rPr>
            </w:pPr>
            <w:r>
              <w:rPr>
                <w:sz w:val="20"/>
              </w:rPr>
              <w:t>2.09</w:t>
            </w:r>
          </w:p>
        </w:tc>
        <w:tc>
          <w:tcPr>
            <w:tcW w:w="927" w:type="dxa"/>
          </w:tcPr>
          <w:p>
            <w:pPr>
              <w:pStyle w:val="TableParagraph"/>
              <w:spacing w:before="14"/>
              <w:ind w:right="256"/>
              <w:jc w:val="right"/>
              <w:rPr>
                <w:sz w:val="20"/>
              </w:rPr>
            </w:pPr>
            <w:r>
              <w:rPr>
                <w:sz w:val="20"/>
              </w:rPr>
              <w:t>0.97</w:t>
            </w:r>
          </w:p>
        </w:tc>
        <w:tc>
          <w:tcPr>
            <w:tcW w:w="915" w:type="dxa"/>
          </w:tcPr>
          <w:p>
            <w:pPr>
              <w:pStyle w:val="TableParagraph"/>
              <w:spacing w:before="14"/>
              <w:ind w:right="199"/>
              <w:jc w:val="right"/>
              <w:rPr>
                <w:sz w:val="20"/>
              </w:rPr>
            </w:pPr>
            <w:r>
              <w:rPr>
                <w:sz w:val="20"/>
              </w:rPr>
              <w:t>1.18</w:t>
            </w:r>
          </w:p>
        </w:tc>
        <w:tc>
          <w:tcPr>
            <w:tcW w:w="901" w:type="dxa"/>
          </w:tcPr>
          <w:p>
            <w:pPr>
              <w:pStyle w:val="TableParagraph"/>
              <w:spacing w:before="14"/>
              <w:ind w:left="186" w:right="127"/>
              <w:jc w:val="center"/>
              <w:rPr>
                <w:sz w:val="20"/>
              </w:rPr>
            </w:pPr>
            <w:r>
              <w:rPr>
                <w:sz w:val="20"/>
              </w:rPr>
              <w:t>1.65</w:t>
            </w:r>
          </w:p>
        </w:tc>
        <w:tc>
          <w:tcPr>
            <w:tcW w:w="929" w:type="dxa"/>
          </w:tcPr>
          <w:p>
            <w:pPr>
              <w:pStyle w:val="TableParagraph"/>
              <w:spacing w:before="14"/>
              <w:ind w:left="225" w:right="113"/>
              <w:jc w:val="center"/>
              <w:rPr>
                <w:sz w:val="20"/>
              </w:rPr>
            </w:pPr>
            <w:r>
              <w:rPr>
                <w:sz w:val="20"/>
              </w:rPr>
              <w:t>1.05</w:t>
            </w:r>
          </w:p>
        </w:tc>
        <w:tc>
          <w:tcPr>
            <w:tcW w:w="956" w:type="dxa"/>
          </w:tcPr>
          <w:p>
            <w:pPr>
              <w:pStyle w:val="TableParagraph"/>
              <w:spacing w:before="14"/>
              <w:ind w:left="214" w:right="152"/>
              <w:jc w:val="center"/>
              <w:rPr>
                <w:sz w:val="20"/>
              </w:rPr>
            </w:pPr>
            <w:r>
              <w:rPr>
                <w:sz w:val="20"/>
              </w:rPr>
              <w:t>1.47</w:t>
            </w:r>
          </w:p>
        </w:tc>
        <w:tc>
          <w:tcPr>
            <w:tcW w:w="826" w:type="dxa"/>
          </w:tcPr>
          <w:p>
            <w:pPr>
              <w:pStyle w:val="TableParagraph"/>
              <w:spacing w:before="14"/>
              <w:ind w:right="100"/>
              <w:jc w:val="right"/>
              <w:rPr>
                <w:sz w:val="20"/>
              </w:rPr>
            </w:pPr>
            <w:r>
              <w:rPr>
                <w:sz w:val="20"/>
              </w:rPr>
              <w:t>1.40</w:t>
            </w:r>
          </w:p>
        </w:tc>
      </w:tr>
      <w:tr>
        <w:trPr>
          <w:trHeight w:val="281" w:hRule="exact"/>
        </w:trPr>
        <w:tc>
          <w:tcPr>
            <w:tcW w:w="2539" w:type="dxa"/>
          </w:tcPr>
          <w:p>
            <w:pPr>
              <w:pStyle w:val="TableParagraph"/>
              <w:spacing w:before="14"/>
              <w:ind w:left="110"/>
              <w:rPr>
                <w:sz w:val="20"/>
              </w:rPr>
            </w:pPr>
            <w:r>
              <w:rPr>
                <w:sz w:val="20"/>
              </w:rPr>
              <w:t>Linoleic acid</w:t>
            </w:r>
          </w:p>
        </w:tc>
        <w:tc>
          <w:tcPr>
            <w:tcW w:w="983" w:type="dxa"/>
          </w:tcPr>
          <w:p>
            <w:pPr>
              <w:pStyle w:val="TableParagraph"/>
              <w:spacing w:before="14"/>
              <w:ind w:right="211"/>
              <w:jc w:val="right"/>
              <w:rPr>
                <w:sz w:val="20"/>
              </w:rPr>
            </w:pPr>
            <w:r>
              <w:rPr>
                <w:sz w:val="20"/>
              </w:rPr>
              <w:t>1.03</w:t>
            </w:r>
          </w:p>
        </w:tc>
        <w:tc>
          <w:tcPr>
            <w:tcW w:w="927" w:type="dxa"/>
          </w:tcPr>
          <w:p>
            <w:pPr>
              <w:pStyle w:val="TableParagraph"/>
              <w:spacing w:before="14"/>
              <w:ind w:right="256"/>
              <w:jc w:val="right"/>
              <w:rPr>
                <w:sz w:val="20"/>
              </w:rPr>
            </w:pPr>
            <w:r>
              <w:rPr>
                <w:sz w:val="20"/>
              </w:rPr>
              <w:t>1.07</w:t>
            </w:r>
          </w:p>
        </w:tc>
        <w:tc>
          <w:tcPr>
            <w:tcW w:w="915" w:type="dxa"/>
          </w:tcPr>
          <w:p>
            <w:pPr>
              <w:pStyle w:val="TableParagraph"/>
              <w:spacing w:before="14"/>
              <w:ind w:right="199"/>
              <w:jc w:val="right"/>
              <w:rPr>
                <w:sz w:val="20"/>
              </w:rPr>
            </w:pPr>
            <w:r>
              <w:rPr>
                <w:sz w:val="20"/>
              </w:rPr>
              <w:t>1.04</w:t>
            </w:r>
          </w:p>
        </w:tc>
        <w:tc>
          <w:tcPr>
            <w:tcW w:w="901" w:type="dxa"/>
          </w:tcPr>
          <w:p>
            <w:pPr>
              <w:pStyle w:val="TableParagraph"/>
              <w:spacing w:before="14"/>
              <w:ind w:left="186" w:right="127"/>
              <w:jc w:val="center"/>
              <w:rPr>
                <w:sz w:val="20"/>
              </w:rPr>
            </w:pPr>
            <w:r>
              <w:rPr>
                <w:sz w:val="20"/>
              </w:rPr>
              <w:t>1.02</w:t>
            </w:r>
          </w:p>
        </w:tc>
        <w:tc>
          <w:tcPr>
            <w:tcW w:w="929" w:type="dxa"/>
          </w:tcPr>
          <w:p>
            <w:pPr>
              <w:pStyle w:val="TableParagraph"/>
              <w:spacing w:before="14"/>
              <w:ind w:left="225" w:right="113"/>
              <w:jc w:val="center"/>
              <w:rPr>
                <w:sz w:val="20"/>
              </w:rPr>
            </w:pPr>
            <w:r>
              <w:rPr>
                <w:sz w:val="20"/>
              </w:rPr>
              <w:t>1.24</w:t>
            </w:r>
          </w:p>
        </w:tc>
        <w:tc>
          <w:tcPr>
            <w:tcW w:w="956" w:type="dxa"/>
          </w:tcPr>
          <w:p>
            <w:pPr>
              <w:pStyle w:val="TableParagraph"/>
              <w:spacing w:before="14"/>
              <w:ind w:left="214" w:right="152"/>
              <w:jc w:val="center"/>
              <w:rPr>
                <w:sz w:val="20"/>
              </w:rPr>
            </w:pPr>
            <w:r>
              <w:rPr>
                <w:sz w:val="20"/>
              </w:rPr>
              <w:t>1.62</w:t>
            </w:r>
          </w:p>
        </w:tc>
        <w:tc>
          <w:tcPr>
            <w:tcW w:w="826" w:type="dxa"/>
          </w:tcPr>
          <w:p>
            <w:pPr>
              <w:pStyle w:val="TableParagraph"/>
              <w:spacing w:before="14"/>
              <w:ind w:right="100"/>
              <w:jc w:val="right"/>
              <w:rPr>
                <w:sz w:val="20"/>
              </w:rPr>
            </w:pPr>
            <w:r>
              <w:rPr>
                <w:sz w:val="20"/>
              </w:rPr>
              <w:t>1.17</w:t>
            </w:r>
          </w:p>
        </w:tc>
      </w:tr>
      <w:tr>
        <w:trPr>
          <w:trHeight w:val="281" w:hRule="exact"/>
        </w:trPr>
        <w:tc>
          <w:tcPr>
            <w:tcW w:w="2539" w:type="dxa"/>
          </w:tcPr>
          <w:p>
            <w:pPr>
              <w:pStyle w:val="TableParagraph"/>
              <w:spacing w:before="16"/>
              <w:ind w:left="110"/>
              <w:rPr>
                <w:sz w:val="20"/>
              </w:rPr>
            </w:pPr>
            <w:r>
              <w:rPr>
                <w:sz w:val="20"/>
              </w:rPr>
              <w:t>Arachidic acid</w:t>
            </w:r>
          </w:p>
        </w:tc>
        <w:tc>
          <w:tcPr>
            <w:tcW w:w="983" w:type="dxa"/>
          </w:tcPr>
          <w:p>
            <w:pPr>
              <w:pStyle w:val="TableParagraph"/>
              <w:spacing w:before="16"/>
              <w:ind w:right="211"/>
              <w:jc w:val="right"/>
              <w:rPr>
                <w:sz w:val="20"/>
              </w:rPr>
            </w:pPr>
            <w:r>
              <w:rPr>
                <w:sz w:val="20"/>
              </w:rPr>
              <w:t>0.56</w:t>
            </w:r>
          </w:p>
        </w:tc>
        <w:tc>
          <w:tcPr>
            <w:tcW w:w="927" w:type="dxa"/>
          </w:tcPr>
          <w:p>
            <w:pPr>
              <w:pStyle w:val="TableParagraph"/>
              <w:spacing w:before="16"/>
              <w:ind w:right="256"/>
              <w:jc w:val="right"/>
              <w:rPr>
                <w:sz w:val="20"/>
              </w:rPr>
            </w:pPr>
            <w:r>
              <w:rPr>
                <w:sz w:val="20"/>
              </w:rPr>
              <w:t>0.59</w:t>
            </w:r>
          </w:p>
        </w:tc>
        <w:tc>
          <w:tcPr>
            <w:tcW w:w="915" w:type="dxa"/>
          </w:tcPr>
          <w:p>
            <w:pPr>
              <w:pStyle w:val="TableParagraph"/>
              <w:spacing w:before="16"/>
              <w:ind w:right="199"/>
              <w:jc w:val="right"/>
              <w:rPr>
                <w:sz w:val="20"/>
              </w:rPr>
            </w:pPr>
            <w:r>
              <w:rPr>
                <w:sz w:val="20"/>
              </w:rPr>
              <w:t>0.46</w:t>
            </w:r>
          </w:p>
        </w:tc>
        <w:tc>
          <w:tcPr>
            <w:tcW w:w="901" w:type="dxa"/>
          </w:tcPr>
          <w:p>
            <w:pPr>
              <w:pStyle w:val="TableParagraph"/>
              <w:spacing w:before="16"/>
              <w:ind w:left="186" w:right="127"/>
              <w:jc w:val="center"/>
              <w:rPr>
                <w:sz w:val="20"/>
              </w:rPr>
            </w:pPr>
            <w:r>
              <w:rPr>
                <w:sz w:val="20"/>
              </w:rPr>
              <w:t>0.68</w:t>
            </w:r>
          </w:p>
        </w:tc>
        <w:tc>
          <w:tcPr>
            <w:tcW w:w="929" w:type="dxa"/>
          </w:tcPr>
          <w:p>
            <w:pPr>
              <w:pStyle w:val="TableParagraph"/>
              <w:spacing w:before="16"/>
              <w:ind w:left="225" w:right="113"/>
              <w:jc w:val="center"/>
              <w:rPr>
                <w:sz w:val="20"/>
              </w:rPr>
            </w:pPr>
            <w:r>
              <w:rPr>
                <w:sz w:val="20"/>
              </w:rPr>
              <w:t>0.55</w:t>
            </w:r>
          </w:p>
        </w:tc>
        <w:tc>
          <w:tcPr>
            <w:tcW w:w="956" w:type="dxa"/>
          </w:tcPr>
          <w:p>
            <w:pPr>
              <w:pStyle w:val="TableParagraph"/>
              <w:spacing w:before="16"/>
              <w:ind w:left="214" w:right="152"/>
              <w:jc w:val="center"/>
              <w:rPr>
                <w:sz w:val="20"/>
              </w:rPr>
            </w:pPr>
            <w:r>
              <w:rPr>
                <w:sz w:val="20"/>
              </w:rPr>
              <w:t>0.33</w:t>
            </w:r>
          </w:p>
        </w:tc>
        <w:tc>
          <w:tcPr>
            <w:tcW w:w="826" w:type="dxa"/>
          </w:tcPr>
          <w:p>
            <w:pPr>
              <w:pStyle w:val="TableParagraph"/>
              <w:spacing w:before="16"/>
              <w:ind w:right="100"/>
              <w:jc w:val="right"/>
              <w:rPr>
                <w:sz w:val="20"/>
              </w:rPr>
            </w:pPr>
            <w:r>
              <w:rPr>
                <w:sz w:val="20"/>
              </w:rPr>
              <w:t>0.53</w:t>
            </w:r>
          </w:p>
        </w:tc>
      </w:tr>
      <w:tr>
        <w:trPr>
          <w:trHeight w:val="258" w:hRule="exact"/>
        </w:trPr>
        <w:tc>
          <w:tcPr>
            <w:tcW w:w="2539" w:type="dxa"/>
            <w:tcBorders>
              <w:bottom w:val="single" w:sz="4" w:space="0" w:color="000000"/>
            </w:tcBorders>
          </w:tcPr>
          <w:p>
            <w:pPr>
              <w:pStyle w:val="TableParagraph"/>
              <w:spacing w:before="14"/>
              <w:ind w:left="110"/>
              <w:rPr>
                <w:sz w:val="20"/>
              </w:rPr>
            </w:pPr>
            <w:r>
              <w:rPr>
                <w:sz w:val="20"/>
              </w:rPr>
              <w:t>γ-Linolenic acid</w:t>
            </w:r>
          </w:p>
        </w:tc>
        <w:tc>
          <w:tcPr>
            <w:tcW w:w="983" w:type="dxa"/>
            <w:tcBorders>
              <w:bottom w:val="single" w:sz="4" w:space="0" w:color="000000"/>
            </w:tcBorders>
          </w:tcPr>
          <w:p>
            <w:pPr>
              <w:pStyle w:val="TableParagraph"/>
              <w:spacing w:before="14"/>
              <w:ind w:right="211"/>
              <w:jc w:val="right"/>
              <w:rPr>
                <w:sz w:val="20"/>
              </w:rPr>
            </w:pPr>
            <w:r>
              <w:rPr>
                <w:sz w:val="20"/>
              </w:rPr>
              <w:t>0.53</w:t>
            </w:r>
          </w:p>
        </w:tc>
        <w:tc>
          <w:tcPr>
            <w:tcW w:w="927" w:type="dxa"/>
            <w:tcBorders>
              <w:bottom w:val="single" w:sz="4" w:space="0" w:color="000000"/>
            </w:tcBorders>
          </w:tcPr>
          <w:p>
            <w:pPr>
              <w:pStyle w:val="TableParagraph"/>
              <w:spacing w:before="14"/>
              <w:ind w:right="256"/>
              <w:jc w:val="right"/>
              <w:rPr>
                <w:sz w:val="20"/>
              </w:rPr>
            </w:pPr>
            <w:r>
              <w:rPr>
                <w:sz w:val="20"/>
              </w:rPr>
              <w:t>0.22</w:t>
            </w:r>
          </w:p>
        </w:tc>
        <w:tc>
          <w:tcPr>
            <w:tcW w:w="915" w:type="dxa"/>
            <w:tcBorders>
              <w:bottom w:val="single" w:sz="4" w:space="0" w:color="000000"/>
            </w:tcBorders>
          </w:tcPr>
          <w:p>
            <w:pPr>
              <w:pStyle w:val="TableParagraph"/>
              <w:spacing w:before="14"/>
              <w:ind w:right="199"/>
              <w:jc w:val="right"/>
              <w:rPr>
                <w:sz w:val="20"/>
              </w:rPr>
            </w:pPr>
            <w:r>
              <w:rPr>
                <w:sz w:val="20"/>
              </w:rPr>
              <w:t>0.28</w:t>
            </w:r>
          </w:p>
        </w:tc>
        <w:tc>
          <w:tcPr>
            <w:tcW w:w="901" w:type="dxa"/>
            <w:tcBorders>
              <w:bottom w:val="single" w:sz="4" w:space="0" w:color="000000"/>
            </w:tcBorders>
          </w:tcPr>
          <w:p>
            <w:pPr>
              <w:pStyle w:val="TableParagraph"/>
              <w:spacing w:before="14"/>
              <w:ind w:left="186" w:right="127"/>
              <w:jc w:val="center"/>
              <w:rPr>
                <w:sz w:val="20"/>
              </w:rPr>
            </w:pPr>
            <w:r>
              <w:rPr>
                <w:sz w:val="20"/>
              </w:rPr>
              <w:t>0.37</w:t>
            </w:r>
          </w:p>
        </w:tc>
        <w:tc>
          <w:tcPr>
            <w:tcW w:w="929" w:type="dxa"/>
            <w:tcBorders>
              <w:bottom w:val="single" w:sz="4" w:space="0" w:color="000000"/>
            </w:tcBorders>
          </w:tcPr>
          <w:p>
            <w:pPr>
              <w:pStyle w:val="TableParagraph"/>
              <w:spacing w:before="14"/>
              <w:ind w:left="225" w:right="113"/>
              <w:jc w:val="center"/>
              <w:rPr>
                <w:sz w:val="20"/>
              </w:rPr>
            </w:pPr>
            <w:r>
              <w:rPr>
                <w:sz w:val="20"/>
              </w:rPr>
              <w:t>0.25</w:t>
            </w:r>
          </w:p>
        </w:tc>
        <w:tc>
          <w:tcPr>
            <w:tcW w:w="956" w:type="dxa"/>
            <w:tcBorders>
              <w:bottom w:val="single" w:sz="4" w:space="0" w:color="000000"/>
            </w:tcBorders>
          </w:tcPr>
          <w:p>
            <w:pPr>
              <w:pStyle w:val="TableParagraph"/>
              <w:spacing w:before="14"/>
              <w:ind w:left="214" w:right="152"/>
              <w:jc w:val="center"/>
              <w:rPr>
                <w:sz w:val="20"/>
              </w:rPr>
            </w:pPr>
            <w:r>
              <w:rPr>
                <w:sz w:val="20"/>
              </w:rPr>
              <w:t>0.31</w:t>
            </w:r>
          </w:p>
        </w:tc>
        <w:tc>
          <w:tcPr>
            <w:tcW w:w="826" w:type="dxa"/>
            <w:tcBorders>
              <w:bottom w:val="single" w:sz="4" w:space="0" w:color="000000"/>
            </w:tcBorders>
          </w:tcPr>
          <w:p>
            <w:pPr>
              <w:pStyle w:val="TableParagraph"/>
              <w:spacing w:before="14"/>
              <w:ind w:right="100"/>
              <w:jc w:val="right"/>
              <w:rPr>
                <w:sz w:val="20"/>
              </w:rPr>
            </w:pPr>
            <w:r>
              <w:rPr>
                <w:sz w:val="20"/>
              </w:rPr>
              <w:t>0.33</w:t>
            </w:r>
          </w:p>
        </w:tc>
      </w:tr>
      <w:tr>
        <w:trPr>
          <w:trHeight w:val="745" w:hRule="exact"/>
        </w:trPr>
        <w:tc>
          <w:tcPr>
            <w:tcW w:w="2539" w:type="dxa"/>
            <w:tcBorders>
              <w:top w:val="single" w:sz="4" w:space="0" w:color="000000"/>
            </w:tcBorders>
          </w:tcPr>
          <w:p>
            <w:pPr>
              <w:pStyle w:val="TableParagraph"/>
              <w:spacing w:before="39"/>
              <w:ind w:left="110" w:right="298"/>
              <w:rPr>
                <w:sz w:val="20"/>
              </w:rPr>
            </w:pPr>
            <w:r>
              <w:rPr>
                <w:sz w:val="20"/>
              </w:rPr>
              <w:t>Unsaturated fatty acids, % Long chain fatty acids ≥ 18 carbons, %</w:t>
            </w:r>
          </w:p>
        </w:tc>
        <w:tc>
          <w:tcPr>
            <w:tcW w:w="983" w:type="dxa"/>
            <w:tcBorders>
              <w:top w:val="single" w:sz="4" w:space="0" w:color="000000"/>
            </w:tcBorders>
          </w:tcPr>
          <w:p>
            <w:pPr>
              <w:pStyle w:val="TableParagraph"/>
              <w:spacing w:before="39"/>
              <w:ind w:left="313"/>
              <w:rPr>
                <w:sz w:val="20"/>
              </w:rPr>
            </w:pPr>
            <w:r>
              <w:rPr>
                <w:sz w:val="20"/>
              </w:rPr>
              <w:t>18.07</w:t>
            </w:r>
          </w:p>
          <w:p>
            <w:pPr>
              <w:pStyle w:val="TableParagraph"/>
              <w:rPr>
                <w:i/>
                <w:sz w:val="20"/>
              </w:rPr>
            </w:pPr>
          </w:p>
          <w:p>
            <w:pPr>
              <w:pStyle w:val="TableParagraph"/>
              <w:spacing w:before="1"/>
              <w:ind w:left="313"/>
              <w:rPr>
                <w:sz w:val="20"/>
              </w:rPr>
            </w:pPr>
            <w:r>
              <w:rPr>
                <w:sz w:val="20"/>
              </w:rPr>
              <w:t>70.02</w:t>
            </w:r>
          </w:p>
        </w:tc>
        <w:tc>
          <w:tcPr>
            <w:tcW w:w="927" w:type="dxa"/>
            <w:tcBorders>
              <w:top w:val="single" w:sz="4" w:space="0" w:color="000000"/>
            </w:tcBorders>
          </w:tcPr>
          <w:p>
            <w:pPr>
              <w:pStyle w:val="TableParagraph"/>
              <w:spacing w:before="39"/>
              <w:ind w:left="213"/>
              <w:rPr>
                <w:sz w:val="20"/>
              </w:rPr>
            </w:pPr>
            <w:r>
              <w:rPr>
                <w:sz w:val="20"/>
              </w:rPr>
              <w:t>18.38</w:t>
            </w:r>
          </w:p>
          <w:p>
            <w:pPr>
              <w:pStyle w:val="TableParagraph"/>
              <w:rPr>
                <w:i/>
                <w:sz w:val="20"/>
              </w:rPr>
            </w:pPr>
          </w:p>
          <w:p>
            <w:pPr>
              <w:pStyle w:val="TableParagraph"/>
              <w:spacing w:before="1"/>
              <w:ind w:left="213"/>
              <w:rPr>
                <w:sz w:val="20"/>
              </w:rPr>
            </w:pPr>
            <w:r>
              <w:rPr>
                <w:sz w:val="20"/>
              </w:rPr>
              <w:t>69.49</w:t>
            </w:r>
          </w:p>
        </w:tc>
        <w:tc>
          <w:tcPr>
            <w:tcW w:w="915" w:type="dxa"/>
            <w:tcBorders>
              <w:top w:val="single" w:sz="4" w:space="0" w:color="000000"/>
            </w:tcBorders>
          </w:tcPr>
          <w:p>
            <w:pPr>
              <w:pStyle w:val="TableParagraph"/>
              <w:spacing w:before="39"/>
              <w:ind w:left="256"/>
              <w:rPr>
                <w:sz w:val="20"/>
              </w:rPr>
            </w:pPr>
            <w:r>
              <w:rPr>
                <w:sz w:val="20"/>
              </w:rPr>
              <w:t>16.38</w:t>
            </w:r>
          </w:p>
          <w:p>
            <w:pPr>
              <w:pStyle w:val="TableParagraph"/>
              <w:rPr>
                <w:i/>
                <w:sz w:val="20"/>
              </w:rPr>
            </w:pPr>
          </w:p>
          <w:p>
            <w:pPr>
              <w:pStyle w:val="TableParagraph"/>
              <w:spacing w:before="1"/>
              <w:ind w:left="256"/>
              <w:rPr>
                <w:sz w:val="20"/>
              </w:rPr>
            </w:pPr>
            <w:r>
              <w:rPr>
                <w:sz w:val="20"/>
              </w:rPr>
              <w:t>70.39</w:t>
            </w:r>
          </w:p>
        </w:tc>
        <w:tc>
          <w:tcPr>
            <w:tcW w:w="901" w:type="dxa"/>
            <w:tcBorders>
              <w:top w:val="single" w:sz="4" w:space="0" w:color="000000"/>
            </w:tcBorders>
          </w:tcPr>
          <w:p>
            <w:pPr>
              <w:pStyle w:val="TableParagraph"/>
              <w:spacing w:before="39"/>
              <w:ind w:left="201"/>
              <w:rPr>
                <w:sz w:val="20"/>
              </w:rPr>
            </w:pPr>
            <w:r>
              <w:rPr>
                <w:sz w:val="20"/>
              </w:rPr>
              <w:t>16.29</w:t>
            </w:r>
          </w:p>
          <w:p>
            <w:pPr>
              <w:pStyle w:val="TableParagraph"/>
              <w:rPr>
                <w:i/>
                <w:sz w:val="20"/>
              </w:rPr>
            </w:pPr>
          </w:p>
          <w:p>
            <w:pPr>
              <w:pStyle w:val="TableParagraph"/>
              <w:spacing w:before="1"/>
              <w:ind w:left="201"/>
              <w:rPr>
                <w:sz w:val="20"/>
              </w:rPr>
            </w:pPr>
            <w:r>
              <w:rPr>
                <w:sz w:val="20"/>
              </w:rPr>
              <w:t>71.87</w:t>
            </w:r>
          </w:p>
        </w:tc>
        <w:tc>
          <w:tcPr>
            <w:tcW w:w="929" w:type="dxa"/>
            <w:tcBorders>
              <w:top w:val="single" w:sz="4" w:space="0" w:color="000000"/>
            </w:tcBorders>
          </w:tcPr>
          <w:p>
            <w:pPr>
              <w:pStyle w:val="TableParagraph"/>
              <w:spacing w:before="39"/>
              <w:ind w:left="242"/>
              <w:rPr>
                <w:sz w:val="20"/>
              </w:rPr>
            </w:pPr>
            <w:r>
              <w:rPr>
                <w:sz w:val="20"/>
              </w:rPr>
              <w:t>15.66</w:t>
            </w:r>
          </w:p>
          <w:p>
            <w:pPr>
              <w:pStyle w:val="TableParagraph"/>
              <w:rPr>
                <w:i/>
                <w:sz w:val="20"/>
              </w:rPr>
            </w:pPr>
          </w:p>
          <w:p>
            <w:pPr>
              <w:pStyle w:val="TableParagraph"/>
              <w:spacing w:before="1"/>
              <w:ind w:left="242"/>
              <w:rPr>
                <w:sz w:val="20"/>
              </w:rPr>
            </w:pPr>
            <w:r>
              <w:rPr>
                <w:sz w:val="20"/>
              </w:rPr>
              <w:t>70.09</w:t>
            </w:r>
          </w:p>
        </w:tc>
        <w:tc>
          <w:tcPr>
            <w:tcW w:w="956" w:type="dxa"/>
            <w:tcBorders>
              <w:top w:val="single" w:sz="4" w:space="0" w:color="000000"/>
            </w:tcBorders>
          </w:tcPr>
          <w:p>
            <w:pPr>
              <w:pStyle w:val="TableParagraph"/>
              <w:spacing w:before="39"/>
              <w:ind w:left="230"/>
              <w:rPr>
                <w:sz w:val="20"/>
              </w:rPr>
            </w:pPr>
            <w:r>
              <w:rPr>
                <w:sz w:val="20"/>
              </w:rPr>
              <w:t>18.43</w:t>
            </w:r>
          </w:p>
          <w:p>
            <w:pPr>
              <w:pStyle w:val="TableParagraph"/>
              <w:rPr>
                <w:i/>
                <w:sz w:val="20"/>
              </w:rPr>
            </w:pPr>
          </w:p>
          <w:p>
            <w:pPr>
              <w:pStyle w:val="TableParagraph"/>
              <w:spacing w:before="1"/>
              <w:ind w:left="230"/>
              <w:rPr>
                <w:sz w:val="20"/>
              </w:rPr>
            </w:pPr>
            <w:r>
              <w:rPr>
                <w:sz w:val="20"/>
              </w:rPr>
              <w:t>71.65</w:t>
            </w:r>
          </w:p>
        </w:tc>
        <w:tc>
          <w:tcPr>
            <w:tcW w:w="826" w:type="dxa"/>
            <w:tcBorders>
              <w:top w:val="single" w:sz="4" w:space="0" w:color="000000"/>
            </w:tcBorders>
          </w:tcPr>
          <w:p>
            <w:pPr>
              <w:pStyle w:val="TableParagraph"/>
              <w:spacing w:before="39"/>
              <w:ind w:left="269"/>
              <w:rPr>
                <w:sz w:val="20"/>
              </w:rPr>
            </w:pPr>
            <w:r>
              <w:rPr>
                <w:sz w:val="20"/>
              </w:rPr>
              <w:t>17.20</w:t>
            </w:r>
          </w:p>
          <w:p>
            <w:pPr>
              <w:pStyle w:val="TableParagraph"/>
              <w:rPr>
                <w:i/>
                <w:sz w:val="20"/>
              </w:rPr>
            </w:pPr>
          </w:p>
          <w:p>
            <w:pPr>
              <w:pStyle w:val="TableParagraph"/>
              <w:spacing w:before="1"/>
              <w:ind w:left="269"/>
              <w:rPr>
                <w:sz w:val="20"/>
              </w:rPr>
            </w:pPr>
            <w:r>
              <w:rPr>
                <w:sz w:val="20"/>
              </w:rPr>
              <w:t>70.58</w:t>
            </w:r>
          </w:p>
        </w:tc>
      </w:tr>
      <w:tr>
        <w:trPr>
          <w:trHeight w:val="485" w:hRule="exact"/>
        </w:trPr>
        <w:tc>
          <w:tcPr>
            <w:tcW w:w="2539" w:type="dxa"/>
          </w:tcPr>
          <w:p>
            <w:pPr>
              <w:pStyle w:val="TableParagraph"/>
              <w:ind w:left="110" w:right="565"/>
              <w:rPr>
                <w:sz w:val="20"/>
              </w:rPr>
            </w:pPr>
            <w:r>
              <w:rPr>
                <w:sz w:val="20"/>
              </w:rPr>
              <w:t>18 carbons unsaturated fatty acids, %</w:t>
            </w:r>
          </w:p>
        </w:tc>
        <w:tc>
          <w:tcPr>
            <w:tcW w:w="983" w:type="dxa"/>
          </w:tcPr>
          <w:p>
            <w:pPr>
              <w:pStyle w:val="TableParagraph"/>
              <w:spacing w:before="2"/>
              <w:rPr>
                <w:i/>
                <w:sz w:val="19"/>
              </w:rPr>
            </w:pPr>
          </w:p>
          <w:p>
            <w:pPr>
              <w:pStyle w:val="TableParagraph"/>
              <w:ind w:right="211"/>
              <w:jc w:val="right"/>
              <w:rPr>
                <w:sz w:val="20"/>
              </w:rPr>
            </w:pPr>
            <w:r>
              <w:rPr>
                <w:sz w:val="20"/>
              </w:rPr>
              <w:t>12.52</w:t>
            </w:r>
          </w:p>
        </w:tc>
        <w:tc>
          <w:tcPr>
            <w:tcW w:w="927" w:type="dxa"/>
          </w:tcPr>
          <w:p>
            <w:pPr>
              <w:pStyle w:val="TableParagraph"/>
              <w:spacing w:before="2"/>
              <w:rPr>
                <w:i/>
                <w:sz w:val="19"/>
              </w:rPr>
            </w:pPr>
          </w:p>
          <w:p>
            <w:pPr>
              <w:pStyle w:val="TableParagraph"/>
              <w:ind w:right="256"/>
              <w:jc w:val="right"/>
              <w:rPr>
                <w:sz w:val="20"/>
              </w:rPr>
            </w:pPr>
            <w:r>
              <w:rPr>
                <w:sz w:val="20"/>
              </w:rPr>
              <w:t>12.73</w:t>
            </w:r>
          </w:p>
        </w:tc>
        <w:tc>
          <w:tcPr>
            <w:tcW w:w="915" w:type="dxa"/>
          </w:tcPr>
          <w:p>
            <w:pPr>
              <w:pStyle w:val="TableParagraph"/>
              <w:spacing w:before="2"/>
              <w:rPr>
                <w:i/>
                <w:sz w:val="19"/>
              </w:rPr>
            </w:pPr>
          </w:p>
          <w:p>
            <w:pPr>
              <w:pStyle w:val="TableParagraph"/>
              <w:ind w:right="199"/>
              <w:jc w:val="right"/>
              <w:rPr>
                <w:sz w:val="20"/>
              </w:rPr>
            </w:pPr>
            <w:r>
              <w:rPr>
                <w:sz w:val="20"/>
              </w:rPr>
              <w:t>11.28</w:t>
            </w:r>
          </w:p>
        </w:tc>
        <w:tc>
          <w:tcPr>
            <w:tcW w:w="901" w:type="dxa"/>
          </w:tcPr>
          <w:p>
            <w:pPr>
              <w:pStyle w:val="TableParagraph"/>
              <w:spacing w:before="2"/>
              <w:rPr>
                <w:i/>
                <w:sz w:val="19"/>
              </w:rPr>
            </w:pPr>
          </w:p>
          <w:p>
            <w:pPr>
              <w:pStyle w:val="TableParagraph"/>
              <w:ind w:left="186" w:right="224"/>
              <w:jc w:val="center"/>
              <w:rPr>
                <w:sz w:val="20"/>
              </w:rPr>
            </w:pPr>
            <w:r>
              <w:rPr>
                <w:sz w:val="20"/>
              </w:rPr>
              <w:t>12.22</w:t>
            </w:r>
          </w:p>
        </w:tc>
        <w:tc>
          <w:tcPr>
            <w:tcW w:w="929" w:type="dxa"/>
          </w:tcPr>
          <w:p>
            <w:pPr>
              <w:pStyle w:val="TableParagraph"/>
              <w:spacing w:before="2"/>
              <w:rPr>
                <w:i/>
                <w:sz w:val="19"/>
              </w:rPr>
            </w:pPr>
          </w:p>
          <w:p>
            <w:pPr>
              <w:pStyle w:val="TableParagraph"/>
              <w:ind w:left="225" w:right="213"/>
              <w:jc w:val="center"/>
              <w:rPr>
                <w:sz w:val="20"/>
              </w:rPr>
            </w:pPr>
            <w:r>
              <w:rPr>
                <w:sz w:val="20"/>
              </w:rPr>
              <w:t>11.33</w:t>
            </w:r>
          </w:p>
        </w:tc>
        <w:tc>
          <w:tcPr>
            <w:tcW w:w="956" w:type="dxa"/>
          </w:tcPr>
          <w:p>
            <w:pPr>
              <w:pStyle w:val="TableParagraph"/>
              <w:spacing w:before="2"/>
              <w:rPr>
                <w:i/>
                <w:sz w:val="19"/>
              </w:rPr>
            </w:pPr>
          </w:p>
          <w:p>
            <w:pPr>
              <w:pStyle w:val="TableParagraph"/>
              <w:ind w:left="214" w:right="250"/>
              <w:jc w:val="center"/>
              <w:rPr>
                <w:sz w:val="20"/>
              </w:rPr>
            </w:pPr>
            <w:r>
              <w:rPr>
                <w:sz w:val="20"/>
              </w:rPr>
              <w:t>13.74</w:t>
            </w:r>
          </w:p>
        </w:tc>
        <w:tc>
          <w:tcPr>
            <w:tcW w:w="826" w:type="dxa"/>
          </w:tcPr>
          <w:p>
            <w:pPr>
              <w:pStyle w:val="TableParagraph"/>
              <w:spacing w:before="2"/>
              <w:rPr>
                <w:i/>
                <w:sz w:val="19"/>
              </w:rPr>
            </w:pPr>
          </w:p>
          <w:p>
            <w:pPr>
              <w:pStyle w:val="TableParagraph"/>
              <w:ind w:right="100"/>
              <w:jc w:val="right"/>
              <w:rPr>
                <w:sz w:val="20"/>
              </w:rPr>
            </w:pPr>
            <w:r>
              <w:rPr>
                <w:sz w:val="20"/>
              </w:rPr>
              <w:t>12.30</w:t>
            </w:r>
          </w:p>
        </w:tc>
      </w:tr>
      <w:tr>
        <w:trPr>
          <w:trHeight w:val="281" w:hRule="exact"/>
        </w:trPr>
        <w:tc>
          <w:tcPr>
            <w:tcW w:w="2539" w:type="dxa"/>
          </w:tcPr>
          <w:p>
            <w:pPr>
              <w:pStyle w:val="TableParagraph"/>
              <w:spacing w:before="14"/>
              <w:ind w:left="110"/>
              <w:rPr>
                <w:sz w:val="20"/>
              </w:rPr>
            </w:pPr>
            <w:r>
              <w:rPr>
                <w:i/>
                <w:sz w:val="20"/>
              </w:rPr>
              <w:t>cis</w:t>
            </w:r>
            <w:r>
              <w:rPr>
                <w:sz w:val="20"/>
              </w:rPr>
              <w:t>- fatty acids, %</w:t>
            </w:r>
          </w:p>
        </w:tc>
        <w:tc>
          <w:tcPr>
            <w:tcW w:w="983" w:type="dxa"/>
          </w:tcPr>
          <w:p>
            <w:pPr>
              <w:pStyle w:val="TableParagraph"/>
              <w:spacing w:before="14"/>
              <w:ind w:right="211"/>
              <w:jc w:val="right"/>
              <w:rPr>
                <w:sz w:val="20"/>
              </w:rPr>
            </w:pPr>
            <w:r>
              <w:rPr>
                <w:sz w:val="20"/>
              </w:rPr>
              <w:t>3.95</w:t>
            </w:r>
          </w:p>
        </w:tc>
        <w:tc>
          <w:tcPr>
            <w:tcW w:w="927" w:type="dxa"/>
          </w:tcPr>
          <w:p>
            <w:pPr>
              <w:pStyle w:val="TableParagraph"/>
              <w:spacing w:before="14"/>
              <w:ind w:right="256"/>
              <w:jc w:val="right"/>
              <w:rPr>
                <w:sz w:val="20"/>
              </w:rPr>
            </w:pPr>
            <w:r>
              <w:rPr>
                <w:sz w:val="20"/>
              </w:rPr>
              <w:t>4.93</w:t>
            </w:r>
          </w:p>
        </w:tc>
        <w:tc>
          <w:tcPr>
            <w:tcW w:w="915" w:type="dxa"/>
          </w:tcPr>
          <w:p>
            <w:pPr>
              <w:pStyle w:val="TableParagraph"/>
              <w:spacing w:before="14"/>
              <w:ind w:right="199"/>
              <w:jc w:val="right"/>
              <w:rPr>
                <w:sz w:val="20"/>
              </w:rPr>
            </w:pPr>
            <w:r>
              <w:rPr>
                <w:sz w:val="20"/>
              </w:rPr>
              <w:t>4.12</w:t>
            </w:r>
          </w:p>
        </w:tc>
        <w:tc>
          <w:tcPr>
            <w:tcW w:w="901" w:type="dxa"/>
          </w:tcPr>
          <w:p>
            <w:pPr>
              <w:pStyle w:val="TableParagraph"/>
              <w:spacing w:before="14"/>
              <w:ind w:left="186" w:right="127"/>
              <w:jc w:val="center"/>
              <w:rPr>
                <w:sz w:val="20"/>
              </w:rPr>
            </w:pPr>
            <w:r>
              <w:rPr>
                <w:sz w:val="20"/>
              </w:rPr>
              <w:t>4.61</w:t>
            </w:r>
          </w:p>
        </w:tc>
        <w:tc>
          <w:tcPr>
            <w:tcW w:w="929" w:type="dxa"/>
          </w:tcPr>
          <w:p>
            <w:pPr>
              <w:pStyle w:val="TableParagraph"/>
              <w:spacing w:before="14"/>
              <w:ind w:left="225" w:right="113"/>
              <w:jc w:val="center"/>
              <w:rPr>
                <w:sz w:val="20"/>
              </w:rPr>
            </w:pPr>
            <w:r>
              <w:rPr>
                <w:sz w:val="20"/>
              </w:rPr>
              <w:t>5.13</w:t>
            </w:r>
          </w:p>
        </w:tc>
        <w:tc>
          <w:tcPr>
            <w:tcW w:w="956" w:type="dxa"/>
          </w:tcPr>
          <w:p>
            <w:pPr>
              <w:pStyle w:val="TableParagraph"/>
              <w:spacing w:before="14"/>
              <w:ind w:left="214" w:right="152"/>
              <w:jc w:val="center"/>
              <w:rPr>
                <w:sz w:val="20"/>
              </w:rPr>
            </w:pPr>
            <w:r>
              <w:rPr>
                <w:sz w:val="20"/>
              </w:rPr>
              <w:t>6.95</w:t>
            </w:r>
          </w:p>
        </w:tc>
        <w:tc>
          <w:tcPr>
            <w:tcW w:w="826" w:type="dxa"/>
          </w:tcPr>
          <w:p>
            <w:pPr>
              <w:pStyle w:val="TableParagraph"/>
              <w:spacing w:before="14"/>
              <w:ind w:right="100"/>
              <w:jc w:val="right"/>
              <w:rPr>
                <w:sz w:val="20"/>
              </w:rPr>
            </w:pPr>
            <w:r>
              <w:rPr>
                <w:sz w:val="20"/>
              </w:rPr>
              <w:t>4.95</w:t>
            </w:r>
          </w:p>
        </w:tc>
      </w:tr>
      <w:tr>
        <w:trPr>
          <w:trHeight w:val="281" w:hRule="exact"/>
        </w:trPr>
        <w:tc>
          <w:tcPr>
            <w:tcW w:w="2539" w:type="dxa"/>
          </w:tcPr>
          <w:p>
            <w:pPr>
              <w:pStyle w:val="TableParagraph"/>
              <w:spacing w:before="16"/>
              <w:ind w:left="110"/>
              <w:rPr>
                <w:sz w:val="20"/>
              </w:rPr>
            </w:pPr>
            <w:r>
              <w:rPr>
                <w:i/>
                <w:sz w:val="20"/>
              </w:rPr>
              <w:t>trans</w:t>
            </w:r>
            <w:r>
              <w:rPr>
                <w:sz w:val="20"/>
              </w:rPr>
              <w:t>- fatty acids, %</w:t>
            </w:r>
          </w:p>
        </w:tc>
        <w:tc>
          <w:tcPr>
            <w:tcW w:w="983" w:type="dxa"/>
          </w:tcPr>
          <w:p>
            <w:pPr>
              <w:pStyle w:val="TableParagraph"/>
              <w:spacing w:before="16"/>
              <w:ind w:right="211"/>
              <w:jc w:val="right"/>
              <w:rPr>
                <w:sz w:val="20"/>
              </w:rPr>
            </w:pPr>
            <w:r>
              <w:rPr>
                <w:sz w:val="20"/>
              </w:rPr>
              <w:t>8.04</w:t>
            </w:r>
          </w:p>
        </w:tc>
        <w:tc>
          <w:tcPr>
            <w:tcW w:w="927" w:type="dxa"/>
          </w:tcPr>
          <w:p>
            <w:pPr>
              <w:pStyle w:val="TableParagraph"/>
              <w:spacing w:before="16"/>
              <w:ind w:right="256"/>
              <w:jc w:val="right"/>
              <w:rPr>
                <w:sz w:val="20"/>
              </w:rPr>
            </w:pPr>
            <w:r>
              <w:rPr>
                <w:sz w:val="20"/>
              </w:rPr>
              <w:t>7.58</w:t>
            </w:r>
          </w:p>
        </w:tc>
        <w:tc>
          <w:tcPr>
            <w:tcW w:w="915" w:type="dxa"/>
          </w:tcPr>
          <w:p>
            <w:pPr>
              <w:pStyle w:val="TableParagraph"/>
              <w:spacing w:before="16"/>
              <w:ind w:right="199"/>
              <w:jc w:val="right"/>
              <w:rPr>
                <w:sz w:val="20"/>
              </w:rPr>
            </w:pPr>
            <w:r>
              <w:rPr>
                <w:sz w:val="20"/>
              </w:rPr>
              <w:t>6.89</w:t>
            </w:r>
          </w:p>
        </w:tc>
        <w:tc>
          <w:tcPr>
            <w:tcW w:w="901" w:type="dxa"/>
          </w:tcPr>
          <w:p>
            <w:pPr>
              <w:pStyle w:val="TableParagraph"/>
              <w:spacing w:before="16"/>
              <w:ind w:left="186" w:right="127"/>
              <w:jc w:val="center"/>
              <w:rPr>
                <w:sz w:val="20"/>
              </w:rPr>
            </w:pPr>
            <w:r>
              <w:rPr>
                <w:sz w:val="20"/>
              </w:rPr>
              <w:t>7.24</w:t>
            </w:r>
          </w:p>
        </w:tc>
        <w:tc>
          <w:tcPr>
            <w:tcW w:w="929" w:type="dxa"/>
          </w:tcPr>
          <w:p>
            <w:pPr>
              <w:pStyle w:val="TableParagraph"/>
              <w:spacing w:before="16"/>
              <w:ind w:left="225" w:right="113"/>
              <w:jc w:val="center"/>
              <w:rPr>
                <w:sz w:val="20"/>
              </w:rPr>
            </w:pPr>
            <w:r>
              <w:rPr>
                <w:sz w:val="20"/>
              </w:rPr>
              <w:t>5.94</w:t>
            </w:r>
          </w:p>
        </w:tc>
        <w:tc>
          <w:tcPr>
            <w:tcW w:w="956" w:type="dxa"/>
          </w:tcPr>
          <w:p>
            <w:pPr>
              <w:pStyle w:val="TableParagraph"/>
              <w:spacing w:before="16"/>
              <w:ind w:left="214" w:right="152"/>
              <w:jc w:val="center"/>
              <w:rPr>
                <w:sz w:val="20"/>
              </w:rPr>
            </w:pPr>
            <w:r>
              <w:rPr>
                <w:sz w:val="20"/>
              </w:rPr>
              <w:t>6.48</w:t>
            </w:r>
          </w:p>
        </w:tc>
        <w:tc>
          <w:tcPr>
            <w:tcW w:w="826" w:type="dxa"/>
          </w:tcPr>
          <w:p>
            <w:pPr>
              <w:pStyle w:val="TableParagraph"/>
              <w:spacing w:before="16"/>
              <w:ind w:right="100"/>
              <w:jc w:val="right"/>
              <w:rPr>
                <w:sz w:val="20"/>
              </w:rPr>
            </w:pPr>
            <w:r>
              <w:rPr>
                <w:sz w:val="20"/>
              </w:rPr>
              <w:t>7.03</w:t>
            </w:r>
          </w:p>
        </w:tc>
      </w:tr>
      <w:tr>
        <w:trPr>
          <w:trHeight w:val="739" w:hRule="exact"/>
        </w:trPr>
        <w:tc>
          <w:tcPr>
            <w:tcW w:w="2539" w:type="dxa"/>
          </w:tcPr>
          <w:p>
            <w:pPr>
              <w:pStyle w:val="TableParagraph"/>
              <w:spacing w:before="14"/>
              <w:ind w:left="110" w:right="787"/>
              <w:rPr>
                <w:sz w:val="20"/>
              </w:rPr>
            </w:pPr>
            <w:r>
              <w:rPr>
                <w:sz w:val="20"/>
              </w:rPr>
              <w:t>Ratios (</w:t>
            </w:r>
            <w:r>
              <w:rPr>
                <w:i/>
                <w:sz w:val="20"/>
              </w:rPr>
              <w:t>cis-</w:t>
            </w:r>
            <w:r>
              <w:rPr>
                <w:sz w:val="20"/>
              </w:rPr>
              <w:t>/</w:t>
            </w:r>
            <w:r>
              <w:rPr>
                <w:i/>
                <w:sz w:val="20"/>
              </w:rPr>
              <w:t>trans-</w:t>
            </w:r>
            <w:r>
              <w:rPr>
                <w:sz w:val="20"/>
              </w:rPr>
              <w:t>) Ratios (Stearic acid: Palmitic acid)</w:t>
            </w:r>
          </w:p>
        </w:tc>
        <w:tc>
          <w:tcPr>
            <w:tcW w:w="983" w:type="dxa"/>
          </w:tcPr>
          <w:p>
            <w:pPr>
              <w:pStyle w:val="TableParagraph"/>
              <w:spacing w:before="14"/>
              <w:ind w:left="313"/>
              <w:rPr>
                <w:sz w:val="20"/>
              </w:rPr>
            </w:pPr>
            <w:r>
              <w:rPr>
                <w:sz w:val="20"/>
              </w:rPr>
              <w:t>0.492</w:t>
            </w:r>
          </w:p>
          <w:p>
            <w:pPr>
              <w:pStyle w:val="TableParagraph"/>
              <w:rPr>
                <w:i/>
                <w:sz w:val="20"/>
              </w:rPr>
            </w:pPr>
          </w:p>
          <w:p>
            <w:pPr>
              <w:pStyle w:val="TableParagraph"/>
              <w:spacing w:before="1"/>
              <w:ind w:left="313"/>
              <w:rPr>
                <w:sz w:val="20"/>
              </w:rPr>
            </w:pPr>
            <w:r>
              <w:rPr>
                <w:sz w:val="20"/>
              </w:rPr>
              <w:t>3.098</w:t>
            </w:r>
          </w:p>
        </w:tc>
        <w:tc>
          <w:tcPr>
            <w:tcW w:w="927" w:type="dxa"/>
          </w:tcPr>
          <w:p>
            <w:pPr>
              <w:pStyle w:val="TableParagraph"/>
              <w:spacing w:before="14"/>
              <w:ind w:left="213"/>
              <w:rPr>
                <w:sz w:val="20"/>
              </w:rPr>
            </w:pPr>
            <w:r>
              <w:rPr>
                <w:sz w:val="20"/>
              </w:rPr>
              <w:t>0.650</w:t>
            </w:r>
          </w:p>
          <w:p>
            <w:pPr>
              <w:pStyle w:val="TableParagraph"/>
              <w:rPr>
                <w:i/>
                <w:sz w:val="20"/>
              </w:rPr>
            </w:pPr>
          </w:p>
          <w:p>
            <w:pPr>
              <w:pStyle w:val="TableParagraph"/>
              <w:spacing w:before="1"/>
              <w:ind w:left="213"/>
              <w:rPr>
                <w:sz w:val="20"/>
              </w:rPr>
            </w:pPr>
            <w:r>
              <w:rPr>
                <w:sz w:val="20"/>
              </w:rPr>
              <w:t>2.999</w:t>
            </w:r>
          </w:p>
        </w:tc>
        <w:tc>
          <w:tcPr>
            <w:tcW w:w="915" w:type="dxa"/>
          </w:tcPr>
          <w:p>
            <w:pPr>
              <w:pStyle w:val="TableParagraph"/>
              <w:spacing w:before="14"/>
              <w:ind w:left="256"/>
              <w:rPr>
                <w:sz w:val="20"/>
              </w:rPr>
            </w:pPr>
            <w:r>
              <w:rPr>
                <w:sz w:val="20"/>
              </w:rPr>
              <w:t>0.598</w:t>
            </w:r>
          </w:p>
          <w:p>
            <w:pPr>
              <w:pStyle w:val="TableParagraph"/>
              <w:rPr>
                <w:i/>
                <w:sz w:val="20"/>
              </w:rPr>
            </w:pPr>
          </w:p>
          <w:p>
            <w:pPr>
              <w:pStyle w:val="TableParagraph"/>
              <w:spacing w:before="1"/>
              <w:ind w:left="256"/>
              <w:rPr>
                <w:sz w:val="20"/>
              </w:rPr>
            </w:pPr>
            <w:r>
              <w:rPr>
                <w:sz w:val="20"/>
              </w:rPr>
              <w:t>3.116</w:t>
            </w:r>
          </w:p>
        </w:tc>
        <w:tc>
          <w:tcPr>
            <w:tcW w:w="901" w:type="dxa"/>
          </w:tcPr>
          <w:p>
            <w:pPr>
              <w:pStyle w:val="TableParagraph"/>
              <w:spacing w:before="14"/>
              <w:ind w:left="201"/>
              <w:rPr>
                <w:sz w:val="20"/>
              </w:rPr>
            </w:pPr>
            <w:r>
              <w:rPr>
                <w:sz w:val="20"/>
              </w:rPr>
              <w:t>0.637</w:t>
            </w:r>
          </w:p>
          <w:p>
            <w:pPr>
              <w:pStyle w:val="TableParagraph"/>
              <w:rPr>
                <w:i/>
                <w:sz w:val="20"/>
              </w:rPr>
            </w:pPr>
          </w:p>
          <w:p>
            <w:pPr>
              <w:pStyle w:val="TableParagraph"/>
              <w:spacing w:before="1"/>
              <w:ind w:left="201"/>
              <w:rPr>
                <w:sz w:val="20"/>
              </w:rPr>
            </w:pPr>
            <w:r>
              <w:rPr>
                <w:sz w:val="20"/>
              </w:rPr>
              <w:t>3.134</w:t>
            </w:r>
          </w:p>
        </w:tc>
        <w:tc>
          <w:tcPr>
            <w:tcW w:w="929" w:type="dxa"/>
          </w:tcPr>
          <w:p>
            <w:pPr>
              <w:pStyle w:val="TableParagraph"/>
              <w:spacing w:before="14"/>
              <w:ind w:left="242"/>
              <w:rPr>
                <w:sz w:val="20"/>
              </w:rPr>
            </w:pPr>
            <w:r>
              <w:rPr>
                <w:sz w:val="20"/>
              </w:rPr>
              <w:t>0.864</w:t>
            </w:r>
          </w:p>
          <w:p>
            <w:pPr>
              <w:pStyle w:val="TableParagraph"/>
              <w:rPr>
                <w:i/>
                <w:sz w:val="20"/>
              </w:rPr>
            </w:pPr>
          </w:p>
          <w:p>
            <w:pPr>
              <w:pStyle w:val="TableParagraph"/>
              <w:spacing w:before="1"/>
              <w:ind w:left="242"/>
              <w:rPr>
                <w:sz w:val="20"/>
              </w:rPr>
            </w:pPr>
            <w:r>
              <w:rPr>
                <w:sz w:val="20"/>
              </w:rPr>
              <w:t>3.098</w:t>
            </w:r>
          </w:p>
        </w:tc>
        <w:tc>
          <w:tcPr>
            <w:tcW w:w="956" w:type="dxa"/>
          </w:tcPr>
          <w:p>
            <w:pPr>
              <w:pStyle w:val="TableParagraph"/>
              <w:spacing w:before="14"/>
              <w:ind w:left="230"/>
              <w:rPr>
                <w:sz w:val="20"/>
              </w:rPr>
            </w:pPr>
            <w:r>
              <w:rPr>
                <w:sz w:val="20"/>
              </w:rPr>
              <w:t>1.072</w:t>
            </w:r>
          </w:p>
          <w:p>
            <w:pPr>
              <w:pStyle w:val="TableParagraph"/>
              <w:rPr>
                <w:i/>
                <w:sz w:val="20"/>
              </w:rPr>
            </w:pPr>
          </w:p>
          <w:p>
            <w:pPr>
              <w:pStyle w:val="TableParagraph"/>
              <w:spacing w:before="1"/>
              <w:ind w:left="230"/>
              <w:rPr>
                <w:sz w:val="20"/>
              </w:rPr>
            </w:pPr>
            <w:r>
              <w:rPr>
                <w:sz w:val="20"/>
              </w:rPr>
              <w:t>3.131</w:t>
            </w:r>
          </w:p>
        </w:tc>
        <w:tc>
          <w:tcPr>
            <w:tcW w:w="826" w:type="dxa"/>
          </w:tcPr>
          <w:p>
            <w:pPr>
              <w:pStyle w:val="TableParagraph"/>
              <w:spacing w:before="14"/>
              <w:ind w:left="369"/>
              <w:rPr>
                <w:sz w:val="20"/>
              </w:rPr>
            </w:pPr>
            <w:r>
              <w:rPr>
                <w:sz w:val="20"/>
              </w:rPr>
              <w:t>0.72</w:t>
            </w:r>
          </w:p>
          <w:p>
            <w:pPr>
              <w:pStyle w:val="TableParagraph"/>
              <w:rPr>
                <w:i/>
                <w:sz w:val="20"/>
              </w:rPr>
            </w:pPr>
          </w:p>
          <w:p>
            <w:pPr>
              <w:pStyle w:val="TableParagraph"/>
              <w:spacing w:before="1"/>
              <w:ind w:left="369"/>
              <w:rPr>
                <w:sz w:val="20"/>
              </w:rPr>
            </w:pPr>
            <w:r>
              <w:rPr>
                <w:sz w:val="20"/>
              </w:rPr>
              <w:t>3.10</w:t>
            </w:r>
          </w:p>
        </w:tc>
      </w:tr>
      <w:tr>
        <w:trPr>
          <w:trHeight w:val="715" w:hRule="exact"/>
        </w:trPr>
        <w:tc>
          <w:tcPr>
            <w:tcW w:w="2539" w:type="dxa"/>
          </w:tcPr>
          <w:p>
            <w:pPr>
              <w:pStyle w:val="TableParagraph"/>
              <w:spacing w:before="14"/>
              <w:ind w:left="110" w:right="325"/>
              <w:rPr>
                <w:sz w:val="20"/>
              </w:rPr>
            </w:pPr>
            <w:r>
              <w:rPr>
                <w:sz w:val="20"/>
              </w:rPr>
              <w:t>Odd-carbon fatty acids, % Even-carbon saturated fatty acids, %</w:t>
            </w:r>
          </w:p>
        </w:tc>
        <w:tc>
          <w:tcPr>
            <w:tcW w:w="983" w:type="dxa"/>
          </w:tcPr>
          <w:p>
            <w:pPr>
              <w:pStyle w:val="TableParagraph"/>
              <w:spacing w:before="14"/>
              <w:ind w:left="296" w:right="96"/>
              <w:jc w:val="center"/>
              <w:rPr>
                <w:sz w:val="20"/>
              </w:rPr>
            </w:pPr>
            <w:r>
              <w:rPr>
                <w:sz w:val="20"/>
              </w:rPr>
              <w:t>5.34</w:t>
            </w:r>
          </w:p>
          <w:p>
            <w:pPr>
              <w:pStyle w:val="TableParagraph"/>
              <w:rPr>
                <w:i/>
                <w:sz w:val="20"/>
              </w:rPr>
            </w:pPr>
          </w:p>
          <w:p>
            <w:pPr>
              <w:pStyle w:val="TableParagraph"/>
              <w:spacing w:before="1"/>
              <w:ind w:left="295" w:right="196"/>
              <w:jc w:val="center"/>
              <w:rPr>
                <w:sz w:val="20"/>
              </w:rPr>
            </w:pPr>
            <w:r>
              <w:rPr>
                <w:sz w:val="20"/>
              </w:rPr>
              <w:t>78.03</w:t>
            </w:r>
          </w:p>
        </w:tc>
        <w:tc>
          <w:tcPr>
            <w:tcW w:w="927" w:type="dxa"/>
          </w:tcPr>
          <w:p>
            <w:pPr>
              <w:pStyle w:val="TableParagraph"/>
              <w:spacing w:before="14"/>
              <w:ind w:left="197" w:right="140"/>
              <w:jc w:val="center"/>
              <w:rPr>
                <w:sz w:val="20"/>
              </w:rPr>
            </w:pPr>
            <w:r>
              <w:rPr>
                <w:sz w:val="20"/>
              </w:rPr>
              <w:t>5.15</w:t>
            </w:r>
          </w:p>
          <w:p>
            <w:pPr>
              <w:pStyle w:val="TableParagraph"/>
              <w:rPr>
                <w:i/>
                <w:sz w:val="20"/>
              </w:rPr>
            </w:pPr>
          </w:p>
          <w:p>
            <w:pPr>
              <w:pStyle w:val="TableParagraph"/>
              <w:spacing w:before="1"/>
              <w:ind w:left="197" w:right="238"/>
              <w:jc w:val="center"/>
              <w:rPr>
                <w:sz w:val="20"/>
              </w:rPr>
            </w:pPr>
            <w:r>
              <w:rPr>
                <w:sz w:val="20"/>
              </w:rPr>
              <w:t>77.60</w:t>
            </w:r>
          </w:p>
        </w:tc>
        <w:tc>
          <w:tcPr>
            <w:tcW w:w="915" w:type="dxa"/>
          </w:tcPr>
          <w:p>
            <w:pPr>
              <w:pStyle w:val="TableParagraph"/>
              <w:spacing w:before="14"/>
              <w:ind w:left="239" w:right="84"/>
              <w:jc w:val="center"/>
              <w:rPr>
                <w:sz w:val="20"/>
              </w:rPr>
            </w:pPr>
            <w:r>
              <w:rPr>
                <w:sz w:val="20"/>
              </w:rPr>
              <w:t>4.63</w:t>
            </w:r>
          </w:p>
          <w:p>
            <w:pPr>
              <w:pStyle w:val="TableParagraph"/>
              <w:rPr>
                <w:i/>
                <w:sz w:val="20"/>
              </w:rPr>
            </w:pPr>
          </w:p>
          <w:p>
            <w:pPr>
              <w:pStyle w:val="TableParagraph"/>
              <w:spacing w:before="1"/>
              <w:ind w:left="238" w:right="184"/>
              <w:jc w:val="center"/>
              <w:rPr>
                <w:sz w:val="20"/>
              </w:rPr>
            </w:pPr>
            <w:r>
              <w:rPr>
                <w:sz w:val="20"/>
              </w:rPr>
              <w:t>79.80</w:t>
            </w:r>
          </w:p>
        </w:tc>
        <w:tc>
          <w:tcPr>
            <w:tcW w:w="901" w:type="dxa"/>
          </w:tcPr>
          <w:p>
            <w:pPr>
              <w:pStyle w:val="TableParagraph"/>
              <w:spacing w:before="14"/>
              <w:ind w:left="186" w:right="127"/>
              <w:jc w:val="center"/>
              <w:rPr>
                <w:sz w:val="20"/>
              </w:rPr>
            </w:pPr>
            <w:r>
              <w:rPr>
                <w:sz w:val="20"/>
              </w:rPr>
              <w:t>4.00</w:t>
            </w:r>
          </w:p>
          <w:p>
            <w:pPr>
              <w:pStyle w:val="TableParagraph"/>
              <w:rPr>
                <w:i/>
                <w:sz w:val="20"/>
              </w:rPr>
            </w:pPr>
          </w:p>
          <w:p>
            <w:pPr>
              <w:pStyle w:val="TableParagraph"/>
              <w:spacing w:before="1"/>
              <w:ind w:left="186" w:right="224"/>
              <w:jc w:val="center"/>
              <w:rPr>
                <w:sz w:val="20"/>
              </w:rPr>
            </w:pPr>
            <w:r>
              <w:rPr>
                <w:sz w:val="20"/>
              </w:rPr>
              <w:t>80.29</w:t>
            </w:r>
          </w:p>
        </w:tc>
        <w:tc>
          <w:tcPr>
            <w:tcW w:w="929" w:type="dxa"/>
          </w:tcPr>
          <w:p>
            <w:pPr>
              <w:pStyle w:val="TableParagraph"/>
              <w:spacing w:before="14"/>
              <w:ind w:left="225" w:right="113"/>
              <w:jc w:val="center"/>
              <w:rPr>
                <w:sz w:val="20"/>
              </w:rPr>
            </w:pPr>
            <w:r>
              <w:rPr>
                <w:sz w:val="20"/>
              </w:rPr>
              <w:t>3.89</w:t>
            </w:r>
          </w:p>
          <w:p>
            <w:pPr>
              <w:pStyle w:val="TableParagraph"/>
              <w:rPr>
                <w:i/>
                <w:sz w:val="20"/>
              </w:rPr>
            </w:pPr>
          </w:p>
          <w:p>
            <w:pPr>
              <w:pStyle w:val="TableParagraph"/>
              <w:spacing w:before="1"/>
              <w:ind w:left="225" w:right="213"/>
              <w:jc w:val="center"/>
              <w:rPr>
                <w:sz w:val="20"/>
              </w:rPr>
            </w:pPr>
            <w:r>
              <w:rPr>
                <w:sz w:val="20"/>
              </w:rPr>
              <w:t>81.16</w:t>
            </w:r>
          </w:p>
        </w:tc>
        <w:tc>
          <w:tcPr>
            <w:tcW w:w="956" w:type="dxa"/>
          </w:tcPr>
          <w:p>
            <w:pPr>
              <w:pStyle w:val="TableParagraph"/>
              <w:spacing w:before="14"/>
              <w:ind w:left="214" w:right="152"/>
              <w:jc w:val="center"/>
              <w:rPr>
                <w:sz w:val="20"/>
              </w:rPr>
            </w:pPr>
            <w:r>
              <w:rPr>
                <w:sz w:val="20"/>
              </w:rPr>
              <w:t>4.22</w:t>
            </w:r>
          </w:p>
          <w:p>
            <w:pPr>
              <w:pStyle w:val="TableParagraph"/>
              <w:rPr>
                <w:i/>
                <w:sz w:val="20"/>
              </w:rPr>
            </w:pPr>
          </w:p>
          <w:p>
            <w:pPr>
              <w:pStyle w:val="TableParagraph"/>
              <w:spacing w:before="1"/>
              <w:ind w:left="214" w:right="250"/>
              <w:jc w:val="center"/>
              <w:rPr>
                <w:sz w:val="20"/>
              </w:rPr>
            </w:pPr>
            <w:r>
              <w:rPr>
                <w:sz w:val="20"/>
              </w:rPr>
              <w:t>78.04</w:t>
            </w:r>
          </w:p>
        </w:tc>
        <w:tc>
          <w:tcPr>
            <w:tcW w:w="826" w:type="dxa"/>
          </w:tcPr>
          <w:p>
            <w:pPr>
              <w:pStyle w:val="TableParagraph"/>
              <w:spacing w:before="14"/>
              <w:ind w:left="352" w:right="83"/>
              <w:jc w:val="center"/>
              <w:rPr>
                <w:sz w:val="20"/>
              </w:rPr>
            </w:pPr>
            <w:r>
              <w:rPr>
                <w:sz w:val="20"/>
              </w:rPr>
              <w:t>4.54</w:t>
            </w:r>
          </w:p>
          <w:p>
            <w:pPr>
              <w:pStyle w:val="TableParagraph"/>
              <w:rPr>
                <w:i/>
                <w:sz w:val="20"/>
              </w:rPr>
            </w:pPr>
          </w:p>
          <w:p>
            <w:pPr>
              <w:pStyle w:val="TableParagraph"/>
              <w:spacing w:before="1"/>
              <w:ind w:left="251" w:right="83"/>
              <w:jc w:val="center"/>
              <w:rPr>
                <w:sz w:val="20"/>
              </w:rPr>
            </w:pPr>
            <w:r>
              <w:rPr>
                <w:sz w:val="20"/>
              </w:rPr>
              <w:t>79.15</w:t>
            </w:r>
          </w:p>
        </w:tc>
      </w:tr>
      <w:tr>
        <w:trPr>
          <w:trHeight w:val="461" w:hRule="exact"/>
        </w:trPr>
        <w:tc>
          <w:tcPr>
            <w:tcW w:w="2539" w:type="dxa"/>
          </w:tcPr>
          <w:p>
            <w:pPr>
              <w:pStyle w:val="TableParagraph"/>
              <w:ind w:left="110" w:right="415"/>
              <w:rPr>
                <w:sz w:val="20"/>
              </w:rPr>
            </w:pPr>
            <w:r>
              <w:rPr>
                <w:sz w:val="20"/>
              </w:rPr>
              <w:t>Even-carbon unsaturated fatty acids, %</w:t>
            </w:r>
          </w:p>
        </w:tc>
        <w:tc>
          <w:tcPr>
            <w:tcW w:w="983" w:type="dxa"/>
          </w:tcPr>
          <w:p>
            <w:pPr>
              <w:pStyle w:val="TableParagraph"/>
              <w:spacing w:before="1"/>
              <w:rPr>
                <w:i/>
                <w:sz w:val="19"/>
              </w:rPr>
            </w:pPr>
          </w:p>
          <w:p>
            <w:pPr>
              <w:pStyle w:val="TableParagraph"/>
              <w:spacing w:before="1"/>
              <w:ind w:right="211"/>
              <w:jc w:val="right"/>
              <w:rPr>
                <w:sz w:val="20"/>
              </w:rPr>
            </w:pPr>
            <w:r>
              <w:rPr>
                <w:sz w:val="20"/>
              </w:rPr>
              <w:t>16.63</w:t>
            </w:r>
          </w:p>
        </w:tc>
        <w:tc>
          <w:tcPr>
            <w:tcW w:w="927" w:type="dxa"/>
          </w:tcPr>
          <w:p>
            <w:pPr>
              <w:pStyle w:val="TableParagraph"/>
              <w:spacing w:before="1"/>
              <w:rPr>
                <w:i/>
                <w:sz w:val="19"/>
              </w:rPr>
            </w:pPr>
          </w:p>
          <w:p>
            <w:pPr>
              <w:pStyle w:val="TableParagraph"/>
              <w:spacing w:before="1"/>
              <w:ind w:right="256"/>
              <w:jc w:val="right"/>
              <w:rPr>
                <w:sz w:val="20"/>
              </w:rPr>
            </w:pPr>
            <w:r>
              <w:rPr>
                <w:sz w:val="20"/>
              </w:rPr>
              <w:t>17.24</w:t>
            </w:r>
          </w:p>
        </w:tc>
        <w:tc>
          <w:tcPr>
            <w:tcW w:w="915" w:type="dxa"/>
          </w:tcPr>
          <w:p>
            <w:pPr>
              <w:pStyle w:val="TableParagraph"/>
              <w:spacing w:before="1"/>
              <w:rPr>
                <w:i/>
                <w:sz w:val="19"/>
              </w:rPr>
            </w:pPr>
          </w:p>
          <w:p>
            <w:pPr>
              <w:pStyle w:val="TableParagraph"/>
              <w:spacing w:before="1"/>
              <w:ind w:right="199"/>
              <w:jc w:val="right"/>
              <w:rPr>
                <w:sz w:val="20"/>
              </w:rPr>
            </w:pPr>
            <w:r>
              <w:rPr>
                <w:sz w:val="20"/>
              </w:rPr>
              <w:t>15.58</w:t>
            </w:r>
          </w:p>
        </w:tc>
        <w:tc>
          <w:tcPr>
            <w:tcW w:w="901" w:type="dxa"/>
          </w:tcPr>
          <w:p>
            <w:pPr>
              <w:pStyle w:val="TableParagraph"/>
              <w:spacing w:before="1"/>
              <w:rPr>
                <w:i/>
                <w:sz w:val="19"/>
              </w:rPr>
            </w:pPr>
          </w:p>
          <w:p>
            <w:pPr>
              <w:pStyle w:val="TableParagraph"/>
              <w:spacing w:before="1"/>
              <w:ind w:left="186" w:right="224"/>
              <w:jc w:val="center"/>
              <w:rPr>
                <w:sz w:val="20"/>
              </w:rPr>
            </w:pPr>
            <w:r>
              <w:rPr>
                <w:sz w:val="20"/>
              </w:rPr>
              <w:t>15.71</w:t>
            </w:r>
          </w:p>
        </w:tc>
        <w:tc>
          <w:tcPr>
            <w:tcW w:w="929" w:type="dxa"/>
          </w:tcPr>
          <w:p>
            <w:pPr>
              <w:pStyle w:val="TableParagraph"/>
              <w:spacing w:before="1"/>
              <w:rPr>
                <w:i/>
                <w:sz w:val="19"/>
              </w:rPr>
            </w:pPr>
          </w:p>
          <w:p>
            <w:pPr>
              <w:pStyle w:val="TableParagraph"/>
              <w:spacing w:before="1"/>
              <w:ind w:left="225" w:right="213"/>
              <w:jc w:val="center"/>
              <w:rPr>
                <w:sz w:val="20"/>
              </w:rPr>
            </w:pPr>
            <w:r>
              <w:rPr>
                <w:sz w:val="20"/>
              </w:rPr>
              <w:t>14.95</w:t>
            </w:r>
          </w:p>
        </w:tc>
        <w:tc>
          <w:tcPr>
            <w:tcW w:w="956" w:type="dxa"/>
          </w:tcPr>
          <w:p>
            <w:pPr>
              <w:pStyle w:val="TableParagraph"/>
              <w:spacing w:before="1"/>
              <w:rPr>
                <w:i/>
                <w:sz w:val="19"/>
              </w:rPr>
            </w:pPr>
          </w:p>
          <w:p>
            <w:pPr>
              <w:pStyle w:val="TableParagraph"/>
              <w:spacing w:before="1"/>
              <w:ind w:left="214" w:right="250"/>
              <w:jc w:val="center"/>
              <w:rPr>
                <w:sz w:val="20"/>
              </w:rPr>
            </w:pPr>
            <w:r>
              <w:rPr>
                <w:sz w:val="20"/>
              </w:rPr>
              <w:t>17.74</w:t>
            </w:r>
          </w:p>
        </w:tc>
        <w:tc>
          <w:tcPr>
            <w:tcW w:w="826" w:type="dxa"/>
          </w:tcPr>
          <w:p>
            <w:pPr>
              <w:pStyle w:val="TableParagraph"/>
              <w:spacing w:before="1"/>
              <w:rPr>
                <w:i/>
                <w:sz w:val="19"/>
              </w:rPr>
            </w:pPr>
          </w:p>
          <w:p>
            <w:pPr>
              <w:pStyle w:val="TableParagraph"/>
              <w:spacing w:before="1"/>
              <w:ind w:right="100"/>
              <w:jc w:val="right"/>
              <w:rPr>
                <w:sz w:val="20"/>
              </w:rPr>
            </w:pPr>
            <w:r>
              <w:rPr>
                <w:sz w:val="20"/>
              </w:rPr>
              <w:t>16.31</w:t>
            </w:r>
          </w:p>
        </w:tc>
      </w:tr>
      <w:tr>
        <w:trPr>
          <w:trHeight w:val="474" w:hRule="exact"/>
        </w:trPr>
        <w:tc>
          <w:tcPr>
            <w:tcW w:w="2539" w:type="dxa"/>
            <w:tcBorders>
              <w:bottom w:val="single" w:sz="12" w:space="0" w:color="000000"/>
            </w:tcBorders>
          </w:tcPr>
          <w:p>
            <w:pPr>
              <w:pStyle w:val="TableParagraph"/>
              <w:ind w:left="110" w:right="676"/>
              <w:rPr>
                <w:sz w:val="20"/>
              </w:rPr>
            </w:pPr>
            <w:r>
              <w:rPr>
                <w:sz w:val="20"/>
              </w:rPr>
              <w:t>Saturated/unsaturated fatty acids</w:t>
            </w:r>
          </w:p>
        </w:tc>
        <w:tc>
          <w:tcPr>
            <w:tcW w:w="983" w:type="dxa"/>
            <w:tcBorders>
              <w:bottom w:val="single" w:sz="12" w:space="0" w:color="000000"/>
            </w:tcBorders>
          </w:tcPr>
          <w:p>
            <w:pPr>
              <w:pStyle w:val="TableParagraph"/>
              <w:spacing w:before="1"/>
              <w:rPr>
                <w:i/>
                <w:sz w:val="19"/>
              </w:rPr>
            </w:pPr>
          </w:p>
          <w:p>
            <w:pPr>
              <w:pStyle w:val="TableParagraph"/>
              <w:spacing w:before="1"/>
              <w:ind w:right="211"/>
              <w:jc w:val="right"/>
              <w:rPr>
                <w:sz w:val="20"/>
              </w:rPr>
            </w:pPr>
            <w:r>
              <w:rPr>
                <w:sz w:val="20"/>
              </w:rPr>
              <w:t>4.53</w:t>
            </w:r>
          </w:p>
        </w:tc>
        <w:tc>
          <w:tcPr>
            <w:tcW w:w="927" w:type="dxa"/>
            <w:tcBorders>
              <w:bottom w:val="single" w:sz="12" w:space="0" w:color="000000"/>
            </w:tcBorders>
          </w:tcPr>
          <w:p>
            <w:pPr>
              <w:pStyle w:val="TableParagraph"/>
              <w:spacing w:before="1"/>
              <w:rPr>
                <w:i/>
                <w:sz w:val="19"/>
              </w:rPr>
            </w:pPr>
          </w:p>
          <w:p>
            <w:pPr>
              <w:pStyle w:val="TableParagraph"/>
              <w:spacing w:before="1"/>
              <w:ind w:right="256"/>
              <w:jc w:val="right"/>
              <w:rPr>
                <w:sz w:val="20"/>
              </w:rPr>
            </w:pPr>
            <w:r>
              <w:rPr>
                <w:sz w:val="20"/>
              </w:rPr>
              <w:t>4.44</w:t>
            </w:r>
          </w:p>
        </w:tc>
        <w:tc>
          <w:tcPr>
            <w:tcW w:w="915" w:type="dxa"/>
            <w:tcBorders>
              <w:bottom w:val="single" w:sz="12" w:space="0" w:color="000000"/>
            </w:tcBorders>
          </w:tcPr>
          <w:p>
            <w:pPr>
              <w:pStyle w:val="TableParagraph"/>
              <w:spacing w:before="1"/>
              <w:rPr>
                <w:i/>
                <w:sz w:val="19"/>
              </w:rPr>
            </w:pPr>
          </w:p>
          <w:p>
            <w:pPr>
              <w:pStyle w:val="TableParagraph"/>
              <w:spacing w:before="1"/>
              <w:ind w:right="199"/>
              <w:jc w:val="right"/>
              <w:rPr>
                <w:sz w:val="20"/>
              </w:rPr>
            </w:pPr>
            <w:r>
              <w:rPr>
                <w:sz w:val="20"/>
              </w:rPr>
              <w:t>5.11</w:t>
            </w:r>
          </w:p>
        </w:tc>
        <w:tc>
          <w:tcPr>
            <w:tcW w:w="901" w:type="dxa"/>
            <w:tcBorders>
              <w:bottom w:val="single" w:sz="12" w:space="0" w:color="000000"/>
            </w:tcBorders>
          </w:tcPr>
          <w:p>
            <w:pPr>
              <w:pStyle w:val="TableParagraph"/>
              <w:spacing w:before="1"/>
              <w:rPr>
                <w:i/>
                <w:sz w:val="19"/>
              </w:rPr>
            </w:pPr>
          </w:p>
          <w:p>
            <w:pPr>
              <w:pStyle w:val="TableParagraph"/>
              <w:spacing w:before="1"/>
              <w:ind w:left="186" w:right="127"/>
              <w:jc w:val="center"/>
              <w:rPr>
                <w:sz w:val="20"/>
              </w:rPr>
            </w:pPr>
            <w:r>
              <w:rPr>
                <w:sz w:val="20"/>
              </w:rPr>
              <w:t>5.14</w:t>
            </w:r>
          </w:p>
        </w:tc>
        <w:tc>
          <w:tcPr>
            <w:tcW w:w="929" w:type="dxa"/>
            <w:tcBorders>
              <w:bottom w:val="single" w:sz="12" w:space="0" w:color="000000"/>
            </w:tcBorders>
          </w:tcPr>
          <w:p>
            <w:pPr>
              <w:pStyle w:val="TableParagraph"/>
              <w:spacing w:before="1"/>
              <w:rPr>
                <w:i/>
                <w:sz w:val="19"/>
              </w:rPr>
            </w:pPr>
          </w:p>
          <w:p>
            <w:pPr>
              <w:pStyle w:val="TableParagraph"/>
              <w:spacing w:before="1"/>
              <w:ind w:left="225" w:right="113"/>
              <w:jc w:val="center"/>
              <w:rPr>
                <w:sz w:val="20"/>
              </w:rPr>
            </w:pPr>
            <w:r>
              <w:rPr>
                <w:sz w:val="20"/>
              </w:rPr>
              <w:t>5.39</w:t>
            </w:r>
          </w:p>
        </w:tc>
        <w:tc>
          <w:tcPr>
            <w:tcW w:w="956" w:type="dxa"/>
            <w:tcBorders>
              <w:bottom w:val="single" w:sz="12" w:space="0" w:color="000000"/>
            </w:tcBorders>
          </w:tcPr>
          <w:p>
            <w:pPr>
              <w:pStyle w:val="TableParagraph"/>
              <w:spacing w:before="1"/>
              <w:rPr>
                <w:i/>
                <w:sz w:val="19"/>
              </w:rPr>
            </w:pPr>
          </w:p>
          <w:p>
            <w:pPr>
              <w:pStyle w:val="TableParagraph"/>
              <w:spacing w:before="1"/>
              <w:ind w:left="214" w:right="152"/>
              <w:jc w:val="center"/>
              <w:rPr>
                <w:sz w:val="20"/>
              </w:rPr>
            </w:pPr>
            <w:r>
              <w:rPr>
                <w:sz w:val="20"/>
              </w:rPr>
              <w:t>4.43</w:t>
            </w:r>
          </w:p>
        </w:tc>
        <w:tc>
          <w:tcPr>
            <w:tcW w:w="826" w:type="dxa"/>
            <w:tcBorders>
              <w:bottom w:val="single" w:sz="12" w:space="0" w:color="000000"/>
            </w:tcBorders>
          </w:tcPr>
          <w:p>
            <w:pPr>
              <w:pStyle w:val="TableParagraph"/>
              <w:spacing w:before="1"/>
              <w:rPr>
                <w:i/>
                <w:sz w:val="19"/>
              </w:rPr>
            </w:pPr>
          </w:p>
          <w:p>
            <w:pPr>
              <w:pStyle w:val="TableParagraph"/>
              <w:spacing w:before="1"/>
              <w:ind w:right="100"/>
              <w:jc w:val="right"/>
              <w:rPr>
                <w:sz w:val="20"/>
              </w:rPr>
            </w:pPr>
            <w:r>
              <w:rPr>
                <w:sz w:val="20"/>
              </w:rPr>
              <w:t>4.81</w:t>
            </w:r>
          </w:p>
        </w:tc>
      </w:tr>
    </w:tbl>
    <w:p>
      <w:pPr>
        <w:spacing w:after="0"/>
        <w:jc w:val="right"/>
        <w:rPr>
          <w:sz w:val="20"/>
        </w:rPr>
        <w:sectPr>
          <w:pgSz w:w="12240" w:h="15840"/>
          <w:pgMar w:header="684" w:footer="1184" w:top="1380" w:bottom="1380" w:left="1440" w:right="1460"/>
        </w:sectPr>
      </w:pPr>
    </w:p>
    <w:p>
      <w:pPr>
        <w:pStyle w:val="BodyText"/>
        <w:spacing w:before="3"/>
        <w:rPr>
          <w:rFonts w:ascii="Times New Roman"/>
          <w:i/>
          <w:sz w:val="13"/>
        </w:rPr>
      </w:pPr>
    </w:p>
    <w:p>
      <w:pPr>
        <w:spacing w:before="85"/>
        <w:ind w:left="259" w:right="288" w:firstLine="0"/>
        <w:jc w:val="left"/>
        <w:rPr>
          <w:rFonts w:ascii="Times New Roman"/>
          <w:sz w:val="20"/>
        </w:rPr>
      </w:pPr>
      <w:r>
        <w:rPr>
          <w:rFonts w:ascii="Times New Roman"/>
          <w:i/>
          <w:position w:val="7"/>
          <w:sz w:val="13"/>
        </w:rPr>
        <w:t>a </w:t>
      </w:r>
      <w:r>
        <w:rPr>
          <w:rFonts w:ascii="Times New Roman"/>
          <w:sz w:val="20"/>
        </w:rPr>
        <w:t>Internal peak area values, IPA(%), means the relative proportion (%) of different fatty acids in the corresponding individual sample.</w:t>
      </w:r>
    </w:p>
    <w:p>
      <w:pPr>
        <w:pStyle w:val="BodyText"/>
        <w:spacing w:before="10"/>
        <w:rPr>
          <w:rFonts w:ascii="Times New Roman"/>
          <w:sz w:val="18"/>
        </w:rPr>
      </w:pPr>
    </w:p>
    <w:p>
      <w:pPr>
        <w:pStyle w:val="BodyText"/>
        <w:ind w:left="985"/>
        <w:rPr>
          <w:rFonts w:ascii="Times New Roman"/>
          <w:i/>
          <w:sz w:val="16"/>
        </w:rPr>
      </w:pPr>
      <w:r>
        <w:rPr/>
        <w:pict>
          <v:shape style="position:absolute;margin-left:86.928001pt;margin-top:14.848741pt;width:437.95pt;height:54pt;mso-position-horizontal-relative:page;mso-position-vertical-relative:paragraph;z-index:4888"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71"/>
                    <w:gridCol w:w="1242"/>
                    <w:gridCol w:w="843"/>
                    <w:gridCol w:w="1080"/>
                    <w:gridCol w:w="850"/>
                    <w:gridCol w:w="821"/>
                    <w:gridCol w:w="730"/>
                    <w:gridCol w:w="898"/>
                  </w:tblGrid>
                  <w:tr>
                    <w:trPr>
                      <w:trHeight w:val="485" w:hRule="exact"/>
                    </w:trPr>
                    <w:tc>
                      <w:tcPr>
                        <w:tcW w:w="2271" w:type="dxa"/>
                        <w:vMerge w:val="restart"/>
                        <w:tcBorders>
                          <w:left w:val="nil"/>
                          <w:right w:val="nil"/>
                        </w:tcBorders>
                      </w:tcPr>
                      <w:p>
                        <w:pPr>
                          <w:pStyle w:val="TableParagraph"/>
                          <w:spacing w:before="111"/>
                          <w:ind w:left="110"/>
                          <w:rPr>
                            <w:sz w:val="20"/>
                          </w:rPr>
                        </w:pPr>
                        <w:r>
                          <w:rPr>
                            <w:sz w:val="20"/>
                          </w:rPr>
                          <w:t>Items</w:t>
                        </w:r>
                      </w:p>
                    </w:tc>
                    <w:tc>
                      <w:tcPr>
                        <w:tcW w:w="5566" w:type="dxa"/>
                        <w:gridSpan w:val="6"/>
                        <w:tcBorders>
                          <w:left w:val="nil"/>
                          <w:bottom w:val="single" w:sz="4" w:space="0" w:color="000000"/>
                          <w:right w:val="single" w:sz="4" w:space="0" w:color="000000"/>
                        </w:tcBorders>
                      </w:tcPr>
                      <w:p>
                        <w:pPr>
                          <w:pStyle w:val="TableParagraph"/>
                          <w:ind w:left="1681" w:right="262" w:hanging="1393"/>
                          <w:rPr>
                            <w:sz w:val="20"/>
                          </w:rPr>
                        </w:pPr>
                        <w:r>
                          <w:rPr>
                            <w:sz w:val="20"/>
                          </w:rPr>
                          <w:t>A various of exogenous ω-6/ω-3 LCFAs Ratios (x: [100-x]; in total of 100 mg/g substrate)</w:t>
                        </w:r>
                      </w:p>
                    </w:tc>
                    <w:tc>
                      <w:tcPr>
                        <w:tcW w:w="898" w:type="dxa"/>
                        <w:tcBorders>
                          <w:left w:val="single" w:sz="4" w:space="0" w:color="000000"/>
                          <w:bottom w:val="single" w:sz="4" w:space="0" w:color="000000"/>
                          <w:right w:val="single" w:sz="4" w:space="0" w:color="000000"/>
                        </w:tcBorders>
                      </w:tcPr>
                      <w:p>
                        <w:pPr>
                          <w:pStyle w:val="TableParagraph"/>
                          <w:ind w:right="101"/>
                          <w:jc w:val="right"/>
                          <w:rPr>
                            <w:sz w:val="20"/>
                          </w:rPr>
                        </w:pPr>
                        <w:r>
                          <w:rPr>
                            <w:sz w:val="20"/>
                          </w:rPr>
                          <w:t>Average</w:t>
                        </w:r>
                      </w:p>
                    </w:tc>
                  </w:tr>
                  <w:tr>
                    <w:trPr>
                      <w:trHeight w:val="290" w:hRule="exact"/>
                    </w:trPr>
                    <w:tc>
                      <w:tcPr>
                        <w:tcW w:w="2271" w:type="dxa"/>
                        <w:vMerge/>
                        <w:tcBorders>
                          <w:left w:val="nil"/>
                          <w:bottom w:val="single" w:sz="2" w:space="0" w:color="000000"/>
                          <w:right w:val="nil"/>
                        </w:tcBorders>
                      </w:tcPr>
                      <w:p>
                        <w:pPr/>
                      </w:p>
                    </w:tc>
                    <w:tc>
                      <w:tcPr>
                        <w:tcW w:w="1242" w:type="dxa"/>
                        <w:tcBorders>
                          <w:top w:val="single" w:sz="4" w:space="0" w:color="000000"/>
                          <w:left w:val="nil"/>
                          <w:bottom w:val="single" w:sz="2" w:space="0" w:color="000000"/>
                          <w:right w:val="nil"/>
                        </w:tcBorders>
                      </w:tcPr>
                      <w:p>
                        <w:pPr>
                          <w:pStyle w:val="TableParagraph"/>
                          <w:spacing w:before="43"/>
                          <w:ind w:right="269"/>
                          <w:jc w:val="right"/>
                          <w:rPr>
                            <w:i/>
                            <w:sz w:val="20"/>
                          </w:rPr>
                        </w:pPr>
                        <w:r>
                          <w:rPr>
                            <w:i/>
                            <w:sz w:val="20"/>
                          </w:rPr>
                          <w:t>100-0</w:t>
                        </w:r>
                      </w:p>
                    </w:tc>
                    <w:tc>
                      <w:tcPr>
                        <w:tcW w:w="843" w:type="dxa"/>
                        <w:tcBorders>
                          <w:top w:val="single" w:sz="4" w:space="0" w:color="000000"/>
                          <w:left w:val="nil"/>
                          <w:bottom w:val="single" w:sz="2" w:space="0" w:color="000000"/>
                          <w:right w:val="single" w:sz="4" w:space="0" w:color="000000"/>
                        </w:tcBorders>
                      </w:tcPr>
                      <w:p>
                        <w:pPr>
                          <w:pStyle w:val="TableParagraph"/>
                          <w:spacing w:before="43"/>
                          <w:ind w:right="95"/>
                          <w:jc w:val="right"/>
                          <w:rPr>
                            <w:i/>
                            <w:sz w:val="20"/>
                          </w:rPr>
                        </w:pPr>
                        <w:r>
                          <w:rPr>
                            <w:i/>
                            <w:sz w:val="20"/>
                          </w:rPr>
                          <w:t>90-10</w:t>
                        </w:r>
                      </w:p>
                    </w:tc>
                    <w:tc>
                      <w:tcPr>
                        <w:tcW w:w="1080" w:type="dxa"/>
                        <w:tcBorders>
                          <w:top w:val="single" w:sz="4" w:space="0" w:color="000000"/>
                          <w:left w:val="single" w:sz="4" w:space="0" w:color="000000"/>
                          <w:bottom w:val="single" w:sz="2" w:space="0" w:color="000000"/>
                          <w:right w:val="nil"/>
                        </w:tcBorders>
                      </w:tcPr>
                      <w:p>
                        <w:pPr>
                          <w:pStyle w:val="TableParagraph"/>
                          <w:spacing w:before="43"/>
                          <w:ind w:right="185"/>
                          <w:jc w:val="right"/>
                          <w:rPr>
                            <w:i/>
                            <w:sz w:val="20"/>
                          </w:rPr>
                        </w:pPr>
                        <w:r>
                          <w:rPr>
                            <w:i/>
                            <w:sz w:val="20"/>
                          </w:rPr>
                          <w:t>80-20</w:t>
                        </w:r>
                      </w:p>
                    </w:tc>
                    <w:tc>
                      <w:tcPr>
                        <w:tcW w:w="850" w:type="dxa"/>
                        <w:tcBorders>
                          <w:top w:val="single" w:sz="4" w:space="0" w:color="000000"/>
                          <w:left w:val="nil"/>
                          <w:bottom w:val="single" w:sz="2" w:space="0" w:color="000000"/>
                          <w:right w:val="nil"/>
                        </w:tcBorders>
                      </w:tcPr>
                      <w:p>
                        <w:pPr>
                          <w:pStyle w:val="TableParagraph"/>
                          <w:spacing w:before="43"/>
                          <w:ind w:left="170" w:right="173"/>
                          <w:jc w:val="center"/>
                          <w:rPr>
                            <w:i/>
                            <w:sz w:val="20"/>
                          </w:rPr>
                        </w:pPr>
                        <w:r>
                          <w:rPr>
                            <w:i/>
                            <w:sz w:val="20"/>
                          </w:rPr>
                          <w:t>66-33</w:t>
                        </w:r>
                      </w:p>
                    </w:tc>
                    <w:tc>
                      <w:tcPr>
                        <w:tcW w:w="821" w:type="dxa"/>
                        <w:tcBorders>
                          <w:top w:val="single" w:sz="4" w:space="0" w:color="000000"/>
                          <w:left w:val="nil"/>
                          <w:bottom w:val="single" w:sz="2" w:space="0" w:color="000000"/>
                          <w:right w:val="nil"/>
                        </w:tcBorders>
                      </w:tcPr>
                      <w:p>
                        <w:pPr>
                          <w:pStyle w:val="TableParagraph"/>
                          <w:spacing w:before="43"/>
                          <w:ind w:right="156"/>
                          <w:jc w:val="right"/>
                          <w:rPr>
                            <w:i/>
                            <w:sz w:val="20"/>
                          </w:rPr>
                        </w:pPr>
                        <w:r>
                          <w:rPr>
                            <w:i/>
                            <w:sz w:val="20"/>
                          </w:rPr>
                          <w:t>50-50</w:t>
                        </w:r>
                      </w:p>
                    </w:tc>
                    <w:tc>
                      <w:tcPr>
                        <w:tcW w:w="730" w:type="dxa"/>
                        <w:tcBorders>
                          <w:top w:val="single" w:sz="4" w:space="0" w:color="000000"/>
                          <w:left w:val="nil"/>
                          <w:bottom w:val="single" w:sz="2" w:space="0" w:color="000000"/>
                          <w:right w:val="single" w:sz="4" w:space="0" w:color="000000"/>
                        </w:tcBorders>
                      </w:tcPr>
                      <w:p>
                        <w:pPr>
                          <w:pStyle w:val="TableParagraph"/>
                          <w:spacing w:before="43"/>
                          <w:ind w:right="95"/>
                          <w:jc w:val="right"/>
                          <w:rPr>
                            <w:i/>
                            <w:sz w:val="20"/>
                          </w:rPr>
                        </w:pPr>
                        <w:r>
                          <w:rPr>
                            <w:i/>
                            <w:sz w:val="20"/>
                          </w:rPr>
                          <w:t>20-80</w:t>
                        </w:r>
                      </w:p>
                    </w:tc>
                    <w:tc>
                      <w:tcPr>
                        <w:tcW w:w="898" w:type="dxa"/>
                        <w:tcBorders>
                          <w:top w:val="single" w:sz="4" w:space="0" w:color="000000"/>
                          <w:left w:val="single" w:sz="4" w:space="0" w:color="000000"/>
                          <w:bottom w:val="single" w:sz="2" w:space="0" w:color="000000"/>
                          <w:right w:val="nil"/>
                        </w:tcBorders>
                      </w:tcPr>
                      <w:p>
                        <w:pPr/>
                      </w:p>
                    </w:tc>
                  </w:tr>
                  <w:tr>
                    <w:trPr>
                      <w:trHeight w:val="286" w:hRule="exact"/>
                    </w:trPr>
                    <w:tc>
                      <w:tcPr>
                        <w:tcW w:w="2271" w:type="dxa"/>
                        <w:tcBorders>
                          <w:top w:val="single" w:sz="2" w:space="0" w:color="000000"/>
                          <w:left w:val="nil"/>
                          <w:bottom w:val="nil"/>
                          <w:right w:val="nil"/>
                        </w:tcBorders>
                      </w:tcPr>
                      <w:p>
                        <w:pPr>
                          <w:pStyle w:val="TableParagraph"/>
                          <w:spacing w:before="43"/>
                          <w:ind w:left="110"/>
                          <w:rPr>
                            <w:sz w:val="20"/>
                          </w:rPr>
                        </w:pPr>
                        <w:r>
                          <w:rPr>
                            <w:sz w:val="20"/>
                          </w:rPr>
                          <w:t>Lauric Acid</w:t>
                        </w:r>
                      </w:p>
                    </w:tc>
                    <w:tc>
                      <w:tcPr>
                        <w:tcW w:w="1242" w:type="dxa"/>
                        <w:tcBorders>
                          <w:top w:val="single" w:sz="2" w:space="0" w:color="000000"/>
                          <w:left w:val="nil"/>
                          <w:bottom w:val="nil"/>
                          <w:right w:val="nil"/>
                        </w:tcBorders>
                      </w:tcPr>
                      <w:p>
                        <w:pPr>
                          <w:pStyle w:val="TableParagraph"/>
                          <w:spacing w:before="43"/>
                          <w:ind w:right="269"/>
                          <w:jc w:val="right"/>
                          <w:rPr>
                            <w:sz w:val="20"/>
                          </w:rPr>
                        </w:pPr>
                        <w:r>
                          <w:rPr>
                            <w:sz w:val="20"/>
                          </w:rPr>
                          <w:t>0.61</w:t>
                        </w:r>
                      </w:p>
                    </w:tc>
                    <w:tc>
                      <w:tcPr>
                        <w:tcW w:w="843" w:type="dxa"/>
                        <w:tcBorders>
                          <w:top w:val="single" w:sz="2" w:space="0" w:color="000000"/>
                          <w:left w:val="nil"/>
                          <w:bottom w:val="nil"/>
                          <w:right w:val="single" w:sz="4" w:space="0" w:color="000000"/>
                        </w:tcBorders>
                      </w:tcPr>
                      <w:p>
                        <w:pPr>
                          <w:pStyle w:val="TableParagraph"/>
                          <w:spacing w:before="43"/>
                          <w:ind w:right="94"/>
                          <w:jc w:val="right"/>
                          <w:rPr>
                            <w:sz w:val="20"/>
                          </w:rPr>
                        </w:pPr>
                        <w:r>
                          <w:rPr>
                            <w:sz w:val="20"/>
                          </w:rPr>
                          <w:t>0.50</w:t>
                        </w:r>
                      </w:p>
                    </w:tc>
                    <w:tc>
                      <w:tcPr>
                        <w:tcW w:w="1080" w:type="dxa"/>
                        <w:tcBorders>
                          <w:top w:val="single" w:sz="2" w:space="0" w:color="000000"/>
                          <w:left w:val="single" w:sz="4" w:space="0" w:color="000000"/>
                          <w:bottom w:val="nil"/>
                          <w:right w:val="nil"/>
                        </w:tcBorders>
                      </w:tcPr>
                      <w:p>
                        <w:pPr>
                          <w:pStyle w:val="TableParagraph"/>
                          <w:spacing w:before="43"/>
                          <w:ind w:right="185"/>
                          <w:jc w:val="right"/>
                          <w:rPr>
                            <w:sz w:val="20"/>
                          </w:rPr>
                        </w:pPr>
                        <w:r>
                          <w:rPr>
                            <w:sz w:val="20"/>
                          </w:rPr>
                          <w:t>1.09</w:t>
                        </w:r>
                      </w:p>
                    </w:tc>
                    <w:tc>
                      <w:tcPr>
                        <w:tcW w:w="850" w:type="dxa"/>
                        <w:tcBorders>
                          <w:top w:val="single" w:sz="2" w:space="0" w:color="000000"/>
                          <w:left w:val="nil"/>
                          <w:bottom w:val="nil"/>
                          <w:right w:val="nil"/>
                        </w:tcBorders>
                      </w:tcPr>
                      <w:p>
                        <w:pPr>
                          <w:pStyle w:val="TableParagraph"/>
                          <w:spacing w:before="43"/>
                          <w:ind w:left="170" w:right="61"/>
                          <w:jc w:val="center"/>
                          <w:rPr>
                            <w:sz w:val="20"/>
                          </w:rPr>
                        </w:pPr>
                        <w:r>
                          <w:rPr>
                            <w:sz w:val="20"/>
                          </w:rPr>
                          <w:t>0.25</w:t>
                        </w:r>
                      </w:p>
                    </w:tc>
                    <w:tc>
                      <w:tcPr>
                        <w:tcW w:w="821" w:type="dxa"/>
                        <w:tcBorders>
                          <w:top w:val="single" w:sz="2" w:space="0" w:color="000000"/>
                          <w:left w:val="nil"/>
                          <w:bottom w:val="nil"/>
                          <w:right w:val="nil"/>
                        </w:tcBorders>
                      </w:tcPr>
                      <w:p>
                        <w:pPr>
                          <w:pStyle w:val="TableParagraph"/>
                          <w:spacing w:before="43"/>
                          <w:ind w:right="156"/>
                          <w:jc w:val="right"/>
                          <w:rPr>
                            <w:sz w:val="20"/>
                          </w:rPr>
                        </w:pPr>
                        <w:r>
                          <w:rPr>
                            <w:sz w:val="20"/>
                          </w:rPr>
                          <w:t>0.28</w:t>
                        </w:r>
                      </w:p>
                    </w:tc>
                    <w:tc>
                      <w:tcPr>
                        <w:tcW w:w="730" w:type="dxa"/>
                        <w:tcBorders>
                          <w:top w:val="single" w:sz="2" w:space="0" w:color="000000"/>
                          <w:left w:val="nil"/>
                          <w:bottom w:val="nil"/>
                          <w:right w:val="nil"/>
                        </w:tcBorders>
                      </w:tcPr>
                      <w:p>
                        <w:pPr>
                          <w:pStyle w:val="TableParagraph"/>
                          <w:spacing w:before="43"/>
                          <w:ind w:right="100"/>
                          <w:jc w:val="right"/>
                          <w:rPr>
                            <w:sz w:val="20"/>
                          </w:rPr>
                        </w:pPr>
                        <w:r>
                          <w:rPr>
                            <w:sz w:val="20"/>
                          </w:rPr>
                          <w:t>0.21</w:t>
                        </w:r>
                      </w:p>
                    </w:tc>
                    <w:tc>
                      <w:tcPr>
                        <w:tcW w:w="898" w:type="dxa"/>
                        <w:tcBorders>
                          <w:top w:val="single" w:sz="2" w:space="0" w:color="000000"/>
                          <w:left w:val="nil"/>
                          <w:bottom w:val="nil"/>
                          <w:right w:val="nil"/>
                        </w:tcBorders>
                      </w:tcPr>
                      <w:p>
                        <w:pPr>
                          <w:pStyle w:val="TableParagraph"/>
                          <w:spacing w:before="43"/>
                          <w:ind w:right="103"/>
                          <w:jc w:val="right"/>
                          <w:rPr>
                            <w:sz w:val="20"/>
                          </w:rPr>
                        </w:pPr>
                        <w:r>
                          <w:rPr>
                            <w:sz w:val="20"/>
                          </w:rPr>
                          <w:t>0.49</w:t>
                        </w:r>
                      </w:p>
                    </w:tc>
                  </w:tr>
                </w:tbl>
                <w:p>
                  <w:pPr>
                    <w:pStyle w:val="BodyText"/>
                  </w:pPr>
                </w:p>
              </w:txbxContent>
            </v:textbox>
            <w10:wrap type="none"/>
          </v:shape>
        </w:pict>
      </w:r>
      <w:r>
        <w:rPr>
          <w:rFonts w:ascii="Times New Roman"/>
          <w:b/>
        </w:rPr>
        <w:t>Table 3</w:t>
      </w:r>
      <w:r>
        <w:rPr>
          <w:rFonts w:ascii="Times New Roman"/>
        </w:rPr>
        <w:t>. Internal peak area values, IPA(%), of LCFAs in protozoal fraction </w:t>
      </w:r>
      <w:r>
        <w:rPr>
          <w:rFonts w:ascii="Times New Roman"/>
          <w:i/>
          <w:position w:val="9"/>
          <w:sz w:val="16"/>
        </w:rPr>
        <w:t>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5" w:after="1"/>
        <w:rPr>
          <w:rFonts w:ascii="Times New Roman"/>
          <w:i/>
          <w:sz w:val="10"/>
        </w:rPr>
      </w:pPr>
    </w:p>
    <w:tbl>
      <w:tblPr>
        <w:tblW w:w="0" w:type="auto"/>
        <w:jc w:val="left"/>
        <w:tblInd w:w="3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6"/>
        <w:gridCol w:w="1074"/>
        <w:gridCol w:w="1004"/>
        <w:gridCol w:w="919"/>
        <w:gridCol w:w="850"/>
        <w:gridCol w:w="821"/>
        <w:gridCol w:w="840"/>
        <w:gridCol w:w="781"/>
      </w:tblGrid>
      <w:tr>
        <w:trPr>
          <w:trHeight w:val="343" w:hRule="exact"/>
        </w:trPr>
        <w:tc>
          <w:tcPr>
            <w:tcW w:w="2446" w:type="dxa"/>
          </w:tcPr>
          <w:p>
            <w:pPr>
              <w:pStyle w:val="TableParagraph"/>
              <w:spacing w:before="88"/>
              <w:ind w:left="110" w:right="605"/>
              <w:rPr>
                <w:sz w:val="20"/>
              </w:rPr>
            </w:pPr>
            <w:r>
              <w:rPr>
                <w:sz w:val="20"/>
              </w:rPr>
              <w:t>Myristic Acid</w:t>
            </w:r>
          </w:p>
        </w:tc>
        <w:tc>
          <w:tcPr>
            <w:tcW w:w="1074" w:type="dxa"/>
          </w:tcPr>
          <w:p>
            <w:pPr>
              <w:pStyle w:val="TableParagraph"/>
              <w:spacing w:before="88"/>
              <w:ind w:right="276"/>
              <w:jc w:val="right"/>
              <w:rPr>
                <w:sz w:val="20"/>
              </w:rPr>
            </w:pPr>
            <w:r>
              <w:rPr>
                <w:sz w:val="20"/>
              </w:rPr>
              <w:t>0.76</w:t>
            </w:r>
          </w:p>
        </w:tc>
        <w:tc>
          <w:tcPr>
            <w:tcW w:w="1004" w:type="dxa"/>
          </w:tcPr>
          <w:p>
            <w:pPr>
              <w:pStyle w:val="TableParagraph"/>
              <w:spacing w:before="88"/>
              <w:ind w:left="261" w:right="151"/>
              <w:jc w:val="center"/>
              <w:rPr>
                <w:sz w:val="20"/>
              </w:rPr>
            </w:pPr>
            <w:r>
              <w:rPr>
                <w:sz w:val="20"/>
              </w:rPr>
              <w:t>1.07</w:t>
            </w:r>
          </w:p>
        </w:tc>
        <w:tc>
          <w:tcPr>
            <w:tcW w:w="919" w:type="dxa"/>
          </w:tcPr>
          <w:p>
            <w:pPr>
              <w:pStyle w:val="TableParagraph"/>
              <w:spacing w:before="88"/>
              <w:ind w:right="192"/>
              <w:jc w:val="right"/>
              <w:rPr>
                <w:sz w:val="20"/>
              </w:rPr>
            </w:pPr>
            <w:r>
              <w:rPr>
                <w:sz w:val="20"/>
              </w:rPr>
              <w:t>1.16</w:t>
            </w:r>
          </w:p>
        </w:tc>
        <w:tc>
          <w:tcPr>
            <w:tcW w:w="850" w:type="dxa"/>
          </w:tcPr>
          <w:p>
            <w:pPr>
              <w:pStyle w:val="TableParagraph"/>
              <w:spacing w:before="88"/>
              <w:ind w:right="197"/>
              <w:jc w:val="right"/>
              <w:rPr>
                <w:sz w:val="20"/>
              </w:rPr>
            </w:pPr>
            <w:r>
              <w:rPr>
                <w:sz w:val="20"/>
              </w:rPr>
              <w:t>0.73</w:t>
            </w:r>
          </w:p>
        </w:tc>
        <w:tc>
          <w:tcPr>
            <w:tcW w:w="821" w:type="dxa"/>
          </w:tcPr>
          <w:p>
            <w:pPr>
              <w:pStyle w:val="TableParagraph"/>
              <w:spacing w:before="88"/>
              <w:ind w:right="163"/>
              <w:jc w:val="right"/>
              <w:rPr>
                <w:sz w:val="20"/>
              </w:rPr>
            </w:pPr>
            <w:r>
              <w:rPr>
                <w:sz w:val="20"/>
              </w:rPr>
              <w:t>0.93</w:t>
            </w:r>
          </w:p>
        </w:tc>
        <w:tc>
          <w:tcPr>
            <w:tcW w:w="840" w:type="dxa"/>
          </w:tcPr>
          <w:p>
            <w:pPr>
              <w:pStyle w:val="TableParagraph"/>
              <w:spacing w:before="88"/>
              <w:ind w:left="150" w:right="102"/>
              <w:jc w:val="center"/>
              <w:rPr>
                <w:sz w:val="20"/>
              </w:rPr>
            </w:pPr>
            <w:r>
              <w:rPr>
                <w:sz w:val="20"/>
              </w:rPr>
              <w:t>0.68</w:t>
            </w:r>
          </w:p>
        </w:tc>
        <w:tc>
          <w:tcPr>
            <w:tcW w:w="781" w:type="dxa"/>
          </w:tcPr>
          <w:p>
            <w:pPr>
              <w:pStyle w:val="TableParagraph"/>
              <w:spacing w:before="88"/>
              <w:ind w:right="103"/>
              <w:jc w:val="right"/>
              <w:rPr>
                <w:sz w:val="20"/>
              </w:rPr>
            </w:pPr>
            <w:r>
              <w:rPr>
                <w:sz w:val="20"/>
              </w:rPr>
              <w:t>0.89</w:t>
            </w:r>
          </w:p>
        </w:tc>
      </w:tr>
      <w:tr>
        <w:trPr>
          <w:trHeight w:val="286" w:hRule="exact"/>
        </w:trPr>
        <w:tc>
          <w:tcPr>
            <w:tcW w:w="2446" w:type="dxa"/>
          </w:tcPr>
          <w:p>
            <w:pPr>
              <w:pStyle w:val="TableParagraph"/>
              <w:spacing w:before="29"/>
              <w:ind w:left="110" w:right="605"/>
              <w:rPr>
                <w:sz w:val="20"/>
              </w:rPr>
            </w:pPr>
            <w:r>
              <w:rPr>
                <w:sz w:val="20"/>
              </w:rPr>
              <w:t>Myritoleic Acid</w:t>
            </w:r>
          </w:p>
        </w:tc>
        <w:tc>
          <w:tcPr>
            <w:tcW w:w="1074" w:type="dxa"/>
          </w:tcPr>
          <w:p>
            <w:pPr>
              <w:pStyle w:val="TableParagraph"/>
              <w:spacing w:before="29"/>
              <w:ind w:right="276"/>
              <w:jc w:val="right"/>
              <w:rPr>
                <w:sz w:val="20"/>
              </w:rPr>
            </w:pPr>
            <w:r>
              <w:rPr>
                <w:sz w:val="20"/>
              </w:rPr>
              <w:t>0.63</w:t>
            </w:r>
          </w:p>
        </w:tc>
        <w:tc>
          <w:tcPr>
            <w:tcW w:w="1004" w:type="dxa"/>
          </w:tcPr>
          <w:p>
            <w:pPr>
              <w:pStyle w:val="TableParagraph"/>
              <w:spacing w:before="29"/>
              <w:ind w:left="261" w:right="151"/>
              <w:jc w:val="center"/>
              <w:rPr>
                <w:sz w:val="20"/>
              </w:rPr>
            </w:pPr>
            <w:r>
              <w:rPr>
                <w:sz w:val="20"/>
              </w:rPr>
              <w:t>0.96</w:t>
            </w:r>
          </w:p>
        </w:tc>
        <w:tc>
          <w:tcPr>
            <w:tcW w:w="919" w:type="dxa"/>
          </w:tcPr>
          <w:p>
            <w:pPr>
              <w:pStyle w:val="TableParagraph"/>
              <w:spacing w:before="29"/>
              <w:ind w:right="192"/>
              <w:jc w:val="right"/>
              <w:rPr>
                <w:sz w:val="20"/>
              </w:rPr>
            </w:pPr>
            <w:r>
              <w:rPr>
                <w:sz w:val="20"/>
              </w:rPr>
              <w:t>0.88</w:t>
            </w:r>
          </w:p>
        </w:tc>
        <w:tc>
          <w:tcPr>
            <w:tcW w:w="850" w:type="dxa"/>
          </w:tcPr>
          <w:p>
            <w:pPr>
              <w:pStyle w:val="TableParagraph"/>
              <w:spacing w:before="29"/>
              <w:ind w:right="197"/>
              <w:jc w:val="right"/>
              <w:rPr>
                <w:sz w:val="20"/>
              </w:rPr>
            </w:pPr>
            <w:r>
              <w:rPr>
                <w:sz w:val="20"/>
              </w:rPr>
              <w:t>0.75</w:t>
            </w:r>
          </w:p>
        </w:tc>
        <w:tc>
          <w:tcPr>
            <w:tcW w:w="821" w:type="dxa"/>
          </w:tcPr>
          <w:p>
            <w:pPr>
              <w:pStyle w:val="TableParagraph"/>
              <w:spacing w:before="29"/>
              <w:ind w:right="163"/>
              <w:jc w:val="right"/>
              <w:rPr>
                <w:sz w:val="20"/>
              </w:rPr>
            </w:pPr>
            <w:r>
              <w:rPr>
                <w:sz w:val="20"/>
              </w:rPr>
              <w:t>0.87</w:t>
            </w:r>
          </w:p>
        </w:tc>
        <w:tc>
          <w:tcPr>
            <w:tcW w:w="840" w:type="dxa"/>
          </w:tcPr>
          <w:p>
            <w:pPr>
              <w:pStyle w:val="TableParagraph"/>
              <w:spacing w:before="29"/>
              <w:ind w:left="150" w:right="102"/>
              <w:jc w:val="center"/>
              <w:rPr>
                <w:sz w:val="20"/>
              </w:rPr>
            </w:pPr>
            <w:r>
              <w:rPr>
                <w:sz w:val="20"/>
              </w:rPr>
              <w:t>0.59</w:t>
            </w:r>
          </w:p>
        </w:tc>
        <w:tc>
          <w:tcPr>
            <w:tcW w:w="781" w:type="dxa"/>
          </w:tcPr>
          <w:p>
            <w:pPr>
              <w:pStyle w:val="TableParagraph"/>
              <w:spacing w:before="29"/>
              <w:ind w:right="103"/>
              <w:jc w:val="right"/>
              <w:rPr>
                <w:sz w:val="20"/>
              </w:rPr>
            </w:pPr>
            <w:r>
              <w:rPr>
                <w:sz w:val="20"/>
              </w:rPr>
              <w:t>0.78</w:t>
            </w:r>
          </w:p>
        </w:tc>
      </w:tr>
      <w:tr>
        <w:trPr>
          <w:trHeight w:val="259" w:hRule="exact"/>
        </w:trPr>
        <w:tc>
          <w:tcPr>
            <w:tcW w:w="2446" w:type="dxa"/>
          </w:tcPr>
          <w:p>
            <w:pPr>
              <w:pStyle w:val="TableParagraph"/>
              <w:spacing w:before="31"/>
              <w:ind w:left="110" w:right="605"/>
              <w:rPr>
                <w:sz w:val="20"/>
              </w:rPr>
            </w:pPr>
            <w:r>
              <w:rPr>
                <w:sz w:val="20"/>
              </w:rPr>
              <w:t>Pentadecanoic Acid</w:t>
            </w:r>
          </w:p>
        </w:tc>
        <w:tc>
          <w:tcPr>
            <w:tcW w:w="1074" w:type="dxa"/>
          </w:tcPr>
          <w:p>
            <w:pPr>
              <w:pStyle w:val="TableParagraph"/>
              <w:spacing w:before="31"/>
              <w:ind w:right="276"/>
              <w:jc w:val="right"/>
              <w:rPr>
                <w:sz w:val="20"/>
              </w:rPr>
            </w:pPr>
            <w:r>
              <w:rPr>
                <w:sz w:val="20"/>
              </w:rPr>
              <w:t>0.79</w:t>
            </w:r>
          </w:p>
        </w:tc>
        <w:tc>
          <w:tcPr>
            <w:tcW w:w="1004" w:type="dxa"/>
          </w:tcPr>
          <w:p>
            <w:pPr>
              <w:pStyle w:val="TableParagraph"/>
              <w:spacing w:before="31"/>
              <w:ind w:left="261" w:right="151"/>
              <w:jc w:val="center"/>
              <w:rPr>
                <w:sz w:val="20"/>
              </w:rPr>
            </w:pPr>
            <w:r>
              <w:rPr>
                <w:sz w:val="20"/>
              </w:rPr>
              <w:t>1.24</w:t>
            </w:r>
          </w:p>
        </w:tc>
        <w:tc>
          <w:tcPr>
            <w:tcW w:w="919" w:type="dxa"/>
          </w:tcPr>
          <w:p>
            <w:pPr>
              <w:pStyle w:val="TableParagraph"/>
              <w:spacing w:before="31"/>
              <w:ind w:right="192"/>
              <w:jc w:val="right"/>
              <w:rPr>
                <w:sz w:val="20"/>
              </w:rPr>
            </w:pPr>
            <w:r>
              <w:rPr>
                <w:sz w:val="20"/>
              </w:rPr>
              <w:t>1.04</w:t>
            </w:r>
          </w:p>
        </w:tc>
        <w:tc>
          <w:tcPr>
            <w:tcW w:w="850" w:type="dxa"/>
          </w:tcPr>
          <w:p>
            <w:pPr>
              <w:pStyle w:val="TableParagraph"/>
              <w:spacing w:before="31"/>
              <w:ind w:right="197"/>
              <w:jc w:val="right"/>
              <w:rPr>
                <w:sz w:val="20"/>
              </w:rPr>
            </w:pPr>
            <w:r>
              <w:rPr>
                <w:sz w:val="20"/>
              </w:rPr>
              <w:t>0.93</w:t>
            </w:r>
          </w:p>
        </w:tc>
        <w:tc>
          <w:tcPr>
            <w:tcW w:w="821" w:type="dxa"/>
          </w:tcPr>
          <w:p>
            <w:pPr>
              <w:pStyle w:val="TableParagraph"/>
              <w:spacing w:before="31"/>
              <w:ind w:right="163"/>
              <w:jc w:val="right"/>
              <w:rPr>
                <w:sz w:val="20"/>
              </w:rPr>
            </w:pPr>
            <w:r>
              <w:rPr>
                <w:sz w:val="20"/>
              </w:rPr>
              <w:t>1.00</w:t>
            </w:r>
          </w:p>
        </w:tc>
        <w:tc>
          <w:tcPr>
            <w:tcW w:w="840" w:type="dxa"/>
          </w:tcPr>
          <w:p>
            <w:pPr>
              <w:pStyle w:val="TableParagraph"/>
              <w:spacing w:before="31"/>
              <w:ind w:left="150" w:right="102"/>
              <w:jc w:val="center"/>
              <w:rPr>
                <w:sz w:val="20"/>
              </w:rPr>
            </w:pPr>
            <w:r>
              <w:rPr>
                <w:sz w:val="20"/>
              </w:rPr>
              <w:t>0.73</w:t>
            </w:r>
          </w:p>
        </w:tc>
        <w:tc>
          <w:tcPr>
            <w:tcW w:w="781" w:type="dxa"/>
          </w:tcPr>
          <w:p>
            <w:pPr>
              <w:pStyle w:val="TableParagraph"/>
              <w:spacing w:before="31"/>
              <w:ind w:right="103"/>
              <w:jc w:val="right"/>
              <w:rPr>
                <w:sz w:val="20"/>
              </w:rPr>
            </w:pPr>
            <w:r>
              <w:rPr>
                <w:sz w:val="20"/>
              </w:rPr>
              <w:t>0.96</w:t>
            </w:r>
          </w:p>
        </w:tc>
      </w:tr>
      <w:tr>
        <w:trPr>
          <w:trHeight w:val="485" w:hRule="exact"/>
        </w:trPr>
        <w:tc>
          <w:tcPr>
            <w:tcW w:w="2446" w:type="dxa"/>
          </w:tcPr>
          <w:p>
            <w:pPr>
              <w:pStyle w:val="TableParagraph"/>
              <w:spacing w:line="226" w:lineRule="exact" w:before="9"/>
              <w:ind w:left="110" w:right="605"/>
              <w:rPr>
                <w:sz w:val="20"/>
              </w:rPr>
            </w:pPr>
            <w:r>
              <w:rPr>
                <w:i/>
                <w:sz w:val="20"/>
              </w:rPr>
              <w:t>cis</w:t>
            </w:r>
            <w:r>
              <w:rPr>
                <w:sz w:val="20"/>
              </w:rPr>
              <w:t>-10-Pentadecenoic acid</w:t>
            </w:r>
          </w:p>
        </w:tc>
        <w:tc>
          <w:tcPr>
            <w:tcW w:w="1074" w:type="dxa"/>
          </w:tcPr>
          <w:p>
            <w:pPr>
              <w:pStyle w:val="TableParagraph"/>
              <w:spacing w:before="10"/>
              <w:rPr>
                <w:i/>
                <w:sz w:val="19"/>
              </w:rPr>
            </w:pPr>
          </w:p>
          <w:p>
            <w:pPr>
              <w:pStyle w:val="TableParagraph"/>
              <w:ind w:right="276"/>
              <w:jc w:val="right"/>
              <w:rPr>
                <w:sz w:val="20"/>
              </w:rPr>
            </w:pPr>
            <w:r>
              <w:rPr>
                <w:sz w:val="20"/>
              </w:rPr>
              <w:t>0.48</w:t>
            </w:r>
          </w:p>
        </w:tc>
        <w:tc>
          <w:tcPr>
            <w:tcW w:w="1004" w:type="dxa"/>
          </w:tcPr>
          <w:p>
            <w:pPr>
              <w:pStyle w:val="TableParagraph"/>
              <w:spacing w:before="10"/>
              <w:rPr>
                <w:i/>
                <w:sz w:val="19"/>
              </w:rPr>
            </w:pPr>
          </w:p>
          <w:p>
            <w:pPr>
              <w:pStyle w:val="TableParagraph"/>
              <w:ind w:left="261" w:right="151"/>
              <w:jc w:val="center"/>
              <w:rPr>
                <w:sz w:val="20"/>
              </w:rPr>
            </w:pPr>
            <w:r>
              <w:rPr>
                <w:sz w:val="20"/>
              </w:rPr>
              <w:t>0.67</w:t>
            </w:r>
          </w:p>
        </w:tc>
        <w:tc>
          <w:tcPr>
            <w:tcW w:w="919" w:type="dxa"/>
          </w:tcPr>
          <w:p>
            <w:pPr>
              <w:pStyle w:val="TableParagraph"/>
              <w:spacing w:before="10"/>
              <w:rPr>
                <w:i/>
                <w:sz w:val="19"/>
              </w:rPr>
            </w:pPr>
          </w:p>
          <w:p>
            <w:pPr>
              <w:pStyle w:val="TableParagraph"/>
              <w:ind w:right="192"/>
              <w:jc w:val="right"/>
              <w:rPr>
                <w:sz w:val="20"/>
              </w:rPr>
            </w:pPr>
            <w:r>
              <w:rPr>
                <w:sz w:val="20"/>
              </w:rPr>
              <w:t>0.66</w:t>
            </w:r>
          </w:p>
        </w:tc>
        <w:tc>
          <w:tcPr>
            <w:tcW w:w="850" w:type="dxa"/>
          </w:tcPr>
          <w:p>
            <w:pPr>
              <w:pStyle w:val="TableParagraph"/>
              <w:spacing w:before="10"/>
              <w:rPr>
                <w:i/>
                <w:sz w:val="19"/>
              </w:rPr>
            </w:pPr>
          </w:p>
          <w:p>
            <w:pPr>
              <w:pStyle w:val="TableParagraph"/>
              <w:ind w:right="197"/>
              <w:jc w:val="right"/>
              <w:rPr>
                <w:sz w:val="20"/>
              </w:rPr>
            </w:pPr>
            <w:r>
              <w:rPr>
                <w:sz w:val="20"/>
              </w:rPr>
              <w:t>0.32</w:t>
            </w:r>
          </w:p>
        </w:tc>
        <w:tc>
          <w:tcPr>
            <w:tcW w:w="821" w:type="dxa"/>
          </w:tcPr>
          <w:p>
            <w:pPr>
              <w:pStyle w:val="TableParagraph"/>
              <w:spacing w:before="10"/>
              <w:rPr>
                <w:i/>
                <w:sz w:val="19"/>
              </w:rPr>
            </w:pPr>
          </w:p>
          <w:p>
            <w:pPr>
              <w:pStyle w:val="TableParagraph"/>
              <w:ind w:right="163"/>
              <w:jc w:val="right"/>
              <w:rPr>
                <w:sz w:val="20"/>
              </w:rPr>
            </w:pPr>
            <w:r>
              <w:rPr>
                <w:sz w:val="20"/>
              </w:rPr>
              <w:t>0.59</w:t>
            </w:r>
          </w:p>
        </w:tc>
        <w:tc>
          <w:tcPr>
            <w:tcW w:w="840" w:type="dxa"/>
          </w:tcPr>
          <w:p>
            <w:pPr>
              <w:pStyle w:val="TableParagraph"/>
              <w:spacing w:before="10"/>
              <w:rPr>
                <w:i/>
                <w:sz w:val="19"/>
              </w:rPr>
            </w:pPr>
          </w:p>
          <w:p>
            <w:pPr>
              <w:pStyle w:val="TableParagraph"/>
              <w:ind w:left="150" w:right="102"/>
              <w:jc w:val="center"/>
              <w:rPr>
                <w:sz w:val="20"/>
              </w:rPr>
            </w:pPr>
            <w:r>
              <w:rPr>
                <w:sz w:val="20"/>
              </w:rPr>
              <w:t>0.48</w:t>
            </w:r>
          </w:p>
        </w:tc>
        <w:tc>
          <w:tcPr>
            <w:tcW w:w="781" w:type="dxa"/>
          </w:tcPr>
          <w:p>
            <w:pPr>
              <w:pStyle w:val="TableParagraph"/>
              <w:spacing w:before="10"/>
              <w:rPr>
                <w:i/>
                <w:sz w:val="19"/>
              </w:rPr>
            </w:pPr>
          </w:p>
          <w:p>
            <w:pPr>
              <w:pStyle w:val="TableParagraph"/>
              <w:ind w:right="103"/>
              <w:jc w:val="right"/>
              <w:rPr>
                <w:sz w:val="20"/>
              </w:rPr>
            </w:pPr>
            <w:r>
              <w:rPr>
                <w:sz w:val="20"/>
              </w:rPr>
              <w:t>0.53</w:t>
            </w:r>
          </w:p>
        </w:tc>
      </w:tr>
      <w:tr>
        <w:trPr>
          <w:trHeight w:val="286" w:hRule="exact"/>
        </w:trPr>
        <w:tc>
          <w:tcPr>
            <w:tcW w:w="2446" w:type="dxa"/>
          </w:tcPr>
          <w:p>
            <w:pPr>
              <w:pStyle w:val="TableParagraph"/>
              <w:spacing w:before="31"/>
              <w:ind w:left="110" w:right="605"/>
              <w:rPr>
                <w:sz w:val="20"/>
              </w:rPr>
            </w:pPr>
            <w:r>
              <w:rPr>
                <w:sz w:val="20"/>
              </w:rPr>
              <w:t>Palmitic Acid</w:t>
            </w:r>
          </w:p>
        </w:tc>
        <w:tc>
          <w:tcPr>
            <w:tcW w:w="1074" w:type="dxa"/>
          </w:tcPr>
          <w:p>
            <w:pPr>
              <w:pStyle w:val="TableParagraph"/>
              <w:spacing w:before="31"/>
              <w:ind w:right="276"/>
              <w:jc w:val="right"/>
              <w:rPr>
                <w:sz w:val="20"/>
              </w:rPr>
            </w:pPr>
            <w:r>
              <w:rPr>
                <w:sz w:val="20"/>
              </w:rPr>
              <w:t>11.39</w:t>
            </w:r>
          </w:p>
        </w:tc>
        <w:tc>
          <w:tcPr>
            <w:tcW w:w="1004" w:type="dxa"/>
          </w:tcPr>
          <w:p>
            <w:pPr>
              <w:pStyle w:val="TableParagraph"/>
              <w:spacing w:before="31"/>
              <w:ind w:left="260" w:right="251"/>
              <w:jc w:val="center"/>
              <w:rPr>
                <w:sz w:val="20"/>
              </w:rPr>
            </w:pPr>
            <w:r>
              <w:rPr>
                <w:sz w:val="20"/>
              </w:rPr>
              <w:t>13.46</w:t>
            </w:r>
          </w:p>
        </w:tc>
        <w:tc>
          <w:tcPr>
            <w:tcW w:w="919" w:type="dxa"/>
          </w:tcPr>
          <w:p>
            <w:pPr>
              <w:pStyle w:val="TableParagraph"/>
              <w:spacing w:before="31"/>
              <w:ind w:right="192"/>
              <w:jc w:val="right"/>
              <w:rPr>
                <w:sz w:val="20"/>
              </w:rPr>
            </w:pPr>
            <w:r>
              <w:rPr>
                <w:sz w:val="20"/>
              </w:rPr>
              <w:t>15.78</w:t>
            </w:r>
          </w:p>
        </w:tc>
        <w:tc>
          <w:tcPr>
            <w:tcW w:w="850" w:type="dxa"/>
          </w:tcPr>
          <w:p>
            <w:pPr>
              <w:pStyle w:val="TableParagraph"/>
              <w:spacing w:before="31"/>
              <w:ind w:right="197"/>
              <w:jc w:val="right"/>
              <w:rPr>
                <w:sz w:val="20"/>
              </w:rPr>
            </w:pPr>
            <w:r>
              <w:rPr>
                <w:sz w:val="20"/>
              </w:rPr>
              <w:t>13.16</w:t>
            </w:r>
          </w:p>
        </w:tc>
        <w:tc>
          <w:tcPr>
            <w:tcW w:w="821" w:type="dxa"/>
          </w:tcPr>
          <w:p>
            <w:pPr>
              <w:pStyle w:val="TableParagraph"/>
              <w:spacing w:before="31"/>
              <w:ind w:right="163"/>
              <w:jc w:val="right"/>
              <w:rPr>
                <w:sz w:val="20"/>
              </w:rPr>
            </w:pPr>
            <w:r>
              <w:rPr>
                <w:sz w:val="20"/>
              </w:rPr>
              <w:t>14.07</w:t>
            </w:r>
          </w:p>
        </w:tc>
        <w:tc>
          <w:tcPr>
            <w:tcW w:w="840" w:type="dxa"/>
          </w:tcPr>
          <w:p>
            <w:pPr>
              <w:pStyle w:val="TableParagraph"/>
              <w:spacing w:before="31"/>
              <w:ind w:left="150" w:right="200"/>
              <w:jc w:val="center"/>
              <w:rPr>
                <w:sz w:val="20"/>
              </w:rPr>
            </w:pPr>
            <w:r>
              <w:rPr>
                <w:sz w:val="20"/>
              </w:rPr>
              <w:t>11.93</w:t>
            </w:r>
          </w:p>
        </w:tc>
        <w:tc>
          <w:tcPr>
            <w:tcW w:w="781" w:type="dxa"/>
          </w:tcPr>
          <w:p>
            <w:pPr>
              <w:pStyle w:val="TableParagraph"/>
              <w:spacing w:before="31"/>
              <w:ind w:right="104"/>
              <w:jc w:val="right"/>
              <w:rPr>
                <w:sz w:val="20"/>
              </w:rPr>
            </w:pPr>
            <w:r>
              <w:rPr>
                <w:sz w:val="20"/>
              </w:rPr>
              <w:t>13.30</w:t>
            </w:r>
          </w:p>
        </w:tc>
      </w:tr>
      <w:tr>
        <w:trPr>
          <w:trHeight w:val="286" w:hRule="exact"/>
        </w:trPr>
        <w:tc>
          <w:tcPr>
            <w:tcW w:w="2446" w:type="dxa"/>
          </w:tcPr>
          <w:p>
            <w:pPr>
              <w:pStyle w:val="TableParagraph"/>
              <w:spacing w:before="29"/>
              <w:ind w:left="110" w:right="605"/>
              <w:rPr>
                <w:sz w:val="20"/>
              </w:rPr>
            </w:pPr>
            <w:r>
              <w:rPr>
                <w:sz w:val="20"/>
              </w:rPr>
              <w:t>Palmitoleic Acid</w:t>
            </w:r>
          </w:p>
        </w:tc>
        <w:tc>
          <w:tcPr>
            <w:tcW w:w="1074" w:type="dxa"/>
          </w:tcPr>
          <w:p>
            <w:pPr>
              <w:pStyle w:val="TableParagraph"/>
              <w:spacing w:before="29"/>
              <w:ind w:right="276"/>
              <w:jc w:val="right"/>
              <w:rPr>
                <w:sz w:val="20"/>
              </w:rPr>
            </w:pPr>
            <w:r>
              <w:rPr>
                <w:sz w:val="20"/>
              </w:rPr>
              <w:t>0.39</w:t>
            </w:r>
          </w:p>
        </w:tc>
        <w:tc>
          <w:tcPr>
            <w:tcW w:w="1004" w:type="dxa"/>
          </w:tcPr>
          <w:p>
            <w:pPr>
              <w:pStyle w:val="TableParagraph"/>
              <w:spacing w:before="29"/>
              <w:ind w:left="261" w:right="151"/>
              <w:jc w:val="center"/>
              <w:rPr>
                <w:sz w:val="20"/>
              </w:rPr>
            </w:pPr>
            <w:r>
              <w:rPr>
                <w:sz w:val="20"/>
              </w:rPr>
              <w:t>0.89</w:t>
            </w:r>
          </w:p>
        </w:tc>
        <w:tc>
          <w:tcPr>
            <w:tcW w:w="919" w:type="dxa"/>
          </w:tcPr>
          <w:p>
            <w:pPr>
              <w:pStyle w:val="TableParagraph"/>
              <w:spacing w:before="29"/>
              <w:ind w:right="192"/>
              <w:jc w:val="right"/>
              <w:rPr>
                <w:sz w:val="20"/>
              </w:rPr>
            </w:pPr>
            <w:r>
              <w:rPr>
                <w:sz w:val="20"/>
              </w:rPr>
              <w:t>0.92</w:t>
            </w:r>
          </w:p>
        </w:tc>
        <w:tc>
          <w:tcPr>
            <w:tcW w:w="850" w:type="dxa"/>
          </w:tcPr>
          <w:p>
            <w:pPr>
              <w:pStyle w:val="TableParagraph"/>
              <w:spacing w:before="29"/>
              <w:ind w:right="197"/>
              <w:jc w:val="right"/>
              <w:rPr>
                <w:sz w:val="20"/>
              </w:rPr>
            </w:pPr>
            <w:r>
              <w:rPr>
                <w:sz w:val="20"/>
              </w:rPr>
              <w:t>0.99</w:t>
            </w:r>
          </w:p>
        </w:tc>
        <w:tc>
          <w:tcPr>
            <w:tcW w:w="821" w:type="dxa"/>
          </w:tcPr>
          <w:p>
            <w:pPr>
              <w:pStyle w:val="TableParagraph"/>
              <w:spacing w:before="29"/>
              <w:ind w:right="163"/>
              <w:jc w:val="right"/>
              <w:rPr>
                <w:sz w:val="20"/>
              </w:rPr>
            </w:pPr>
            <w:r>
              <w:rPr>
                <w:sz w:val="20"/>
              </w:rPr>
              <w:t>1.10</w:t>
            </w:r>
          </w:p>
        </w:tc>
        <w:tc>
          <w:tcPr>
            <w:tcW w:w="840" w:type="dxa"/>
          </w:tcPr>
          <w:p>
            <w:pPr>
              <w:pStyle w:val="TableParagraph"/>
              <w:spacing w:before="29"/>
              <w:ind w:left="150" w:right="102"/>
              <w:jc w:val="center"/>
              <w:rPr>
                <w:sz w:val="20"/>
              </w:rPr>
            </w:pPr>
            <w:r>
              <w:rPr>
                <w:sz w:val="20"/>
              </w:rPr>
              <w:t>0.89</w:t>
            </w:r>
          </w:p>
        </w:tc>
        <w:tc>
          <w:tcPr>
            <w:tcW w:w="781" w:type="dxa"/>
          </w:tcPr>
          <w:p>
            <w:pPr>
              <w:pStyle w:val="TableParagraph"/>
              <w:spacing w:before="29"/>
              <w:ind w:right="103"/>
              <w:jc w:val="right"/>
              <w:rPr>
                <w:sz w:val="20"/>
              </w:rPr>
            </w:pPr>
            <w:r>
              <w:rPr>
                <w:sz w:val="20"/>
              </w:rPr>
              <w:t>0.86</w:t>
            </w:r>
          </w:p>
        </w:tc>
      </w:tr>
      <w:tr>
        <w:trPr>
          <w:trHeight w:val="485" w:hRule="exact"/>
        </w:trPr>
        <w:tc>
          <w:tcPr>
            <w:tcW w:w="2446" w:type="dxa"/>
          </w:tcPr>
          <w:p>
            <w:pPr>
              <w:pStyle w:val="TableParagraph"/>
              <w:spacing w:line="228" w:lineRule="exact" w:before="31"/>
              <w:ind w:left="110" w:right="605"/>
              <w:rPr>
                <w:sz w:val="20"/>
              </w:rPr>
            </w:pPr>
            <w:r>
              <w:rPr>
                <w:sz w:val="20"/>
              </w:rPr>
              <w:t>Heptadecanoic acid</w:t>
            </w:r>
          </w:p>
          <w:p>
            <w:pPr>
              <w:pStyle w:val="TableParagraph"/>
              <w:spacing w:line="228" w:lineRule="exact"/>
              <w:ind w:left="110"/>
              <w:rPr>
                <w:sz w:val="20"/>
              </w:rPr>
            </w:pPr>
            <w:r>
              <w:rPr>
                <w:i/>
                <w:sz w:val="20"/>
              </w:rPr>
              <w:t>cis</w:t>
            </w:r>
            <w:r>
              <w:rPr>
                <w:sz w:val="20"/>
              </w:rPr>
              <w:t>-10-Heptadecenoic</w:t>
            </w:r>
          </w:p>
        </w:tc>
        <w:tc>
          <w:tcPr>
            <w:tcW w:w="1074" w:type="dxa"/>
          </w:tcPr>
          <w:p>
            <w:pPr>
              <w:pStyle w:val="TableParagraph"/>
              <w:spacing w:before="31"/>
              <w:ind w:right="276"/>
              <w:jc w:val="right"/>
              <w:rPr>
                <w:sz w:val="20"/>
              </w:rPr>
            </w:pPr>
            <w:r>
              <w:rPr>
                <w:sz w:val="20"/>
              </w:rPr>
              <w:t>0.44</w:t>
            </w:r>
          </w:p>
        </w:tc>
        <w:tc>
          <w:tcPr>
            <w:tcW w:w="1004" w:type="dxa"/>
          </w:tcPr>
          <w:p>
            <w:pPr>
              <w:pStyle w:val="TableParagraph"/>
              <w:spacing w:before="31"/>
              <w:ind w:left="261" w:right="151"/>
              <w:jc w:val="center"/>
              <w:rPr>
                <w:sz w:val="20"/>
              </w:rPr>
            </w:pPr>
            <w:r>
              <w:rPr>
                <w:sz w:val="20"/>
              </w:rPr>
              <w:t>1.72</w:t>
            </w:r>
          </w:p>
        </w:tc>
        <w:tc>
          <w:tcPr>
            <w:tcW w:w="919" w:type="dxa"/>
          </w:tcPr>
          <w:p>
            <w:pPr>
              <w:pStyle w:val="TableParagraph"/>
              <w:spacing w:before="31"/>
              <w:ind w:right="192"/>
              <w:jc w:val="right"/>
              <w:rPr>
                <w:sz w:val="20"/>
              </w:rPr>
            </w:pPr>
            <w:r>
              <w:rPr>
                <w:sz w:val="20"/>
              </w:rPr>
              <w:t>1.70</w:t>
            </w:r>
          </w:p>
        </w:tc>
        <w:tc>
          <w:tcPr>
            <w:tcW w:w="850" w:type="dxa"/>
          </w:tcPr>
          <w:p>
            <w:pPr>
              <w:pStyle w:val="TableParagraph"/>
              <w:spacing w:before="31"/>
              <w:ind w:right="197"/>
              <w:jc w:val="right"/>
              <w:rPr>
                <w:sz w:val="20"/>
              </w:rPr>
            </w:pPr>
            <w:r>
              <w:rPr>
                <w:sz w:val="20"/>
              </w:rPr>
              <w:t>1.26</w:t>
            </w:r>
          </w:p>
        </w:tc>
        <w:tc>
          <w:tcPr>
            <w:tcW w:w="821" w:type="dxa"/>
          </w:tcPr>
          <w:p>
            <w:pPr>
              <w:pStyle w:val="TableParagraph"/>
              <w:spacing w:before="31"/>
              <w:ind w:right="163"/>
              <w:jc w:val="right"/>
              <w:rPr>
                <w:sz w:val="20"/>
              </w:rPr>
            </w:pPr>
            <w:r>
              <w:rPr>
                <w:sz w:val="20"/>
              </w:rPr>
              <w:t>1.59</w:t>
            </w:r>
          </w:p>
        </w:tc>
        <w:tc>
          <w:tcPr>
            <w:tcW w:w="840" w:type="dxa"/>
          </w:tcPr>
          <w:p>
            <w:pPr>
              <w:pStyle w:val="TableParagraph"/>
              <w:spacing w:before="31"/>
              <w:ind w:left="150" w:right="102"/>
              <w:jc w:val="center"/>
              <w:rPr>
                <w:sz w:val="20"/>
              </w:rPr>
            </w:pPr>
            <w:r>
              <w:rPr>
                <w:sz w:val="20"/>
              </w:rPr>
              <w:t>1.19</w:t>
            </w:r>
          </w:p>
        </w:tc>
        <w:tc>
          <w:tcPr>
            <w:tcW w:w="781" w:type="dxa"/>
          </w:tcPr>
          <w:p>
            <w:pPr>
              <w:pStyle w:val="TableParagraph"/>
              <w:spacing w:before="31"/>
              <w:ind w:right="103"/>
              <w:jc w:val="right"/>
              <w:rPr>
                <w:sz w:val="20"/>
              </w:rPr>
            </w:pPr>
            <w:r>
              <w:rPr>
                <w:sz w:val="20"/>
              </w:rPr>
              <w:t>1.31</w:t>
            </w:r>
          </w:p>
        </w:tc>
      </w:tr>
      <w:tr>
        <w:trPr>
          <w:trHeight w:val="259" w:hRule="exact"/>
        </w:trPr>
        <w:tc>
          <w:tcPr>
            <w:tcW w:w="2446" w:type="dxa"/>
          </w:tcPr>
          <w:p>
            <w:pPr>
              <w:pStyle w:val="TableParagraph"/>
              <w:spacing w:before="3"/>
              <w:ind w:left="110" w:right="605"/>
              <w:rPr>
                <w:sz w:val="20"/>
              </w:rPr>
            </w:pPr>
            <w:r>
              <w:rPr>
                <w:sz w:val="20"/>
              </w:rPr>
              <w:t>acid</w:t>
            </w:r>
          </w:p>
        </w:tc>
        <w:tc>
          <w:tcPr>
            <w:tcW w:w="1074" w:type="dxa"/>
          </w:tcPr>
          <w:p>
            <w:pPr>
              <w:pStyle w:val="TableParagraph"/>
              <w:spacing w:before="3"/>
              <w:ind w:right="276"/>
              <w:jc w:val="right"/>
              <w:rPr>
                <w:sz w:val="20"/>
              </w:rPr>
            </w:pPr>
            <w:r>
              <w:rPr>
                <w:sz w:val="20"/>
              </w:rPr>
              <w:t>0.20</w:t>
            </w:r>
          </w:p>
        </w:tc>
        <w:tc>
          <w:tcPr>
            <w:tcW w:w="1004" w:type="dxa"/>
          </w:tcPr>
          <w:p>
            <w:pPr>
              <w:pStyle w:val="TableParagraph"/>
              <w:spacing w:before="3"/>
              <w:ind w:left="261" w:right="151"/>
              <w:jc w:val="center"/>
              <w:rPr>
                <w:sz w:val="20"/>
              </w:rPr>
            </w:pPr>
            <w:r>
              <w:rPr>
                <w:sz w:val="20"/>
              </w:rPr>
              <w:t>0.15</w:t>
            </w:r>
          </w:p>
        </w:tc>
        <w:tc>
          <w:tcPr>
            <w:tcW w:w="919" w:type="dxa"/>
          </w:tcPr>
          <w:p>
            <w:pPr>
              <w:pStyle w:val="TableParagraph"/>
              <w:spacing w:before="3"/>
              <w:ind w:right="192"/>
              <w:jc w:val="right"/>
              <w:rPr>
                <w:sz w:val="20"/>
              </w:rPr>
            </w:pPr>
            <w:r>
              <w:rPr>
                <w:sz w:val="20"/>
              </w:rPr>
              <w:t>0.17</w:t>
            </w:r>
          </w:p>
        </w:tc>
        <w:tc>
          <w:tcPr>
            <w:tcW w:w="850" w:type="dxa"/>
          </w:tcPr>
          <w:p>
            <w:pPr>
              <w:pStyle w:val="TableParagraph"/>
              <w:spacing w:before="3"/>
              <w:ind w:right="197"/>
              <w:jc w:val="right"/>
              <w:rPr>
                <w:sz w:val="20"/>
              </w:rPr>
            </w:pPr>
            <w:r>
              <w:rPr>
                <w:sz w:val="20"/>
              </w:rPr>
              <w:t>0.17</w:t>
            </w:r>
          </w:p>
        </w:tc>
        <w:tc>
          <w:tcPr>
            <w:tcW w:w="821" w:type="dxa"/>
          </w:tcPr>
          <w:p>
            <w:pPr>
              <w:pStyle w:val="TableParagraph"/>
              <w:spacing w:before="3"/>
              <w:ind w:right="163"/>
              <w:jc w:val="right"/>
              <w:rPr>
                <w:sz w:val="20"/>
              </w:rPr>
            </w:pPr>
            <w:r>
              <w:rPr>
                <w:sz w:val="20"/>
              </w:rPr>
              <w:t>0.19</w:t>
            </w:r>
          </w:p>
        </w:tc>
        <w:tc>
          <w:tcPr>
            <w:tcW w:w="840" w:type="dxa"/>
          </w:tcPr>
          <w:p>
            <w:pPr>
              <w:pStyle w:val="TableParagraph"/>
              <w:spacing w:before="3"/>
              <w:ind w:left="150" w:right="102"/>
              <w:jc w:val="center"/>
              <w:rPr>
                <w:sz w:val="20"/>
              </w:rPr>
            </w:pPr>
            <w:r>
              <w:rPr>
                <w:sz w:val="20"/>
              </w:rPr>
              <w:t>0.10</w:t>
            </w:r>
          </w:p>
        </w:tc>
        <w:tc>
          <w:tcPr>
            <w:tcW w:w="781" w:type="dxa"/>
          </w:tcPr>
          <w:p>
            <w:pPr>
              <w:pStyle w:val="TableParagraph"/>
              <w:spacing w:before="3"/>
              <w:ind w:right="103"/>
              <w:jc w:val="right"/>
              <w:rPr>
                <w:sz w:val="20"/>
              </w:rPr>
            </w:pPr>
            <w:r>
              <w:rPr>
                <w:sz w:val="20"/>
              </w:rPr>
              <w:t>0.16</w:t>
            </w:r>
          </w:p>
        </w:tc>
      </w:tr>
      <w:tr>
        <w:trPr>
          <w:trHeight w:val="286" w:hRule="exact"/>
        </w:trPr>
        <w:tc>
          <w:tcPr>
            <w:tcW w:w="2446" w:type="dxa"/>
          </w:tcPr>
          <w:p>
            <w:pPr>
              <w:pStyle w:val="TableParagraph"/>
              <w:spacing w:before="31"/>
              <w:ind w:left="110" w:right="605"/>
              <w:rPr>
                <w:sz w:val="20"/>
              </w:rPr>
            </w:pPr>
            <w:r>
              <w:rPr>
                <w:sz w:val="20"/>
              </w:rPr>
              <w:t>Stearic acid</w:t>
            </w:r>
          </w:p>
        </w:tc>
        <w:tc>
          <w:tcPr>
            <w:tcW w:w="1074" w:type="dxa"/>
          </w:tcPr>
          <w:p>
            <w:pPr>
              <w:pStyle w:val="TableParagraph"/>
              <w:spacing w:before="31"/>
              <w:ind w:right="276"/>
              <w:jc w:val="right"/>
              <w:rPr>
                <w:sz w:val="20"/>
              </w:rPr>
            </w:pPr>
            <w:r>
              <w:rPr>
                <w:sz w:val="20"/>
              </w:rPr>
              <w:t>71.29</w:t>
            </w:r>
          </w:p>
        </w:tc>
        <w:tc>
          <w:tcPr>
            <w:tcW w:w="1004" w:type="dxa"/>
          </w:tcPr>
          <w:p>
            <w:pPr>
              <w:pStyle w:val="TableParagraph"/>
              <w:spacing w:before="31"/>
              <w:ind w:left="260" w:right="251"/>
              <w:jc w:val="center"/>
              <w:rPr>
                <w:sz w:val="20"/>
              </w:rPr>
            </w:pPr>
            <w:r>
              <w:rPr>
                <w:sz w:val="20"/>
              </w:rPr>
              <w:t>66.40</w:t>
            </w:r>
          </w:p>
        </w:tc>
        <w:tc>
          <w:tcPr>
            <w:tcW w:w="919" w:type="dxa"/>
          </w:tcPr>
          <w:p>
            <w:pPr>
              <w:pStyle w:val="TableParagraph"/>
              <w:spacing w:before="31"/>
              <w:ind w:right="192"/>
              <w:jc w:val="right"/>
              <w:rPr>
                <w:sz w:val="20"/>
              </w:rPr>
            </w:pPr>
            <w:r>
              <w:rPr>
                <w:sz w:val="20"/>
              </w:rPr>
              <w:t>63.53</w:t>
            </w:r>
          </w:p>
        </w:tc>
        <w:tc>
          <w:tcPr>
            <w:tcW w:w="850" w:type="dxa"/>
          </w:tcPr>
          <w:p>
            <w:pPr>
              <w:pStyle w:val="TableParagraph"/>
              <w:spacing w:before="31"/>
              <w:ind w:right="197"/>
              <w:jc w:val="right"/>
              <w:rPr>
                <w:sz w:val="20"/>
              </w:rPr>
            </w:pPr>
            <w:r>
              <w:rPr>
                <w:sz w:val="20"/>
              </w:rPr>
              <w:t>68.44</w:t>
            </w:r>
          </w:p>
        </w:tc>
        <w:tc>
          <w:tcPr>
            <w:tcW w:w="821" w:type="dxa"/>
          </w:tcPr>
          <w:p>
            <w:pPr>
              <w:pStyle w:val="TableParagraph"/>
              <w:spacing w:before="31"/>
              <w:ind w:right="163"/>
              <w:jc w:val="right"/>
              <w:rPr>
                <w:sz w:val="20"/>
              </w:rPr>
            </w:pPr>
            <w:r>
              <w:rPr>
                <w:sz w:val="20"/>
              </w:rPr>
              <w:t>66.89</w:t>
            </w:r>
          </w:p>
        </w:tc>
        <w:tc>
          <w:tcPr>
            <w:tcW w:w="840" w:type="dxa"/>
          </w:tcPr>
          <w:p>
            <w:pPr>
              <w:pStyle w:val="TableParagraph"/>
              <w:spacing w:before="31"/>
              <w:ind w:left="150" w:right="200"/>
              <w:jc w:val="center"/>
              <w:rPr>
                <w:sz w:val="20"/>
              </w:rPr>
            </w:pPr>
            <w:r>
              <w:rPr>
                <w:sz w:val="20"/>
              </w:rPr>
              <w:t>68.55</w:t>
            </w:r>
          </w:p>
        </w:tc>
        <w:tc>
          <w:tcPr>
            <w:tcW w:w="781" w:type="dxa"/>
          </w:tcPr>
          <w:p>
            <w:pPr>
              <w:pStyle w:val="TableParagraph"/>
              <w:spacing w:before="31"/>
              <w:ind w:right="104"/>
              <w:jc w:val="right"/>
              <w:rPr>
                <w:sz w:val="20"/>
              </w:rPr>
            </w:pPr>
            <w:r>
              <w:rPr>
                <w:sz w:val="20"/>
              </w:rPr>
              <w:t>67.52</w:t>
            </w:r>
          </w:p>
        </w:tc>
      </w:tr>
      <w:tr>
        <w:trPr>
          <w:trHeight w:val="283" w:hRule="exact"/>
        </w:trPr>
        <w:tc>
          <w:tcPr>
            <w:tcW w:w="2446" w:type="dxa"/>
          </w:tcPr>
          <w:p>
            <w:pPr>
              <w:pStyle w:val="TableParagraph"/>
              <w:spacing w:before="29"/>
              <w:ind w:left="110" w:right="605"/>
              <w:rPr>
                <w:sz w:val="20"/>
              </w:rPr>
            </w:pPr>
            <w:r>
              <w:rPr>
                <w:sz w:val="20"/>
              </w:rPr>
              <w:t>Elaidic acid</w:t>
            </w:r>
          </w:p>
        </w:tc>
        <w:tc>
          <w:tcPr>
            <w:tcW w:w="1074" w:type="dxa"/>
          </w:tcPr>
          <w:p>
            <w:pPr>
              <w:pStyle w:val="TableParagraph"/>
              <w:spacing w:before="29"/>
              <w:ind w:right="276"/>
              <w:jc w:val="right"/>
              <w:rPr>
                <w:sz w:val="20"/>
              </w:rPr>
            </w:pPr>
            <w:r>
              <w:rPr>
                <w:sz w:val="20"/>
              </w:rPr>
              <w:t>7.29</w:t>
            </w:r>
          </w:p>
        </w:tc>
        <w:tc>
          <w:tcPr>
            <w:tcW w:w="1004" w:type="dxa"/>
          </w:tcPr>
          <w:p>
            <w:pPr>
              <w:pStyle w:val="TableParagraph"/>
              <w:spacing w:before="29"/>
              <w:ind w:left="261" w:right="151"/>
              <w:jc w:val="center"/>
              <w:rPr>
                <w:sz w:val="20"/>
              </w:rPr>
            </w:pPr>
            <w:r>
              <w:rPr>
                <w:sz w:val="20"/>
              </w:rPr>
              <w:t>6.67</w:t>
            </w:r>
          </w:p>
        </w:tc>
        <w:tc>
          <w:tcPr>
            <w:tcW w:w="919" w:type="dxa"/>
          </w:tcPr>
          <w:p>
            <w:pPr>
              <w:pStyle w:val="TableParagraph"/>
              <w:spacing w:before="29"/>
              <w:ind w:right="192"/>
              <w:jc w:val="right"/>
              <w:rPr>
                <w:sz w:val="20"/>
              </w:rPr>
            </w:pPr>
            <w:r>
              <w:rPr>
                <w:sz w:val="20"/>
              </w:rPr>
              <w:t>6.63</w:t>
            </w:r>
          </w:p>
        </w:tc>
        <w:tc>
          <w:tcPr>
            <w:tcW w:w="850" w:type="dxa"/>
          </w:tcPr>
          <w:p>
            <w:pPr>
              <w:pStyle w:val="TableParagraph"/>
              <w:spacing w:before="29"/>
              <w:ind w:right="197"/>
              <w:jc w:val="right"/>
              <w:rPr>
                <w:sz w:val="20"/>
              </w:rPr>
            </w:pPr>
            <w:r>
              <w:rPr>
                <w:sz w:val="20"/>
              </w:rPr>
              <w:t>6.50</w:t>
            </w:r>
          </w:p>
        </w:tc>
        <w:tc>
          <w:tcPr>
            <w:tcW w:w="821" w:type="dxa"/>
          </w:tcPr>
          <w:p>
            <w:pPr>
              <w:pStyle w:val="TableParagraph"/>
              <w:spacing w:before="29"/>
              <w:ind w:right="163"/>
              <w:jc w:val="right"/>
              <w:rPr>
                <w:sz w:val="20"/>
              </w:rPr>
            </w:pPr>
            <w:r>
              <w:rPr>
                <w:sz w:val="20"/>
              </w:rPr>
              <w:t>6.20</w:t>
            </w:r>
          </w:p>
        </w:tc>
        <w:tc>
          <w:tcPr>
            <w:tcW w:w="840" w:type="dxa"/>
          </w:tcPr>
          <w:p>
            <w:pPr>
              <w:pStyle w:val="TableParagraph"/>
              <w:spacing w:before="29"/>
              <w:ind w:left="150" w:right="102"/>
              <w:jc w:val="center"/>
              <w:rPr>
                <w:sz w:val="20"/>
              </w:rPr>
            </w:pPr>
            <w:r>
              <w:rPr>
                <w:sz w:val="20"/>
              </w:rPr>
              <w:t>5.83</w:t>
            </w:r>
          </w:p>
        </w:tc>
        <w:tc>
          <w:tcPr>
            <w:tcW w:w="781" w:type="dxa"/>
          </w:tcPr>
          <w:p>
            <w:pPr>
              <w:pStyle w:val="TableParagraph"/>
              <w:spacing w:before="29"/>
              <w:ind w:right="103"/>
              <w:jc w:val="right"/>
              <w:rPr>
                <w:sz w:val="20"/>
              </w:rPr>
            </w:pPr>
            <w:r>
              <w:rPr>
                <w:sz w:val="20"/>
              </w:rPr>
              <w:t>6.52</w:t>
            </w:r>
          </w:p>
        </w:tc>
      </w:tr>
      <w:tr>
        <w:trPr>
          <w:trHeight w:val="286" w:hRule="exact"/>
        </w:trPr>
        <w:tc>
          <w:tcPr>
            <w:tcW w:w="2446" w:type="dxa"/>
          </w:tcPr>
          <w:p>
            <w:pPr>
              <w:pStyle w:val="TableParagraph"/>
              <w:spacing w:before="29"/>
              <w:ind w:left="110" w:right="605"/>
              <w:rPr>
                <w:sz w:val="20"/>
              </w:rPr>
            </w:pPr>
            <w:r>
              <w:rPr>
                <w:sz w:val="20"/>
              </w:rPr>
              <w:t>Oleic acid</w:t>
            </w:r>
          </w:p>
        </w:tc>
        <w:tc>
          <w:tcPr>
            <w:tcW w:w="1074" w:type="dxa"/>
          </w:tcPr>
          <w:p>
            <w:pPr>
              <w:pStyle w:val="TableParagraph"/>
              <w:spacing w:before="29"/>
              <w:ind w:right="276"/>
              <w:jc w:val="right"/>
              <w:rPr>
                <w:sz w:val="20"/>
              </w:rPr>
            </w:pPr>
            <w:r>
              <w:rPr>
                <w:sz w:val="20"/>
              </w:rPr>
              <w:t>3.04</w:t>
            </w:r>
          </w:p>
        </w:tc>
        <w:tc>
          <w:tcPr>
            <w:tcW w:w="1004" w:type="dxa"/>
          </w:tcPr>
          <w:p>
            <w:pPr>
              <w:pStyle w:val="TableParagraph"/>
              <w:spacing w:before="29"/>
              <w:ind w:left="261" w:right="151"/>
              <w:jc w:val="center"/>
              <w:rPr>
                <w:sz w:val="20"/>
              </w:rPr>
            </w:pPr>
            <w:r>
              <w:rPr>
                <w:sz w:val="20"/>
              </w:rPr>
              <w:t>3.50</w:t>
            </w:r>
          </w:p>
        </w:tc>
        <w:tc>
          <w:tcPr>
            <w:tcW w:w="919" w:type="dxa"/>
          </w:tcPr>
          <w:p>
            <w:pPr>
              <w:pStyle w:val="TableParagraph"/>
              <w:spacing w:before="29"/>
              <w:ind w:right="192"/>
              <w:jc w:val="right"/>
              <w:rPr>
                <w:sz w:val="20"/>
              </w:rPr>
            </w:pPr>
            <w:r>
              <w:rPr>
                <w:sz w:val="20"/>
              </w:rPr>
              <w:t>3.90</w:t>
            </w:r>
          </w:p>
        </w:tc>
        <w:tc>
          <w:tcPr>
            <w:tcW w:w="850" w:type="dxa"/>
          </w:tcPr>
          <w:p>
            <w:pPr>
              <w:pStyle w:val="TableParagraph"/>
              <w:spacing w:before="29"/>
              <w:ind w:right="197"/>
              <w:jc w:val="right"/>
              <w:rPr>
                <w:sz w:val="20"/>
              </w:rPr>
            </w:pPr>
            <w:r>
              <w:rPr>
                <w:sz w:val="20"/>
              </w:rPr>
              <w:t>4.04</w:t>
            </w:r>
          </w:p>
        </w:tc>
        <w:tc>
          <w:tcPr>
            <w:tcW w:w="821" w:type="dxa"/>
          </w:tcPr>
          <w:p>
            <w:pPr>
              <w:pStyle w:val="TableParagraph"/>
              <w:spacing w:before="29"/>
              <w:ind w:right="163"/>
              <w:jc w:val="right"/>
              <w:rPr>
                <w:sz w:val="20"/>
              </w:rPr>
            </w:pPr>
            <w:r>
              <w:rPr>
                <w:sz w:val="20"/>
              </w:rPr>
              <w:t>3.98</w:t>
            </w:r>
          </w:p>
        </w:tc>
        <w:tc>
          <w:tcPr>
            <w:tcW w:w="840" w:type="dxa"/>
          </w:tcPr>
          <w:p>
            <w:pPr>
              <w:pStyle w:val="TableParagraph"/>
              <w:spacing w:before="29"/>
              <w:ind w:left="150" w:right="102"/>
              <w:jc w:val="center"/>
              <w:rPr>
                <w:sz w:val="20"/>
              </w:rPr>
            </w:pPr>
            <w:r>
              <w:rPr>
                <w:sz w:val="20"/>
              </w:rPr>
              <w:t>5.08</w:t>
            </w:r>
          </w:p>
        </w:tc>
        <w:tc>
          <w:tcPr>
            <w:tcW w:w="781" w:type="dxa"/>
          </w:tcPr>
          <w:p>
            <w:pPr>
              <w:pStyle w:val="TableParagraph"/>
              <w:spacing w:before="29"/>
              <w:ind w:right="103"/>
              <w:jc w:val="right"/>
              <w:rPr>
                <w:sz w:val="20"/>
              </w:rPr>
            </w:pPr>
            <w:r>
              <w:rPr>
                <w:sz w:val="20"/>
              </w:rPr>
              <w:t>3.93</w:t>
            </w:r>
          </w:p>
        </w:tc>
      </w:tr>
      <w:tr>
        <w:trPr>
          <w:trHeight w:val="286" w:hRule="exact"/>
        </w:trPr>
        <w:tc>
          <w:tcPr>
            <w:tcW w:w="2446" w:type="dxa"/>
          </w:tcPr>
          <w:p>
            <w:pPr>
              <w:pStyle w:val="TableParagraph"/>
              <w:spacing w:before="31"/>
              <w:ind w:left="110" w:right="605"/>
              <w:rPr>
                <w:sz w:val="20"/>
              </w:rPr>
            </w:pPr>
            <w:r>
              <w:rPr>
                <w:sz w:val="20"/>
              </w:rPr>
              <w:t>Linolelaidic acid</w:t>
            </w:r>
          </w:p>
        </w:tc>
        <w:tc>
          <w:tcPr>
            <w:tcW w:w="1074" w:type="dxa"/>
          </w:tcPr>
          <w:p>
            <w:pPr>
              <w:pStyle w:val="TableParagraph"/>
              <w:spacing w:before="31"/>
              <w:ind w:right="276"/>
              <w:jc w:val="right"/>
              <w:rPr>
                <w:sz w:val="20"/>
              </w:rPr>
            </w:pPr>
            <w:r>
              <w:rPr>
                <w:sz w:val="20"/>
              </w:rPr>
              <w:t>0.69</w:t>
            </w:r>
          </w:p>
        </w:tc>
        <w:tc>
          <w:tcPr>
            <w:tcW w:w="1004" w:type="dxa"/>
          </w:tcPr>
          <w:p>
            <w:pPr>
              <w:pStyle w:val="TableParagraph"/>
              <w:spacing w:before="31"/>
              <w:ind w:left="261" w:right="151"/>
              <w:jc w:val="center"/>
              <w:rPr>
                <w:sz w:val="20"/>
              </w:rPr>
            </w:pPr>
            <w:r>
              <w:rPr>
                <w:sz w:val="20"/>
              </w:rPr>
              <w:t>0.59</w:t>
            </w:r>
          </w:p>
        </w:tc>
        <w:tc>
          <w:tcPr>
            <w:tcW w:w="919" w:type="dxa"/>
          </w:tcPr>
          <w:p>
            <w:pPr>
              <w:pStyle w:val="TableParagraph"/>
              <w:spacing w:before="31"/>
              <w:ind w:right="192"/>
              <w:jc w:val="right"/>
              <w:rPr>
                <w:sz w:val="20"/>
              </w:rPr>
            </w:pPr>
            <w:r>
              <w:rPr>
                <w:sz w:val="20"/>
              </w:rPr>
              <w:t>0.60</w:t>
            </w:r>
          </w:p>
        </w:tc>
        <w:tc>
          <w:tcPr>
            <w:tcW w:w="850" w:type="dxa"/>
          </w:tcPr>
          <w:p>
            <w:pPr>
              <w:pStyle w:val="TableParagraph"/>
              <w:spacing w:before="31"/>
              <w:ind w:right="197"/>
              <w:jc w:val="right"/>
              <w:rPr>
                <w:sz w:val="20"/>
              </w:rPr>
            </w:pPr>
            <w:r>
              <w:rPr>
                <w:sz w:val="20"/>
              </w:rPr>
              <w:t>0.88</w:t>
            </w:r>
          </w:p>
        </w:tc>
        <w:tc>
          <w:tcPr>
            <w:tcW w:w="821" w:type="dxa"/>
          </w:tcPr>
          <w:p>
            <w:pPr>
              <w:pStyle w:val="TableParagraph"/>
              <w:spacing w:before="31"/>
              <w:ind w:right="163"/>
              <w:jc w:val="right"/>
              <w:rPr>
                <w:sz w:val="20"/>
              </w:rPr>
            </w:pPr>
            <w:r>
              <w:rPr>
                <w:sz w:val="20"/>
              </w:rPr>
              <w:t>0.95</w:t>
            </w:r>
          </w:p>
        </w:tc>
        <w:tc>
          <w:tcPr>
            <w:tcW w:w="840" w:type="dxa"/>
          </w:tcPr>
          <w:p>
            <w:pPr>
              <w:pStyle w:val="TableParagraph"/>
              <w:spacing w:before="31"/>
              <w:ind w:left="150" w:right="102"/>
              <w:jc w:val="center"/>
              <w:rPr>
                <w:sz w:val="20"/>
              </w:rPr>
            </w:pPr>
            <w:r>
              <w:rPr>
                <w:sz w:val="20"/>
              </w:rPr>
              <w:t>2.25</w:t>
            </w:r>
          </w:p>
        </w:tc>
        <w:tc>
          <w:tcPr>
            <w:tcW w:w="781" w:type="dxa"/>
          </w:tcPr>
          <w:p>
            <w:pPr>
              <w:pStyle w:val="TableParagraph"/>
              <w:spacing w:before="31"/>
              <w:ind w:right="103"/>
              <w:jc w:val="right"/>
              <w:rPr>
                <w:sz w:val="20"/>
              </w:rPr>
            </w:pPr>
            <w:r>
              <w:rPr>
                <w:sz w:val="20"/>
              </w:rPr>
              <w:t>0.99</w:t>
            </w:r>
          </w:p>
        </w:tc>
      </w:tr>
      <w:tr>
        <w:trPr>
          <w:trHeight w:val="286" w:hRule="exact"/>
        </w:trPr>
        <w:tc>
          <w:tcPr>
            <w:tcW w:w="2446" w:type="dxa"/>
          </w:tcPr>
          <w:p>
            <w:pPr>
              <w:pStyle w:val="TableParagraph"/>
              <w:spacing w:before="29"/>
              <w:ind w:left="110" w:right="605"/>
              <w:rPr>
                <w:sz w:val="20"/>
              </w:rPr>
            </w:pPr>
            <w:r>
              <w:rPr>
                <w:sz w:val="20"/>
              </w:rPr>
              <w:t>Linoleic acid</w:t>
            </w:r>
          </w:p>
        </w:tc>
        <w:tc>
          <w:tcPr>
            <w:tcW w:w="1074" w:type="dxa"/>
          </w:tcPr>
          <w:p>
            <w:pPr>
              <w:pStyle w:val="TableParagraph"/>
              <w:spacing w:before="29"/>
              <w:ind w:right="276"/>
              <w:jc w:val="right"/>
              <w:rPr>
                <w:sz w:val="20"/>
              </w:rPr>
            </w:pPr>
            <w:r>
              <w:rPr>
                <w:sz w:val="20"/>
              </w:rPr>
              <w:t>0.78</w:t>
            </w:r>
          </w:p>
        </w:tc>
        <w:tc>
          <w:tcPr>
            <w:tcW w:w="1004" w:type="dxa"/>
          </w:tcPr>
          <w:p>
            <w:pPr>
              <w:pStyle w:val="TableParagraph"/>
              <w:spacing w:before="29"/>
              <w:ind w:left="261" w:right="151"/>
              <w:jc w:val="center"/>
              <w:rPr>
                <w:sz w:val="20"/>
              </w:rPr>
            </w:pPr>
            <w:r>
              <w:rPr>
                <w:sz w:val="20"/>
              </w:rPr>
              <w:t>1.44</w:t>
            </w:r>
          </w:p>
        </w:tc>
        <w:tc>
          <w:tcPr>
            <w:tcW w:w="919" w:type="dxa"/>
          </w:tcPr>
          <w:p>
            <w:pPr>
              <w:pStyle w:val="TableParagraph"/>
              <w:spacing w:before="29"/>
              <w:ind w:right="192"/>
              <w:jc w:val="right"/>
              <w:rPr>
                <w:sz w:val="20"/>
              </w:rPr>
            </w:pPr>
            <w:r>
              <w:rPr>
                <w:sz w:val="20"/>
              </w:rPr>
              <w:t>1.05</w:t>
            </w:r>
          </w:p>
        </w:tc>
        <w:tc>
          <w:tcPr>
            <w:tcW w:w="850" w:type="dxa"/>
          </w:tcPr>
          <w:p>
            <w:pPr>
              <w:pStyle w:val="TableParagraph"/>
              <w:spacing w:before="29"/>
              <w:ind w:right="197"/>
              <w:jc w:val="right"/>
              <w:rPr>
                <w:sz w:val="20"/>
              </w:rPr>
            </w:pPr>
            <w:r>
              <w:rPr>
                <w:sz w:val="20"/>
              </w:rPr>
              <w:t>0.83</w:t>
            </w:r>
          </w:p>
        </w:tc>
        <w:tc>
          <w:tcPr>
            <w:tcW w:w="821" w:type="dxa"/>
          </w:tcPr>
          <w:p>
            <w:pPr>
              <w:pStyle w:val="TableParagraph"/>
              <w:spacing w:before="29"/>
              <w:ind w:right="163"/>
              <w:jc w:val="right"/>
              <w:rPr>
                <w:sz w:val="20"/>
              </w:rPr>
            </w:pPr>
            <w:r>
              <w:rPr>
                <w:sz w:val="20"/>
              </w:rPr>
              <w:t>0.94</w:t>
            </w:r>
          </w:p>
        </w:tc>
        <w:tc>
          <w:tcPr>
            <w:tcW w:w="840" w:type="dxa"/>
          </w:tcPr>
          <w:p>
            <w:pPr>
              <w:pStyle w:val="TableParagraph"/>
              <w:spacing w:before="29"/>
              <w:ind w:left="150" w:right="102"/>
              <w:jc w:val="center"/>
              <w:rPr>
                <w:sz w:val="20"/>
              </w:rPr>
            </w:pPr>
            <w:r>
              <w:rPr>
                <w:sz w:val="20"/>
              </w:rPr>
              <w:t>1.05</w:t>
            </w:r>
          </w:p>
        </w:tc>
        <w:tc>
          <w:tcPr>
            <w:tcW w:w="781" w:type="dxa"/>
          </w:tcPr>
          <w:p>
            <w:pPr>
              <w:pStyle w:val="TableParagraph"/>
              <w:spacing w:before="29"/>
              <w:ind w:right="103"/>
              <w:jc w:val="right"/>
              <w:rPr>
                <w:sz w:val="20"/>
              </w:rPr>
            </w:pPr>
            <w:r>
              <w:rPr>
                <w:sz w:val="20"/>
              </w:rPr>
              <w:t>1.02</w:t>
            </w:r>
          </w:p>
        </w:tc>
      </w:tr>
      <w:tr>
        <w:trPr>
          <w:trHeight w:val="286" w:hRule="exact"/>
        </w:trPr>
        <w:tc>
          <w:tcPr>
            <w:tcW w:w="2446" w:type="dxa"/>
          </w:tcPr>
          <w:p>
            <w:pPr>
              <w:pStyle w:val="TableParagraph"/>
              <w:spacing w:before="31"/>
              <w:ind w:left="110" w:right="605"/>
              <w:rPr>
                <w:sz w:val="20"/>
              </w:rPr>
            </w:pPr>
            <w:r>
              <w:rPr>
                <w:sz w:val="20"/>
              </w:rPr>
              <w:t>Arachidic acid</w:t>
            </w:r>
          </w:p>
        </w:tc>
        <w:tc>
          <w:tcPr>
            <w:tcW w:w="1074" w:type="dxa"/>
          </w:tcPr>
          <w:p>
            <w:pPr>
              <w:pStyle w:val="TableParagraph"/>
              <w:spacing w:before="31"/>
              <w:ind w:right="276"/>
              <w:jc w:val="right"/>
              <w:rPr>
                <w:sz w:val="20"/>
              </w:rPr>
            </w:pPr>
            <w:r>
              <w:rPr>
                <w:sz w:val="20"/>
              </w:rPr>
              <w:t>1.01</w:t>
            </w:r>
          </w:p>
        </w:tc>
        <w:tc>
          <w:tcPr>
            <w:tcW w:w="1004" w:type="dxa"/>
          </w:tcPr>
          <w:p>
            <w:pPr>
              <w:pStyle w:val="TableParagraph"/>
              <w:spacing w:before="31"/>
              <w:ind w:left="261" w:right="151"/>
              <w:jc w:val="center"/>
              <w:rPr>
                <w:sz w:val="20"/>
              </w:rPr>
            </w:pPr>
            <w:r>
              <w:rPr>
                <w:sz w:val="20"/>
              </w:rPr>
              <w:t>0.42</w:t>
            </w:r>
          </w:p>
        </w:tc>
        <w:tc>
          <w:tcPr>
            <w:tcW w:w="919" w:type="dxa"/>
          </w:tcPr>
          <w:p>
            <w:pPr>
              <w:pStyle w:val="TableParagraph"/>
              <w:spacing w:before="31"/>
              <w:ind w:right="192"/>
              <w:jc w:val="right"/>
              <w:rPr>
                <w:sz w:val="20"/>
              </w:rPr>
            </w:pPr>
            <w:r>
              <w:rPr>
                <w:sz w:val="20"/>
              </w:rPr>
              <w:t>0.53</w:t>
            </w:r>
          </w:p>
        </w:tc>
        <w:tc>
          <w:tcPr>
            <w:tcW w:w="850" w:type="dxa"/>
          </w:tcPr>
          <w:p>
            <w:pPr>
              <w:pStyle w:val="TableParagraph"/>
              <w:spacing w:before="31"/>
              <w:ind w:right="197"/>
              <w:jc w:val="right"/>
              <w:rPr>
                <w:sz w:val="20"/>
              </w:rPr>
            </w:pPr>
            <w:r>
              <w:rPr>
                <w:sz w:val="20"/>
              </w:rPr>
              <w:t>0.47</w:t>
            </w:r>
          </w:p>
        </w:tc>
        <w:tc>
          <w:tcPr>
            <w:tcW w:w="821" w:type="dxa"/>
          </w:tcPr>
          <w:p>
            <w:pPr>
              <w:pStyle w:val="TableParagraph"/>
              <w:spacing w:before="31"/>
              <w:ind w:right="163"/>
              <w:jc w:val="right"/>
              <w:rPr>
                <w:sz w:val="20"/>
              </w:rPr>
            </w:pPr>
            <w:r>
              <w:rPr>
                <w:sz w:val="20"/>
              </w:rPr>
              <w:t>0.24</w:t>
            </w:r>
          </w:p>
        </w:tc>
        <w:tc>
          <w:tcPr>
            <w:tcW w:w="840" w:type="dxa"/>
          </w:tcPr>
          <w:p>
            <w:pPr>
              <w:pStyle w:val="TableParagraph"/>
              <w:spacing w:before="31"/>
              <w:ind w:left="150" w:right="102"/>
              <w:jc w:val="center"/>
              <w:rPr>
                <w:sz w:val="20"/>
              </w:rPr>
            </w:pPr>
            <w:r>
              <w:rPr>
                <w:sz w:val="20"/>
              </w:rPr>
              <w:t>0.31</w:t>
            </w:r>
          </w:p>
        </w:tc>
        <w:tc>
          <w:tcPr>
            <w:tcW w:w="781" w:type="dxa"/>
          </w:tcPr>
          <w:p>
            <w:pPr>
              <w:pStyle w:val="TableParagraph"/>
              <w:spacing w:before="31"/>
              <w:ind w:right="103"/>
              <w:jc w:val="right"/>
              <w:rPr>
                <w:sz w:val="20"/>
              </w:rPr>
            </w:pPr>
            <w:r>
              <w:rPr>
                <w:sz w:val="20"/>
              </w:rPr>
              <w:t>0.50</w:t>
            </w:r>
          </w:p>
        </w:tc>
      </w:tr>
      <w:tr>
        <w:trPr>
          <w:trHeight w:val="261" w:hRule="exact"/>
        </w:trPr>
        <w:tc>
          <w:tcPr>
            <w:tcW w:w="2446" w:type="dxa"/>
            <w:tcBorders>
              <w:bottom w:val="single" w:sz="4" w:space="0" w:color="000000"/>
            </w:tcBorders>
          </w:tcPr>
          <w:p>
            <w:pPr>
              <w:pStyle w:val="TableParagraph"/>
              <w:spacing w:before="29"/>
              <w:ind w:left="110" w:right="605"/>
              <w:rPr>
                <w:sz w:val="20"/>
              </w:rPr>
            </w:pPr>
            <w:r>
              <w:rPr>
                <w:sz w:val="20"/>
              </w:rPr>
              <w:t>γ-Linolenic acid</w:t>
            </w:r>
          </w:p>
        </w:tc>
        <w:tc>
          <w:tcPr>
            <w:tcW w:w="1074" w:type="dxa"/>
            <w:tcBorders>
              <w:bottom w:val="single" w:sz="4" w:space="0" w:color="000000"/>
            </w:tcBorders>
          </w:tcPr>
          <w:p>
            <w:pPr>
              <w:pStyle w:val="TableParagraph"/>
              <w:spacing w:before="29"/>
              <w:ind w:right="276"/>
              <w:jc w:val="right"/>
              <w:rPr>
                <w:sz w:val="20"/>
              </w:rPr>
            </w:pPr>
            <w:r>
              <w:rPr>
                <w:sz w:val="20"/>
              </w:rPr>
              <w:t>0.21</w:t>
            </w:r>
          </w:p>
        </w:tc>
        <w:tc>
          <w:tcPr>
            <w:tcW w:w="1004" w:type="dxa"/>
            <w:tcBorders>
              <w:bottom w:val="single" w:sz="4" w:space="0" w:color="000000"/>
            </w:tcBorders>
          </w:tcPr>
          <w:p>
            <w:pPr>
              <w:pStyle w:val="TableParagraph"/>
              <w:spacing w:before="29"/>
              <w:ind w:left="261" w:right="151"/>
              <w:jc w:val="center"/>
              <w:rPr>
                <w:sz w:val="20"/>
              </w:rPr>
            </w:pPr>
            <w:r>
              <w:rPr>
                <w:sz w:val="20"/>
              </w:rPr>
              <w:t>0.33</w:t>
            </w:r>
          </w:p>
        </w:tc>
        <w:tc>
          <w:tcPr>
            <w:tcW w:w="919" w:type="dxa"/>
            <w:tcBorders>
              <w:bottom w:val="single" w:sz="4" w:space="0" w:color="000000"/>
            </w:tcBorders>
          </w:tcPr>
          <w:p>
            <w:pPr>
              <w:pStyle w:val="TableParagraph"/>
              <w:spacing w:before="29"/>
              <w:ind w:right="192"/>
              <w:jc w:val="right"/>
              <w:rPr>
                <w:sz w:val="20"/>
              </w:rPr>
            </w:pPr>
            <w:r>
              <w:rPr>
                <w:sz w:val="20"/>
              </w:rPr>
              <w:t>0.35</w:t>
            </w:r>
          </w:p>
        </w:tc>
        <w:tc>
          <w:tcPr>
            <w:tcW w:w="850" w:type="dxa"/>
            <w:tcBorders>
              <w:bottom w:val="single" w:sz="4" w:space="0" w:color="000000"/>
            </w:tcBorders>
          </w:tcPr>
          <w:p>
            <w:pPr>
              <w:pStyle w:val="TableParagraph"/>
              <w:spacing w:before="29"/>
              <w:ind w:right="197"/>
              <w:jc w:val="right"/>
              <w:rPr>
                <w:sz w:val="20"/>
              </w:rPr>
            </w:pPr>
            <w:r>
              <w:rPr>
                <w:sz w:val="20"/>
              </w:rPr>
              <w:t>0.28</w:t>
            </w:r>
          </w:p>
        </w:tc>
        <w:tc>
          <w:tcPr>
            <w:tcW w:w="821" w:type="dxa"/>
            <w:tcBorders>
              <w:bottom w:val="single" w:sz="4" w:space="0" w:color="000000"/>
            </w:tcBorders>
          </w:tcPr>
          <w:p>
            <w:pPr>
              <w:pStyle w:val="TableParagraph"/>
              <w:spacing w:before="29"/>
              <w:ind w:right="163"/>
              <w:jc w:val="right"/>
              <w:rPr>
                <w:sz w:val="20"/>
              </w:rPr>
            </w:pPr>
            <w:r>
              <w:rPr>
                <w:sz w:val="20"/>
              </w:rPr>
              <w:t>0.16</w:t>
            </w:r>
          </w:p>
        </w:tc>
        <w:tc>
          <w:tcPr>
            <w:tcW w:w="840" w:type="dxa"/>
            <w:tcBorders>
              <w:bottom w:val="single" w:sz="4" w:space="0" w:color="000000"/>
            </w:tcBorders>
          </w:tcPr>
          <w:p>
            <w:pPr>
              <w:pStyle w:val="TableParagraph"/>
              <w:spacing w:before="29"/>
              <w:ind w:left="150" w:right="102"/>
              <w:jc w:val="center"/>
              <w:rPr>
                <w:sz w:val="20"/>
              </w:rPr>
            </w:pPr>
            <w:r>
              <w:rPr>
                <w:sz w:val="20"/>
              </w:rPr>
              <w:t>0.14</w:t>
            </w:r>
          </w:p>
        </w:tc>
        <w:tc>
          <w:tcPr>
            <w:tcW w:w="781" w:type="dxa"/>
            <w:tcBorders>
              <w:bottom w:val="single" w:sz="4" w:space="0" w:color="000000"/>
            </w:tcBorders>
          </w:tcPr>
          <w:p>
            <w:pPr>
              <w:pStyle w:val="TableParagraph"/>
              <w:spacing w:before="29"/>
              <w:ind w:right="103"/>
              <w:jc w:val="right"/>
              <w:rPr>
                <w:sz w:val="20"/>
              </w:rPr>
            </w:pPr>
            <w:r>
              <w:rPr>
                <w:sz w:val="20"/>
              </w:rPr>
              <w:t>0.24</w:t>
            </w:r>
          </w:p>
        </w:tc>
      </w:tr>
      <w:tr>
        <w:trPr>
          <w:trHeight w:val="236" w:hRule="exact"/>
        </w:trPr>
        <w:tc>
          <w:tcPr>
            <w:tcW w:w="2446" w:type="dxa"/>
            <w:tcBorders>
              <w:top w:val="single" w:sz="4" w:space="0" w:color="000000"/>
            </w:tcBorders>
          </w:tcPr>
          <w:p>
            <w:pPr>
              <w:pStyle w:val="TableParagraph"/>
              <w:spacing w:before="4"/>
              <w:ind w:left="110"/>
              <w:rPr>
                <w:sz w:val="20"/>
              </w:rPr>
            </w:pPr>
            <w:r>
              <w:rPr>
                <w:sz w:val="20"/>
              </w:rPr>
              <w:t>Unsaturated fatty acids,</w:t>
            </w:r>
          </w:p>
        </w:tc>
        <w:tc>
          <w:tcPr>
            <w:tcW w:w="1074" w:type="dxa"/>
            <w:tcBorders>
              <w:top w:val="single" w:sz="4" w:space="0" w:color="000000"/>
            </w:tcBorders>
          </w:tcPr>
          <w:p>
            <w:pPr/>
          </w:p>
        </w:tc>
        <w:tc>
          <w:tcPr>
            <w:tcW w:w="1004" w:type="dxa"/>
            <w:tcBorders>
              <w:top w:val="single" w:sz="4" w:space="0" w:color="000000"/>
            </w:tcBorders>
          </w:tcPr>
          <w:p>
            <w:pPr/>
          </w:p>
        </w:tc>
        <w:tc>
          <w:tcPr>
            <w:tcW w:w="919" w:type="dxa"/>
            <w:tcBorders>
              <w:top w:val="single" w:sz="4" w:space="0" w:color="000000"/>
            </w:tcBorders>
          </w:tcPr>
          <w:p>
            <w:pPr/>
          </w:p>
        </w:tc>
        <w:tc>
          <w:tcPr>
            <w:tcW w:w="850" w:type="dxa"/>
            <w:tcBorders>
              <w:top w:val="single" w:sz="4" w:space="0" w:color="000000"/>
            </w:tcBorders>
          </w:tcPr>
          <w:p>
            <w:pPr/>
          </w:p>
        </w:tc>
        <w:tc>
          <w:tcPr>
            <w:tcW w:w="821" w:type="dxa"/>
            <w:tcBorders>
              <w:top w:val="single" w:sz="4" w:space="0" w:color="000000"/>
            </w:tcBorders>
          </w:tcPr>
          <w:p>
            <w:pPr/>
          </w:p>
        </w:tc>
        <w:tc>
          <w:tcPr>
            <w:tcW w:w="840" w:type="dxa"/>
            <w:tcBorders>
              <w:top w:val="single" w:sz="4" w:space="0" w:color="000000"/>
            </w:tcBorders>
          </w:tcPr>
          <w:p>
            <w:pPr/>
          </w:p>
        </w:tc>
        <w:tc>
          <w:tcPr>
            <w:tcW w:w="781" w:type="dxa"/>
            <w:tcBorders>
              <w:top w:val="single" w:sz="4" w:space="0" w:color="000000"/>
            </w:tcBorders>
          </w:tcPr>
          <w:p>
            <w:pPr/>
          </w:p>
        </w:tc>
      </w:tr>
      <w:tr>
        <w:trPr>
          <w:trHeight w:val="230" w:hRule="exact"/>
        </w:trPr>
        <w:tc>
          <w:tcPr>
            <w:tcW w:w="2446" w:type="dxa"/>
          </w:tcPr>
          <w:p>
            <w:pPr>
              <w:pStyle w:val="TableParagraph"/>
              <w:spacing w:before="3"/>
              <w:ind w:left="110"/>
              <w:rPr>
                <w:sz w:val="20"/>
              </w:rPr>
            </w:pPr>
            <w:r>
              <w:rPr>
                <w:w w:val="100"/>
                <w:sz w:val="20"/>
              </w:rPr>
              <w:t>%</w:t>
            </w:r>
          </w:p>
        </w:tc>
        <w:tc>
          <w:tcPr>
            <w:tcW w:w="1074" w:type="dxa"/>
          </w:tcPr>
          <w:p>
            <w:pPr>
              <w:pStyle w:val="TableParagraph"/>
              <w:spacing w:before="3"/>
              <w:ind w:right="276"/>
              <w:jc w:val="right"/>
              <w:rPr>
                <w:sz w:val="20"/>
              </w:rPr>
            </w:pPr>
            <w:r>
              <w:rPr>
                <w:sz w:val="20"/>
              </w:rPr>
              <w:t>13.71</w:t>
            </w:r>
          </w:p>
        </w:tc>
        <w:tc>
          <w:tcPr>
            <w:tcW w:w="1004" w:type="dxa"/>
          </w:tcPr>
          <w:p>
            <w:pPr>
              <w:pStyle w:val="TableParagraph"/>
              <w:spacing w:before="3"/>
              <w:ind w:left="260" w:right="251"/>
              <w:jc w:val="center"/>
              <w:rPr>
                <w:sz w:val="20"/>
              </w:rPr>
            </w:pPr>
            <w:r>
              <w:rPr>
                <w:sz w:val="20"/>
              </w:rPr>
              <w:t>15.20</w:t>
            </w:r>
          </w:p>
        </w:tc>
        <w:tc>
          <w:tcPr>
            <w:tcW w:w="919" w:type="dxa"/>
          </w:tcPr>
          <w:p>
            <w:pPr>
              <w:pStyle w:val="TableParagraph"/>
              <w:spacing w:before="3"/>
              <w:ind w:right="192"/>
              <w:jc w:val="right"/>
              <w:rPr>
                <w:sz w:val="20"/>
              </w:rPr>
            </w:pPr>
            <w:r>
              <w:rPr>
                <w:sz w:val="20"/>
              </w:rPr>
              <w:t>15.17</w:t>
            </w:r>
          </w:p>
        </w:tc>
        <w:tc>
          <w:tcPr>
            <w:tcW w:w="850" w:type="dxa"/>
          </w:tcPr>
          <w:p>
            <w:pPr>
              <w:pStyle w:val="TableParagraph"/>
              <w:spacing w:before="3"/>
              <w:ind w:right="197"/>
              <w:jc w:val="right"/>
              <w:rPr>
                <w:sz w:val="20"/>
              </w:rPr>
            </w:pPr>
            <w:r>
              <w:rPr>
                <w:sz w:val="20"/>
              </w:rPr>
              <w:t>14.77</w:t>
            </w:r>
          </w:p>
        </w:tc>
        <w:tc>
          <w:tcPr>
            <w:tcW w:w="821" w:type="dxa"/>
          </w:tcPr>
          <w:p>
            <w:pPr>
              <w:pStyle w:val="TableParagraph"/>
              <w:spacing w:before="3"/>
              <w:ind w:right="163"/>
              <w:jc w:val="right"/>
              <w:rPr>
                <w:sz w:val="20"/>
              </w:rPr>
            </w:pPr>
            <w:r>
              <w:rPr>
                <w:sz w:val="20"/>
              </w:rPr>
              <w:t>14.99</w:t>
            </w:r>
          </w:p>
        </w:tc>
        <w:tc>
          <w:tcPr>
            <w:tcW w:w="840" w:type="dxa"/>
          </w:tcPr>
          <w:p>
            <w:pPr>
              <w:pStyle w:val="TableParagraph"/>
              <w:spacing w:before="3"/>
              <w:ind w:left="150" w:right="200"/>
              <w:jc w:val="center"/>
              <w:rPr>
                <w:sz w:val="20"/>
              </w:rPr>
            </w:pPr>
            <w:r>
              <w:rPr>
                <w:sz w:val="20"/>
              </w:rPr>
              <w:t>16.41</w:t>
            </w:r>
          </w:p>
        </w:tc>
        <w:tc>
          <w:tcPr>
            <w:tcW w:w="781" w:type="dxa"/>
          </w:tcPr>
          <w:p>
            <w:pPr>
              <w:pStyle w:val="TableParagraph"/>
              <w:spacing w:before="3"/>
              <w:ind w:right="104"/>
              <w:jc w:val="right"/>
              <w:rPr>
                <w:sz w:val="20"/>
              </w:rPr>
            </w:pPr>
            <w:r>
              <w:rPr>
                <w:sz w:val="20"/>
              </w:rPr>
              <w:t>15.04</w:t>
            </w:r>
          </w:p>
        </w:tc>
      </w:tr>
      <w:tr>
        <w:trPr>
          <w:trHeight w:val="230" w:hRule="exact"/>
        </w:trPr>
        <w:tc>
          <w:tcPr>
            <w:tcW w:w="2446" w:type="dxa"/>
          </w:tcPr>
          <w:p>
            <w:pPr>
              <w:pStyle w:val="TableParagraph"/>
              <w:spacing w:before="3"/>
              <w:ind w:left="110"/>
              <w:rPr>
                <w:sz w:val="20"/>
              </w:rPr>
            </w:pPr>
            <w:r>
              <w:rPr>
                <w:sz w:val="20"/>
              </w:rPr>
              <w:t>Long chain fatty acids ≥</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231" w:hRule="exact"/>
        </w:trPr>
        <w:tc>
          <w:tcPr>
            <w:tcW w:w="2446" w:type="dxa"/>
          </w:tcPr>
          <w:p>
            <w:pPr>
              <w:pStyle w:val="TableParagraph"/>
              <w:spacing w:before="3"/>
              <w:ind w:left="110" w:right="605"/>
              <w:rPr>
                <w:sz w:val="20"/>
              </w:rPr>
            </w:pPr>
            <w:r>
              <w:rPr>
                <w:sz w:val="20"/>
              </w:rPr>
              <w:t>18 carbons, %</w:t>
            </w:r>
          </w:p>
        </w:tc>
        <w:tc>
          <w:tcPr>
            <w:tcW w:w="1074" w:type="dxa"/>
          </w:tcPr>
          <w:p>
            <w:pPr>
              <w:pStyle w:val="TableParagraph"/>
              <w:spacing w:before="3"/>
              <w:ind w:right="276"/>
              <w:jc w:val="right"/>
              <w:rPr>
                <w:sz w:val="20"/>
              </w:rPr>
            </w:pPr>
            <w:r>
              <w:rPr>
                <w:sz w:val="20"/>
              </w:rPr>
              <w:t>84.31</w:t>
            </w:r>
          </w:p>
        </w:tc>
        <w:tc>
          <w:tcPr>
            <w:tcW w:w="1004" w:type="dxa"/>
          </w:tcPr>
          <w:p>
            <w:pPr>
              <w:pStyle w:val="TableParagraph"/>
              <w:spacing w:before="3"/>
              <w:ind w:left="260" w:right="251"/>
              <w:jc w:val="center"/>
              <w:rPr>
                <w:sz w:val="20"/>
              </w:rPr>
            </w:pPr>
            <w:r>
              <w:rPr>
                <w:sz w:val="20"/>
              </w:rPr>
              <w:t>79.34</w:t>
            </w:r>
          </w:p>
        </w:tc>
        <w:tc>
          <w:tcPr>
            <w:tcW w:w="919" w:type="dxa"/>
          </w:tcPr>
          <w:p>
            <w:pPr>
              <w:pStyle w:val="TableParagraph"/>
              <w:spacing w:before="3"/>
              <w:ind w:right="192"/>
              <w:jc w:val="right"/>
              <w:rPr>
                <w:sz w:val="20"/>
              </w:rPr>
            </w:pPr>
            <w:r>
              <w:rPr>
                <w:sz w:val="20"/>
              </w:rPr>
              <w:t>76.60</w:t>
            </w:r>
          </w:p>
        </w:tc>
        <w:tc>
          <w:tcPr>
            <w:tcW w:w="850" w:type="dxa"/>
          </w:tcPr>
          <w:p>
            <w:pPr>
              <w:pStyle w:val="TableParagraph"/>
              <w:spacing w:before="3"/>
              <w:ind w:right="197"/>
              <w:jc w:val="right"/>
              <w:rPr>
                <w:sz w:val="20"/>
              </w:rPr>
            </w:pPr>
            <w:r>
              <w:rPr>
                <w:sz w:val="20"/>
              </w:rPr>
              <w:t>81.45</w:t>
            </w:r>
          </w:p>
        </w:tc>
        <w:tc>
          <w:tcPr>
            <w:tcW w:w="821" w:type="dxa"/>
          </w:tcPr>
          <w:p>
            <w:pPr>
              <w:pStyle w:val="TableParagraph"/>
              <w:spacing w:before="3"/>
              <w:ind w:right="163"/>
              <w:jc w:val="right"/>
              <w:rPr>
                <w:sz w:val="20"/>
              </w:rPr>
            </w:pPr>
            <w:r>
              <w:rPr>
                <w:sz w:val="20"/>
              </w:rPr>
              <w:t>79.37</w:t>
            </w:r>
          </w:p>
        </w:tc>
        <w:tc>
          <w:tcPr>
            <w:tcW w:w="840" w:type="dxa"/>
          </w:tcPr>
          <w:p>
            <w:pPr>
              <w:pStyle w:val="TableParagraph"/>
              <w:spacing w:before="3"/>
              <w:ind w:left="150" w:right="200"/>
              <w:jc w:val="center"/>
              <w:rPr>
                <w:sz w:val="20"/>
              </w:rPr>
            </w:pPr>
            <w:r>
              <w:rPr>
                <w:sz w:val="20"/>
              </w:rPr>
              <w:t>83.21</w:t>
            </w:r>
          </w:p>
        </w:tc>
        <w:tc>
          <w:tcPr>
            <w:tcW w:w="781" w:type="dxa"/>
          </w:tcPr>
          <w:p>
            <w:pPr>
              <w:pStyle w:val="TableParagraph"/>
              <w:spacing w:before="3"/>
              <w:ind w:right="104"/>
              <w:jc w:val="right"/>
              <w:rPr>
                <w:sz w:val="20"/>
              </w:rPr>
            </w:pPr>
            <w:r>
              <w:rPr>
                <w:sz w:val="20"/>
              </w:rPr>
              <w:t>80.71</w:t>
            </w:r>
          </w:p>
        </w:tc>
      </w:tr>
      <w:tr>
        <w:trPr>
          <w:trHeight w:val="231" w:hRule="exact"/>
        </w:trPr>
        <w:tc>
          <w:tcPr>
            <w:tcW w:w="2446" w:type="dxa"/>
          </w:tcPr>
          <w:p>
            <w:pPr>
              <w:pStyle w:val="TableParagraph"/>
              <w:spacing w:before="3"/>
              <w:ind w:left="110"/>
              <w:rPr>
                <w:sz w:val="20"/>
              </w:rPr>
            </w:pPr>
            <w:r>
              <w:rPr>
                <w:sz w:val="20"/>
              </w:rPr>
              <w:t>18 carbons unsaturated</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257" w:hRule="exact"/>
        </w:trPr>
        <w:tc>
          <w:tcPr>
            <w:tcW w:w="2446" w:type="dxa"/>
          </w:tcPr>
          <w:p>
            <w:pPr>
              <w:pStyle w:val="TableParagraph"/>
              <w:spacing w:before="3"/>
              <w:ind w:left="110" w:right="605"/>
              <w:rPr>
                <w:sz w:val="20"/>
              </w:rPr>
            </w:pPr>
            <w:r>
              <w:rPr>
                <w:sz w:val="20"/>
              </w:rPr>
              <w:t>fatty acids, %</w:t>
            </w:r>
          </w:p>
        </w:tc>
        <w:tc>
          <w:tcPr>
            <w:tcW w:w="1074" w:type="dxa"/>
          </w:tcPr>
          <w:p>
            <w:pPr>
              <w:pStyle w:val="TableParagraph"/>
              <w:spacing w:before="3"/>
              <w:ind w:right="276"/>
              <w:jc w:val="right"/>
              <w:rPr>
                <w:sz w:val="20"/>
              </w:rPr>
            </w:pPr>
            <w:r>
              <w:rPr>
                <w:sz w:val="20"/>
              </w:rPr>
              <w:t>12.01</w:t>
            </w:r>
          </w:p>
        </w:tc>
        <w:tc>
          <w:tcPr>
            <w:tcW w:w="1004" w:type="dxa"/>
          </w:tcPr>
          <w:p>
            <w:pPr>
              <w:pStyle w:val="TableParagraph"/>
              <w:spacing w:before="3"/>
              <w:ind w:left="260" w:right="251"/>
              <w:jc w:val="center"/>
              <w:rPr>
                <w:sz w:val="20"/>
              </w:rPr>
            </w:pPr>
            <w:r>
              <w:rPr>
                <w:sz w:val="20"/>
              </w:rPr>
              <w:t>12.52</w:t>
            </w:r>
          </w:p>
        </w:tc>
        <w:tc>
          <w:tcPr>
            <w:tcW w:w="919" w:type="dxa"/>
          </w:tcPr>
          <w:p>
            <w:pPr>
              <w:pStyle w:val="TableParagraph"/>
              <w:spacing w:before="3"/>
              <w:ind w:right="192"/>
              <w:jc w:val="right"/>
              <w:rPr>
                <w:sz w:val="20"/>
              </w:rPr>
            </w:pPr>
            <w:r>
              <w:rPr>
                <w:sz w:val="20"/>
              </w:rPr>
              <w:t>12.54</w:t>
            </w:r>
          </w:p>
        </w:tc>
        <w:tc>
          <w:tcPr>
            <w:tcW w:w="850" w:type="dxa"/>
          </w:tcPr>
          <w:p>
            <w:pPr>
              <w:pStyle w:val="TableParagraph"/>
              <w:spacing w:before="3"/>
              <w:ind w:right="197"/>
              <w:jc w:val="right"/>
              <w:rPr>
                <w:sz w:val="20"/>
              </w:rPr>
            </w:pPr>
            <w:r>
              <w:rPr>
                <w:sz w:val="20"/>
              </w:rPr>
              <w:t>12.54</w:t>
            </w:r>
          </w:p>
        </w:tc>
        <w:tc>
          <w:tcPr>
            <w:tcW w:w="821" w:type="dxa"/>
          </w:tcPr>
          <w:p>
            <w:pPr>
              <w:pStyle w:val="TableParagraph"/>
              <w:spacing w:before="3"/>
              <w:ind w:right="163"/>
              <w:jc w:val="right"/>
              <w:rPr>
                <w:sz w:val="20"/>
              </w:rPr>
            </w:pPr>
            <w:r>
              <w:rPr>
                <w:sz w:val="20"/>
              </w:rPr>
              <w:t>12.24</w:t>
            </w:r>
          </w:p>
        </w:tc>
        <w:tc>
          <w:tcPr>
            <w:tcW w:w="840" w:type="dxa"/>
          </w:tcPr>
          <w:p>
            <w:pPr>
              <w:pStyle w:val="TableParagraph"/>
              <w:spacing w:before="3"/>
              <w:ind w:left="150" w:right="200"/>
              <w:jc w:val="center"/>
              <w:rPr>
                <w:sz w:val="20"/>
              </w:rPr>
            </w:pPr>
            <w:r>
              <w:rPr>
                <w:sz w:val="20"/>
              </w:rPr>
              <w:t>14.36</w:t>
            </w:r>
          </w:p>
        </w:tc>
        <w:tc>
          <w:tcPr>
            <w:tcW w:w="781" w:type="dxa"/>
          </w:tcPr>
          <w:p>
            <w:pPr>
              <w:pStyle w:val="TableParagraph"/>
              <w:spacing w:before="3"/>
              <w:ind w:right="104"/>
              <w:jc w:val="right"/>
              <w:rPr>
                <w:sz w:val="20"/>
              </w:rPr>
            </w:pPr>
            <w:r>
              <w:rPr>
                <w:sz w:val="20"/>
              </w:rPr>
              <w:t>12.70</w:t>
            </w:r>
          </w:p>
        </w:tc>
      </w:tr>
      <w:tr>
        <w:trPr>
          <w:trHeight w:val="283" w:hRule="exact"/>
        </w:trPr>
        <w:tc>
          <w:tcPr>
            <w:tcW w:w="2446" w:type="dxa"/>
          </w:tcPr>
          <w:p>
            <w:pPr>
              <w:pStyle w:val="TableParagraph"/>
              <w:spacing w:before="29"/>
              <w:ind w:left="110" w:right="605"/>
              <w:rPr>
                <w:sz w:val="20"/>
              </w:rPr>
            </w:pPr>
            <w:r>
              <w:rPr>
                <w:i/>
                <w:sz w:val="20"/>
              </w:rPr>
              <w:t>cis</w:t>
            </w:r>
            <w:r>
              <w:rPr>
                <w:sz w:val="20"/>
              </w:rPr>
              <w:t>- fatty acids, %</w:t>
            </w:r>
          </w:p>
        </w:tc>
        <w:tc>
          <w:tcPr>
            <w:tcW w:w="1074" w:type="dxa"/>
          </w:tcPr>
          <w:p>
            <w:pPr>
              <w:pStyle w:val="TableParagraph"/>
              <w:spacing w:before="29"/>
              <w:ind w:right="276"/>
              <w:jc w:val="right"/>
              <w:rPr>
                <w:sz w:val="20"/>
              </w:rPr>
            </w:pPr>
            <w:r>
              <w:rPr>
                <w:sz w:val="20"/>
              </w:rPr>
              <w:t>3.82</w:t>
            </w:r>
          </w:p>
        </w:tc>
        <w:tc>
          <w:tcPr>
            <w:tcW w:w="1004" w:type="dxa"/>
          </w:tcPr>
          <w:p>
            <w:pPr>
              <w:pStyle w:val="TableParagraph"/>
              <w:spacing w:before="29"/>
              <w:ind w:left="261" w:right="151"/>
              <w:jc w:val="center"/>
              <w:rPr>
                <w:sz w:val="20"/>
              </w:rPr>
            </w:pPr>
            <w:r>
              <w:rPr>
                <w:sz w:val="20"/>
              </w:rPr>
              <w:t>4.94</w:t>
            </w:r>
          </w:p>
        </w:tc>
        <w:tc>
          <w:tcPr>
            <w:tcW w:w="919" w:type="dxa"/>
          </w:tcPr>
          <w:p>
            <w:pPr>
              <w:pStyle w:val="TableParagraph"/>
              <w:spacing w:before="29"/>
              <w:ind w:right="192"/>
              <w:jc w:val="right"/>
              <w:rPr>
                <w:sz w:val="20"/>
              </w:rPr>
            </w:pPr>
            <w:r>
              <w:rPr>
                <w:sz w:val="20"/>
              </w:rPr>
              <w:t>4.96</w:t>
            </w:r>
          </w:p>
        </w:tc>
        <w:tc>
          <w:tcPr>
            <w:tcW w:w="850" w:type="dxa"/>
          </w:tcPr>
          <w:p>
            <w:pPr>
              <w:pStyle w:val="TableParagraph"/>
              <w:spacing w:before="29"/>
              <w:ind w:right="197"/>
              <w:jc w:val="right"/>
              <w:rPr>
                <w:sz w:val="20"/>
              </w:rPr>
            </w:pPr>
            <w:r>
              <w:rPr>
                <w:sz w:val="20"/>
              </w:rPr>
              <w:t>4.87</w:t>
            </w:r>
          </w:p>
        </w:tc>
        <w:tc>
          <w:tcPr>
            <w:tcW w:w="821" w:type="dxa"/>
          </w:tcPr>
          <w:p>
            <w:pPr>
              <w:pStyle w:val="TableParagraph"/>
              <w:spacing w:before="29"/>
              <w:ind w:right="163"/>
              <w:jc w:val="right"/>
              <w:rPr>
                <w:sz w:val="20"/>
              </w:rPr>
            </w:pPr>
            <w:r>
              <w:rPr>
                <w:sz w:val="20"/>
              </w:rPr>
              <w:t>4.92</w:t>
            </w:r>
          </w:p>
        </w:tc>
        <w:tc>
          <w:tcPr>
            <w:tcW w:w="840" w:type="dxa"/>
          </w:tcPr>
          <w:p>
            <w:pPr>
              <w:pStyle w:val="TableParagraph"/>
              <w:spacing w:before="29"/>
              <w:ind w:left="150" w:right="102"/>
              <w:jc w:val="center"/>
              <w:rPr>
                <w:sz w:val="20"/>
              </w:rPr>
            </w:pPr>
            <w:r>
              <w:rPr>
                <w:sz w:val="20"/>
              </w:rPr>
              <w:t>6.13</w:t>
            </w:r>
          </w:p>
        </w:tc>
        <w:tc>
          <w:tcPr>
            <w:tcW w:w="781" w:type="dxa"/>
          </w:tcPr>
          <w:p>
            <w:pPr>
              <w:pStyle w:val="TableParagraph"/>
              <w:spacing w:before="29"/>
              <w:ind w:right="103"/>
              <w:jc w:val="right"/>
              <w:rPr>
                <w:sz w:val="20"/>
              </w:rPr>
            </w:pPr>
            <w:r>
              <w:rPr>
                <w:sz w:val="20"/>
              </w:rPr>
              <w:t>4.94</w:t>
            </w:r>
          </w:p>
        </w:tc>
      </w:tr>
      <w:tr>
        <w:trPr>
          <w:trHeight w:val="286" w:hRule="exact"/>
        </w:trPr>
        <w:tc>
          <w:tcPr>
            <w:tcW w:w="2446" w:type="dxa"/>
          </w:tcPr>
          <w:p>
            <w:pPr>
              <w:pStyle w:val="TableParagraph"/>
              <w:spacing w:before="29"/>
              <w:ind w:left="110" w:right="605"/>
              <w:rPr>
                <w:sz w:val="20"/>
              </w:rPr>
            </w:pPr>
            <w:r>
              <w:rPr>
                <w:i/>
                <w:sz w:val="20"/>
              </w:rPr>
              <w:t>trans</w:t>
            </w:r>
            <w:r>
              <w:rPr>
                <w:sz w:val="20"/>
              </w:rPr>
              <w:t>- fatty acids, %</w:t>
            </w:r>
          </w:p>
        </w:tc>
        <w:tc>
          <w:tcPr>
            <w:tcW w:w="1074" w:type="dxa"/>
          </w:tcPr>
          <w:p>
            <w:pPr>
              <w:pStyle w:val="TableParagraph"/>
              <w:spacing w:before="29"/>
              <w:ind w:right="276"/>
              <w:jc w:val="right"/>
              <w:rPr>
                <w:sz w:val="20"/>
              </w:rPr>
            </w:pPr>
            <w:r>
              <w:rPr>
                <w:sz w:val="20"/>
              </w:rPr>
              <w:t>7.98</w:t>
            </w:r>
          </w:p>
        </w:tc>
        <w:tc>
          <w:tcPr>
            <w:tcW w:w="1004" w:type="dxa"/>
          </w:tcPr>
          <w:p>
            <w:pPr>
              <w:pStyle w:val="TableParagraph"/>
              <w:spacing w:before="29"/>
              <w:ind w:left="261" w:right="151"/>
              <w:jc w:val="center"/>
              <w:rPr>
                <w:sz w:val="20"/>
              </w:rPr>
            </w:pPr>
            <w:r>
              <w:rPr>
                <w:sz w:val="20"/>
              </w:rPr>
              <w:t>7.25</w:t>
            </w:r>
          </w:p>
        </w:tc>
        <w:tc>
          <w:tcPr>
            <w:tcW w:w="919" w:type="dxa"/>
          </w:tcPr>
          <w:p>
            <w:pPr>
              <w:pStyle w:val="TableParagraph"/>
              <w:spacing w:before="29"/>
              <w:ind w:right="192"/>
              <w:jc w:val="right"/>
              <w:rPr>
                <w:sz w:val="20"/>
              </w:rPr>
            </w:pPr>
            <w:r>
              <w:rPr>
                <w:sz w:val="20"/>
              </w:rPr>
              <w:t>7.23</w:t>
            </w:r>
          </w:p>
        </w:tc>
        <w:tc>
          <w:tcPr>
            <w:tcW w:w="850" w:type="dxa"/>
          </w:tcPr>
          <w:p>
            <w:pPr>
              <w:pStyle w:val="TableParagraph"/>
              <w:spacing w:before="29"/>
              <w:ind w:right="197"/>
              <w:jc w:val="right"/>
              <w:rPr>
                <w:sz w:val="20"/>
              </w:rPr>
            </w:pPr>
            <w:r>
              <w:rPr>
                <w:sz w:val="20"/>
              </w:rPr>
              <w:t>7.38</w:t>
            </w:r>
          </w:p>
        </w:tc>
        <w:tc>
          <w:tcPr>
            <w:tcW w:w="821" w:type="dxa"/>
          </w:tcPr>
          <w:p>
            <w:pPr>
              <w:pStyle w:val="TableParagraph"/>
              <w:spacing w:before="29"/>
              <w:ind w:right="163"/>
              <w:jc w:val="right"/>
              <w:rPr>
                <w:sz w:val="20"/>
              </w:rPr>
            </w:pPr>
            <w:r>
              <w:rPr>
                <w:sz w:val="20"/>
              </w:rPr>
              <w:t>7.16</w:t>
            </w:r>
          </w:p>
        </w:tc>
        <w:tc>
          <w:tcPr>
            <w:tcW w:w="840" w:type="dxa"/>
          </w:tcPr>
          <w:p>
            <w:pPr>
              <w:pStyle w:val="TableParagraph"/>
              <w:spacing w:before="29"/>
              <w:ind w:left="150" w:right="102"/>
              <w:jc w:val="center"/>
              <w:rPr>
                <w:sz w:val="20"/>
              </w:rPr>
            </w:pPr>
            <w:r>
              <w:rPr>
                <w:sz w:val="20"/>
              </w:rPr>
              <w:t>8.09</w:t>
            </w:r>
          </w:p>
        </w:tc>
        <w:tc>
          <w:tcPr>
            <w:tcW w:w="781" w:type="dxa"/>
          </w:tcPr>
          <w:p>
            <w:pPr>
              <w:pStyle w:val="TableParagraph"/>
              <w:spacing w:before="29"/>
              <w:ind w:right="103"/>
              <w:jc w:val="right"/>
              <w:rPr>
                <w:sz w:val="20"/>
              </w:rPr>
            </w:pPr>
            <w:r>
              <w:rPr>
                <w:sz w:val="20"/>
              </w:rPr>
              <w:t>7.51</w:t>
            </w:r>
          </w:p>
        </w:tc>
      </w:tr>
      <w:tr>
        <w:trPr>
          <w:trHeight w:val="259" w:hRule="exact"/>
        </w:trPr>
        <w:tc>
          <w:tcPr>
            <w:tcW w:w="2446" w:type="dxa"/>
          </w:tcPr>
          <w:p>
            <w:pPr>
              <w:pStyle w:val="TableParagraph"/>
              <w:spacing w:before="31"/>
              <w:ind w:left="110" w:right="605"/>
              <w:rPr>
                <w:sz w:val="20"/>
              </w:rPr>
            </w:pPr>
            <w:r>
              <w:rPr>
                <w:sz w:val="20"/>
              </w:rPr>
              <w:t>Ratios (</w:t>
            </w:r>
            <w:r>
              <w:rPr>
                <w:i/>
                <w:sz w:val="20"/>
              </w:rPr>
              <w:t>cis-</w:t>
            </w:r>
            <w:r>
              <w:rPr>
                <w:sz w:val="20"/>
              </w:rPr>
              <w:t>/</w:t>
            </w:r>
            <w:r>
              <w:rPr>
                <w:i/>
                <w:sz w:val="20"/>
              </w:rPr>
              <w:t>trans-</w:t>
            </w:r>
            <w:r>
              <w:rPr>
                <w:sz w:val="20"/>
              </w:rPr>
              <w:t>)</w:t>
            </w:r>
          </w:p>
        </w:tc>
        <w:tc>
          <w:tcPr>
            <w:tcW w:w="1074" w:type="dxa"/>
          </w:tcPr>
          <w:p>
            <w:pPr>
              <w:pStyle w:val="TableParagraph"/>
              <w:spacing w:before="31"/>
              <w:ind w:right="276"/>
              <w:jc w:val="right"/>
              <w:rPr>
                <w:sz w:val="20"/>
              </w:rPr>
            </w:pPr>
            <w:r>
              <w:rPr>
                <w:sz w:val="20"/>
              </w:rPr>
              <w:t>0.480</w:t>
            </w:r>
          </w:p>
        </w:tc>
        <w:tc>
          <w:tcPr>
            <w:tcW w:w="1004" w:type="dxa"/>
          </w:tcPr>
          <w:p>
            <w:pPr>
              <w:pStyle w:val="TableParagraph"/>
              <w:spacing w:before="31"/>
              <w:ind w:left="260" w:right="251"/>
              <w:jc w:val="center"/>
              <w:rPr>
                <w:sz w:val="20"/>
              </w:rPr>
            </w:pPr>
            <w:r>
              <w:rPr>
                <w:sz w:val="20"/>
              </w:rPr>
              <w:t>0.681</w:t>
            </w:r>
          </w:p>
        </w:tc>
        <w:tc>
          <w:tcPr>
            <w:tcW w:w="919" w:type="dxa"/>
          </w:tcPr>
          <w:p>
            <w:pPr>
              <w:pStyle w:val="TableParagraph"/>
              <w:spacing w:before="31"/>
              <w:ind w:right="192"/>
              <w:jc w:val="right"/>
              <w:rPr>
                <w:sz w:val="20"/>
              </w:rPr>
            </w:pPr>
            <w:r>
              <w:rPr>
                <w:sz w:val="20"/>
              </w:rPr>
              <w:t>0.685</w:t>
            </w:r>
          </w:p>
        </w:tc>
        <w:tc>
          <w:tcPr>
            <w:tcW w:w="850" w:type="dxa"/>
          </w:tcPr>
          <w:p>
            <w:pPr>
              <w:pStyle w:val="TableParagraph"/>
              <w:spacing w:before="31"/>
              <w:ind w:right="197"/>
              <w:jc w:val="right"/>
              <w:rPr>
                <w:sz w:val="20"/>
              </w:rPr>
            </w:pPr>
            <w:r>
              <w:rPr>
                <w:sz w:val="20"/>
              </w:rPr>
              <w:t>0.661</w:t>
            </w:r>
          </w:p>
        </w:tc>
        <w:tc>
          <w:tcPr>
            <w:tcW w:w="821" w:type="dxa"/>
          </w:tcPr>
          <w:p>
            <w:pPr>
              <w:pStyle w:val="TableParagraph"/>
              <w:spacing w:before="31"/>
              <w:ind w:right="163"/>
              <w:jc w:val="right"/>
              <w:rPr>
                <w:sz w:val="20"/>
              </w:rPr>
            </w:pPr>
            <w:r>
              <w:rPr>
                <w:sz w:val="20"/>
              </w:rPr>
              <w:t>0.688</w:t>
            </w:r>
          </w:p>
        </w:tc>
        <w:tc>
          <w:tcPr>
            <w:tcW w:w="840" w:type="dxa"/>
          </w:tcPr>
          <w:p>
            <w:pPr>
              <w:pStyle w:val="TableParagraph"/>
              <w:spacing w:before="31"/>
              <w:ind w:left="150" w:right="200"/>
              <w:jc w:val="center"/>
              <w:rPr>
                <w:sz w:val="20"/>
              </w:rPr>
            </w:pPr>
            <w:r>
              <w:rPr>
                <w:sz w:val="20"/>
              </w:rPr>
              <w:t>0.758</w:t>
            </w:r>
          </w:p>
        </w:tc>
        <w:tc>
          <w:tcPr>
            <w:tcW w:w="781" w:type="dxa"/>
          </w:tcPr>
          <w:p>
            <w:pPr>
              <w:pStyle w:val="TableParagraph"/>
              <w:spacing w:before="31"/>
              <w:ind w:right="103"/>
              <w:jc w:val="right"/>
              <w:rPr>
                <w:sz w:val="20"/>
              </w:rPr>
            </w:pPr>
            <w:r>
              <w:rPr>
                <w:sz w:val="20"/>
              </w:rPr>
              <w:t>0.66</w:t>
            </w:r>
          </w:p>
        </w:tc>
      </w:tr>
      <w:tr>
        <w:trPr>
          <w:trHeight w:val="231" w:hRule="exact"/>
        </w:trPr>
        <w:tc>
          <w:tcPr>
            <w:tcW w:w="2446" w:type="dxa"/>
          </w:tcPr>
          <w:p>
            <w:pPr>
              <w:pStyle w:val="TableParagraph"/>
              <w:spacing w:before="3"/>
              <w:ind w:left="110" w:right="605"/>
              <w:rPr>
                <w:sz w:val="20"/>
              </w:rPr>
            </w:pPr>
            <w:r>
              <w:rPr>
                <w:sz w:val="20"/>
              </w:rPr>
              <w:t>Ratios (Stearic acid:</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456" w:hRule="exact"/>
        </w:trPr>
        <w:tc>
          <w:tcPr>
            <w:tcW w:w="2446" w:type="dxa"/>
          </w:tcPr>
          <w:p>
            <w:pPr>
              <w:pStyle w:val="TableParagraph"/>
              <w:spacing w:line="228" w:lineRule="exact" w:before="3"/>
              <w:ind w:left="110" w:right="605"/>
              <w:rPr>
                <w:sz w:val="20"/>
              </w:rPr>
            </w:pPr>
            <w:r>
              <w:rPr>
                <w:sz w:val="20"/>
              </w:rPr>
              <w:t>Palmitic acid)</w:t>
            </w:r>
          </w:p>
          <w:p>
            <w:pPr>
              <w:pStyle w:val="TableParagraph"/>
              <w:spacing w:line="228" w:lineRule="exact"/>
              <w:ind w:left="110"/>
              <w:rPr>
                <w:sz w:val="20"/>
              </w:rPr>
            </w:pPr>
            <w:r>
              <w:rPr>
                <w:sz w:val="20"/>
              </w:rPr>
              <w:t>Odd-carbon fatty acids,</w:t>
            </w:r>
          </w:p>
        </w:tc>
        <w:tc>
          <w:tcPr>
            <w:tcW w:w="1074" w:type="dxa"/>
          </w:tcPr>
          <w:p>
            <w:pPr>
              <w:pStyle w:val="TableParagraph"/>
              <w:spacing w:before="3"/>
              <w:ind w:right="276"/>
              <w:jc w:val="right"/>
              <w:rPr>
                <w:sz w:val="20"/>
              </w:rPr>
            </w:pPr>
            <w:r>
              <w:rPr>
                <w:sz w:val="20"/>
              </w:rPr>
              <w:t>6.258</w:t>
            </w:r>
          </w:p>
        </w:tc>
        <w:tc>
          <w:tcPr>
            <w:tcW w:w="1004" w:type="dxa"/>
          </w:tcPr>
          <w:p>
            <w:pPr>
              <w:pStyle w:val="TableParagraph"/>
              <w:spacing w:before="3"/>
              <w:ind w:left="260" w:right="251"/>
              <w:jc w:val="center"/>
              <w:rPr>
                <w:sz w:val="20"/>
              </w:rPr>
            </w:pPr>
            <w:r>
              <w:rPr>
                <w:sz w:val="20"/>
              </w:rPr>
              <w:t>4.933</w:t>
            </w:r>
          </w:p>
        </w:tc>
        <w:tc>
          <w:tcPr>
            <w:tcW w:w="919" w:type="dxa"/>
          </w:tcPr>
          <w:p>
            <w:pPr>
              <w:pStyle w:val="TableParagraph"/>
              <w:spacing w:before="3"/>
              <w:ind w:right="192"/>
              <w:jc w:val="right"/>
              <w:rPr>
                <w:sz w:val="20"/>
              </w:rPr>
            </w:pPr>
            <w:r>
              <w:rPr>
                <w:sz w:val="20"/>
              </w:rPr>
              <w:t>4.027</w:t>
            </w:r>
          </w:p>
        </w:tc>
        <w:tc>
          <w:tcPr>
            <w:tcW w:w="850" w:type="dxa"/>
          </w:tcPr>
          <w:p>
            <w:pPr>
              <w:pStyle w:val="TableParagraph"/>
              <w:spacing w:before="3"/>
              <w:ind w:right="197"/>
              <w:jc w:val="right"/>
              <w:rPr>
                <w:sz w:val="20"/>
              </w:rPr>
            </w:pPr>
            <w:r>
              <w:rPr>
                <w:sz w:val="20"/>
              </w:rPr>
              <w:t>5.202</w:t>
            </w:r>
          </w:p>
        </w:tc>
        <w:tc>
          <w:tcPr>
            <w:tcW w:w="821" w:type="dxa"/>
          </w:tcPr>
          <w:p>
            <w:pPr>
              <w:pStyle w:val="TableParagraph"/>
              <w:spacing w:before="3"/>
              <w:ind w:right="163"/>
              <w:jc w:val="right"/>
              <w:rPr>
                <w:sz w:val="20"/>
              </w:rPr>
            </w:pPr>
            <w:r>
              <w:rPr>
                <w:sz w:val="20"/>
              </w:rPr>
              <w:t>4.753</w:t>
            </w:r>
          </w:p>
        </w:tc>
        <w:tc>
          <w:tcPr>
            <w:tcW w:w="840" w:type="dxa"/>
          </w:tcPr>
          <w:p>
            <w:pPr>
              <w:pStyle w:val="TableParagraph"/>
              <w:spacing w:before="3"/>
              <w:ind w:left="150" w:right="200"/>
              <w:jc w:val="center"/>
              <w:rPr>
                <w:sz w:val="20"/>
              </w:rPr>
            </w:pPr>
            <w:r>
              <w:rPr>
                <w:sz w:val="20"/>
              </w:rPr>
              <w:t>5.746</w:t>
            </w:r>
          </w:p>
        </w:tc>
        <w:tc>
          <w:tcPr>
            <w:tcW w:w="781" w:type="dxa"/>
          </w:tcPr>
          <w:p>
            <w:pPr>
              <w:pStyle w:val="TableParagraph"/>
              <w:spacing w:before="3"/>
              <w:ind w:right="103"/>
              <w:jc w:val="right"/>
              <w:rPr>
                <w:sz w:val="20"/>
              </w:rPr>
            </w:pPr>
            <w:r>
              <w:rPr>
                <w:sz w:val="20"/>
              </w:rPr>
              <w:t>5.15</w:t>
            </w:r>
          </w:p>
        </w:tc>
      </w:tr>
      <w:tr>
        <w:trPr>
          <w:trHeight w:val="230" w:hRule="exact"/>
        </w:trPr>
        <w:tc>
          <w:tcPr>
            <w:tcW w:w="2446" w:type="dxa"/>
          </w:tcPr>
          <w:p>
            <w:pPr>
              <w:pStyle w:val="TableParagraph"/>
              <w:spacing w:before="3"/>
              <w:ind w:left="110"/>
              <w:rPr>
                <w:sz w:val="20"/>
              </w:rPr>
            </w:pPr>
            <w:r>
              <w:rPr>
                <w:w w:val="100"/>
                <w:sz w:val="20"/>
              </w:rPr>
              <w:t>%</w:t>
            </w:r>
          </w:p>
        </w:tc>
        <w:tc>
          <w:tcPr>
            <w:tcW w:w="1074" w:type="dxa"/>
          </w:tcPr>
          <w:p>
            <w:pPr>
              <w:pStyle w:val="TableParagraph"/>
              <w:spacing w:before="3"/>
              <w:ind w:right="276"/>
              <w:jc w:val="right"/>
              <w:rPr>
                <w:sz w:val="20"/>
              </w:rPr>
            </w:pPr>
            <w:r>
              <w:rPr>
                <w:sz w:val="20"/>
              </w:rPr>
              <w:t>1.90</w:t>
            </w:r>
          </w:p>
        </w:tc>
        <w:tc>
          <w:tcPr>
            <w:tcW w:w="1004" w:type="dxa"/>
          </w:tcPr>
          <w:p>
            <w:pPr>
              <w:pStyle w:val="TableParagraph"/>
              <w:spacing w:before="3"/>
              <w:ind w:left="261" w:right="151"/>
              <w:jc w:val="center"/>
              <w:rPr>
                <w:sz w:val="20"/>
              </w:rPr>
            </w:pPr>
            <w:r>
              <w:rPr>
                <w:sz w:val="20"/>
              </w:rPr>
              <w:t>3.78</w:t>
            </w:r>
          </w:p>
        </w:tc>
        <w:tc>
          <w:tcPr>
            <w:tcW w:w="919" w:type="dxa"/>
          </w:tcPr>
          <w:p>
            <w:pPr>
              <w:pStyle w:val="TableParagraph"/>
              <w:spacing w:before="3"/>
              <w:ind w:right="192"/>
              <w:jc w:val="right"/>
              <w:rPr>
                <w:sz w:val="20"/>
              </w:rPr>
            </w:pPr>
            <w:r>
              <w:rPr>
                <w:sz w:val="20"/>
              </w:rPr>
              <w:t>3.56</w:t>
            </w:r>
          </w:p>
        </w:tc>
        <w:tc>
          <w:tcPr>
            <w:tcW w:w="850" w:type="dxa"/>
          </w:tcPr>
          <w:p>
            <w:pPr>
              <w:pStyle w:val="TableParagraph"/>
              <w:spacing w:before="3"/>
              <w:ind w:right="197"/>
              <w:jc w:val="right"/>
              <w:rPr>
                <w:sz w:val="20"/>
              </w:rPr>
            </w:pPr>
            <w:r>
              <w:rPr>
                <w:sz w:val="20"/>
              </w:rPr>
              <w:t>2.68</w:t>
            </w:r>
          </w:p>
        </w:tc>
        <w:tc>
          <w:tcPr>
            <w:tcW w:w="821" w:type="dxa"/>
          </w:tcPr>
          <w:p>
            <w:pPr>
              <w:pStyle w:val="TableParagraph"/>
              <w:spacing w:before="3"/>
              <w:ind w:right="163"/>
              <w:jc w:val="right"/>
              <w:rPr>
                <w:sz w:val="20"/>
              </w:rPr>
            </w:pPr>
            <w:r>
              <w:rPr>
                <w:sz w:val="20"/>
              </w:rPr>
              <w:t>3.37</w:t>
            </w:r>
          </w:p>
        </w:tc>
        <w:tc>
          <w:tcPr>
            <w:tcW w:w="840" w:type="dxa"/>
          </w:tcPr>
          <w:p>
            <w:pPr>
              <w:pStyle w:val="TableParagraph"/>
              <w:spacing w:before="3"/>
              <w:ind w:left="150" w:right="102"/>
              <w:jc w:val="center"/>
              <w:rPr>
                <w:sz w:val="20"/>
              </w:rPr>
            </w:pPr>
            <w:r>
              <w:rPr>
                <w:sz w:val="20"/>
              </w:rPr>
              <w:t>2.50</w:t>
            </w:r>
          </w:p>
        </w:tc>
        <w:tc>
          <w:tcPr>
            <w:tcW w:w="781" w:type="dxa"/>
          </w:tcPr>
          <w:p>
            <w:pPr>
              <w:pStyle w:val="TableParagraph"/>
              <w:spacing w:before="3"/>
              <w:ind w:right="103"/>
              <w:jc w:val="right"/>
              <w:rPr>
                <w:sz w:val="20"/>
              </w:rPr>
            </w:pPr>
            <w:r>
              <w:rPr>
                <w:sz w:val="20"/>
              </w:rPr>
              <w:t>2.96</w:t>
            </w:r>
          </w:p>
        </w:tc>
      </w:tr>
      <w:tr>
        <w:trPr>
          <w:trHeight w:val="230" w:hRule="exact"/>
        </w:trPr>
        <w:tc>
          <w:tcPr>
            <w:tcW w:w="2446" w:type="dxa"/>
          </w:tcPr>
          <w:p>
            <w:pPr>
              <w:pStyle w:val="TableParagraph"/>
              <w:spacing w:before="3"/>
              <w:ind w:left="110"/>
              <w:rPr>
                <w:sz w:val="20"/>
              </w:rPr>
            </w:pPr>
            <w:r>
              <w:rPr>
                <w:sz w:val="20"/>
              </w:rPr>
              <w:t>Even-carbon saturated</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230" w:hRule="exact"/>
        </w:trPr>
        <w:tc>
          <w:tcPr>
            <w:tcW w:w="2446" w:type="dxa"/>
          </w:tcPr>
          <w:p>
            <w:pPr>
              <w:pStyle w:val="TableParagraph"/>
              <w:spacing w:before="3"/>
              <w:ind w:left="110" w:right="605"/>
              <w:rPr>
                <w:sz w:val="20"/>
              </w:rPr>
            </w:pPr>
            <w:r>
              <w:rPr>
                <w:sz w:val="20"/>
              </w:rPr>
              <w:t>fatty acids, %</w:t>
            </w:r>
          </w:p>
        </w:tc>
        <w:tc>
          <w:tcPr>
            <w:tcW w:w="1074" w:type="dxa"/>
          </w:tcPr>
          <w:p>
            <w:pPr>
              <w:pStyle w:val="TableParagraph"/>
              <w:spacing w:before="3"/>
              <w:ind w:right="276"/>
              <w:jc w:val="right"/>
              <w:rPr>
                <w:sz w:val="20"/>
              </w:rPr>
            </w:pPr>
            <w:r>
              <w:rPr>
                <w:sz w:val="20"/>
              </w:rPr>
              <w:t>85.07</w:t>
            </w:r>
          </w:p>
        </w:tc>
        <w:tc>
          <w:tcPr>
            <w:tcW w:w="1004" w:type="dxa"/>
          </w:tcPr>
          <w:p>
            <w:pPr>
              <w:pStyle w:val="TableParagraph"/>
              <w:spacing w:before="3"/>
              <w:ind w:left="260" w:right="251"/>
              <w:jc w:val="center"/>
              <w:rPr>
                <w:sz w:val="20"/>
              </w:rPr>
            </w:pPr>
            <w:r>
              <w:rPr>
                <w:sz w:val="20"/>
              </w:rPr>
              <w:t>81.85</w:t>
            </w:r>
          </w:p>
        </w:tc>
        <w:tc>
          <w:tcPr>
            <w:tcW w:w="919" w:type="dxa"/>
          </w:tcPr>
          <w:p>
            <w:pPr>
              <w:pStyle w:val="TableParagraph"/>
              <w:spacing w:before="3"/>
              <w:ind w:right="192"/>
              <w:jc w:val="right"/>
              <w:rPr>
                <w:sz w:val="20"/>
              </w:rPr>
            </w:pPr>
            <w:r>
              <w:rPr>
                <w:sz w:val="20"/>
              </w:rPr>
              <w:t>82.10</w:t>
            </w:r>
          </w:p>
        </w:tc>
        <w:tc>
          <w:tcPr>
            <w:tcW w:w="850" w:type="dxa"/>
          </w:tcPr>
          <w:p>
            <w:pPr>
              <w:pStyle w:val="TableParagraph"/>
              <w:spacing w:before="3"/>
              <w:ind w:right="197"/>
              <w:jc w:val="right"/>
              <w:rPr>
                <w:sz w:val="20"/>
              </w:rPr>
            </w:pPr>
            <w:r>
              <w:rPr>
                <w:sz w:val="20"/>
              </w:rPr>
              <w:t>83.05</w:t>
            </w:r>
          </w:p>
        </w:tc>
        <w:tc>
          <w:tcPr>
            <w:tcW w:w="821" w:type="dxa"/>
          </w:tcPr>
          <w:p>
            <w:pPr>
              <w:pStyle w:val="TableParagraph"/>
              <w:spacing w:before="3"/>
              <w:ind w:right="163"/>
              <w:jc w:val="right"/>
              <w:rPr>
                <w:sz w:val="20"/>
              </w:rPr>
            </w:pPr>
            <w:r>
              <w:rPr>
                <w:sz w:val="20"/>
              </w:rPr>
              <w:t>82.42</w:t>
            </w:r>
          </w:p>
        </w:tc>
        <w:tc>
          <w:tcPr>
            <w:tcW w:w="840" w:type="dxa"/>
          </w:tcPr>
          <w:p>
            <w:pPr>
              <w:pStyle w:val="TableParagraph"/>
              <w:spacing w:before="3"/>
              <w:ind w:left="150" w:right="200"/>
              <w:jc w:val="center"/>
              <w:rPr>
                <w:sz w:val="20"/>
              </w:rPr>
            </w:pPr>
            <w:r>
              <w:rPr>
                <w:sz w:val="20"/>
              </w:rPr>
              <w:t>81.67</w:t>
            </w:r>
          </w:p>
        </w:tc>
        <w:tc>
          <w:tcPr>
            <w:tcW w:w="781" w:type="dxa"/>
          </w:tcPr>
          <w:p>
            <w:pPr>
              <w:pStyle w:val="TableParagraph"/>
              <w:spacing w:before="3"/>
              <w:ind w:right="104"/>
              <w:jc w:val="right"/>
              <w:rPr>
                <w:sz w:val="20"/>
              </w:rPr>
            </w:pPr>
            <w:r>
              <w:rPr>
                <w:sz w:val="20"/>
              </w:rPr>
              <w:t>82.69</w:t>
            </w:r>
          </w:p>
        </w:tc>
      </w:tr>
      <w:tr>
        <w:trPr>
          <w:trHeight w:val="230" w:hRule="exact"/>
        </w:trPr>
        <w:tc>
          <w:tcPr>
            <w:tcW w:w="2446" w:type="dxa"/>
          </w:tcPr>
          <w:p>
            <w:pPr>
              <w:pStyle w:val="TableParagraph"/>
              <w:spacing w:before="3"/>
              <w:ind w:left="110"/>
              <w:rPr>
                <w:sz w:val="20"/>
              </w:rPr>
            </w:pPr>
            <w:r>
              <w:rPr>
                <w:sz w:val="20"/>
              </w:rPr>
              <w:t>Even-carbon unsaturated</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231" w:hRule="exact"/>
        </w:trPr>
        <w:tc>
          <w:tcPr>
            <w:tcW w:w="2446" w:type="dxa"/>
          </w:tcPr>
          <w:p>
            <w:pPr>
              <w:pStyle w:val="TableParagraph"/>
              <w:spacing w:before="3"/>
              <w:ind w:left="110" w:right="605"/>
              <w:rPr>
                <w:sz w:val="20"/>
              </w:rPr>
            </w:pPr>
            <w:r>
              <w:rPr>
                <w:sz w:val="20"/>
              </w:rPr>
              <w:t>fatty acids, %</w:t>
            </w:r>
          </w:p>
        </w:tc>
        <w:tc>
          <w:tcPr>
            <w:tcW w:w="1074" w:type="dxa"/>
          </w:tcPr>
          <w:p>
            <w:pPr>
              <w:pStyle w:val="TableParagraph"/>
              <w:spacing w:before="3"/>
              <w:ind w:right="276"/>
              <w:jc w:val="right"/>
              <w:rPr>
                <w:sz w:val="20"/>
              </w:rPr>
            </w:pPr>
            <w:r>
              <w:rPr>
                <w:sz w:val="20"/>
              </w:rPr>
              <w:t>13.04</w:t>
            </w:r>
          </w:p>
        </w:tc>
        <w:tc>
          <w:tcPr>
            <w:tcW w:w="1004" w:type="dxa"/>
          </w:tcPr>
          <w:p>
            <w:pPr>
              <w:pStyle w:val="TableParagraph"/>
              <w:spacing w:before="3"/>
              <w:ind w:left="260" w:right="251"/>
              <w:jc w:val="center"/>
              <w:rPr>
                <w:sz w:val="20"/>
              </w:rPr>
            </w:pPr>
            <w:r>
              <w:rPr>
                <w:sz w:val="20"/>
              </w:rPr>
              <w:t>14.38</w:t>
            </w:r>
          </w:p>
        </w:tc>
        <w:tc>
          <w:tcPr>
            <w:tcW w:w="919" w:type="dxa"/>
          </w:tcPr>
          <w:p>
            <w:pPr>
              <w:pStyle w:val="TableParagraph"/>
              <w:spacing w:before="3"/>
              <w:ind w:right="192"/>
              <w:jc w:val="right"/>
              <w:rPr>
                <w:sz w:val="20"/>
              </w:rPr>
            </w:pPr>
            <w:r>
              <w:rPr>
                <w:sz w:val="20"/>
              </w:rPr>
              <w:t>14.34</w:t>
            </w:r>
          </w:p>
        </w:tc>
        <w:tc>
          <w:tcPr>
            <w:tcW w:w="850" w:type="dxa"/>
          </w:tcPr>
          <w:p>
            <w:pPr>
              <w:pStyle w:val="TableParagraph"/>
              <w:spacing w:before="3"/>
              <w:ind w:right="197"/>
              <w:jc w:val="right"/>
              <w:rPr>
                <w:sz w:val="20"/>
              </w:rPr>
            </w:pPr>
            <w:r>
              <w:rPr>
                <w:sz w:val="20"/>
              </w:rPr>
              <w:t>14.28</w:t>
            </w:r>
          </w:p>
        </w:tc>
        <w:tc>
          <w:tcPr>
            <w:tcW w:w="821" w:type="dxa"/>
          </w:tcPr>
          <w:p>
            <w:pPr>
              <w:pStyle w:val="TableParagraph"/>
              <w:spacing w:before="3"/>
              <w:ind w:right="163"/>
              <w:jc w:val="right"/>
              <w:rPr>
                <w:sz w:val="20"/>
              </w:rPr>
            </w:pPr>
            <w:r>
              <w:rPr>
                <w:sz w:val="20"/>
              </w:rPr>
              <w:t>14.21</w:t>
            </w:r>
          </w:p>
        </w:tc>
        <w:tc>
          <w:tcPr>
            <w:tcW w:w="840" w:type="dxa"/>
          </w:tcPr>
          <w:p>
            <w:pPr>
              <w:pStyle w:val="TableParagraph"/>
              <w:spacing w:before="3"/>
              <w:ind w:left="150" w:right="200"/>
              <w:jc w:val="center"/>
              <w:rPr>
                <w:sz w:val="20"/>
              </w:rPr>
            </w:pPr>
            <w:r>
              <w:rPr>
                <w:sz w:val="20"/>
              </w:rPr>
              <w:t>15.83</w:t>
            </w:r>
          </w:p>
        </w:tc>
        <w:tc>
          <w:tcPr>
            <w:tcW w:w="781" w:type="dxa"/>
          </w:tcPr>
          <w:p>
            <w:pPr>
              <w:pStyle w:val="TableParagraph"/>
              <w:spacing w:before="3"/>
              <w:ind w:right="104"/>
              <w:jc w:val="right"/>
              <w:rPr>
                <w:sz w:val="20"/>
              </w:rPr>
            </w:pPr>
            <w:r>
              <w:rPr>
                <w:sz w:val="20"/>
              </w:rPr>
              <w:t>14.34</w:t>
            </w:r>
          </w:p>
        </w:tc>
      </w:tr>
      <w:tr>
        <w:trPr>
          <w:trHeight w:val="231" w:hRule="exact"/>
        </w:trPr>
        <w:tc>
          <w:tcPr>
            <w:tcW w:w="2446" w:type="dxa"/>
          </w:tcPr>
          <w:p>
            <w:pPr>
              <w:pStyle w:val="TableParagraph"/>
              <w:spacing w:before="3"/>
              <w:ind w:left="110"/>
              <w:rPr>
                <w:sz w:val="20"/>
              </w:rPr>
            </w:pPr>
            <w:r>
              <w:rPr>
                <w:sz w:val="20"/>
              </w:rPr>
              <w:t>Saturated/unsaturated</w:t>
            </w:r>
          </w:p>
        </w:tc>
        <w:tc>
          <w:tcPr>
            <w:tcW w:w="1074" w:type="dxa"/>
          </w:tcPr>
          <w:p>
            <w:pPr/>
          </w:p>
        </w:tc>
        <w:tc>
          <w:tcPr>
            <w:tcW w:w="1004" w:type="dxa"/>
          </w:tcPr>
          <w:p>
            <w:pPr/>
          </w:p>
        </w:tc>
        <w:tc>
          <w:tcPr>
            <w:tcW w:w="919" w:type="dxa"/>
          </w:tcPr>
          <w:p>
            <w:pPr/>
          </w:p>
        </w:tc>
        <w:tc>
          <w:tcPr>
            <w:tcW w:w="850" w:type="dxa"/>
          </w:tcPr>
          <w:p>
            <w:pPr/>
          </w:p>
        </w:tc>
        <w:tc>
          <w:tcPr>
            <w:tcW w:w="821" w:type="dxa"/>
          </w:tcPr>
          <w:p>
            <w:pPr/>
          </w:p>
        </w:tc>
        <w:tc>
          <w:tcPr>
            <w:tcW w:w="840" w:type="dxa"/>
          </w:tcPr>
          <w:p>
            <w:pPr/>
          </w:p>
        </w:tc>
        <w:tc>
          <w:tcPr>
            <w:tcW w:w="781" w:type="dxa"/>
          </w:tcPr>
          <w:p>
            <w:pPr/>
          </w:p>
        </w:tc>
      </w:tr>
      <w:tr>
        <w:trPr>
          <w:trHeight w:val="244" w:hRule="exact"/>
        </w:trPr>
        <w:tc>
          <w:tcPr>
            <w:tcW w:w="2446" w:type="dxa"/>
            <w:tcBorders>
              <w:bottom w:val="single" w:sz="12" w:space="0" w:color="000000"/>
            </w:tcBorders>
          </w:tcPr>
          <w:p>
            <w:pPr>
              <w:pStyle w:val="TableParagraph"/>
              <w:spacing w:before="3"/>
              <w:ind w:left="110" w:right="605"/>
              <w:rPr>
                <w:sz w:val="20"/>
              </w:rPr>
            </w:pPr>
            <w:r>
              <w:rPr>
                <w:sz w:val="20"/>
              </w:rPr>
              <w:t>fatty acids</w:t>
            </w:r>
          </w:p>
        </w:tc>
        <w:tc>
          <w:tcPr>
            <w:tcW w:w="1074" w:type="dxa"/>
            <w:tcBorders>
              <w:bottom w:val="single" w:sz="12" w:space="0" w:color="000000"/>
            </w:tcBorders>
          </w:tcPr>
          <w:p>
            <w:pPr>
              <w:pStyle w:val="TableParagraph"/>
              <w:spacing w:before="3"/>
              <w:ind w:right="276"/>
              <w:jc w:val="right"/>
              <w:rPr>
                <w:sz w:val="20"/>
              </w:rPr>
            </w:pPr>
            <w:r>
              <w:rPr>
                <w:sz w:val="20"/>
              </w:rPr>
              <w:t>6.29</w:t>
            </w:r>
          </w:p>
        </w:tc>
        <w:tc>
          <w:tcPr>
            <w:tcW w:w="1004" w:type="dxa"/>
            <w:tcBorders>
              <w:bottom w:val="single" w:sz="12" w:space="0" w:color="000000"/>
            </w:tcBorders>
          </w:tcPr>
          <w:p>
            <w:pPr>
              <w:pStyle w:val="TableParagraph"/>
              <w:spacing w:before="3"/>
              <w:ind w:left="261" w:right="151"/>
              <w:jc w:val="center"/>
              <w:rPr>
                <w:sz w:val="20"/>
              </w:rPr>
            </w:pPr>
            <w:r>
              <w:rPr>
                <w:sz w:val="20"/>
              </w:rPr>
              <w:t>5.58</w:t>
            </w:r>
          </w:p>
        </w:tc>
        <w:tc>
          <w:tcPr>
            <w:tcW w:w="919" w:type="dxa"/>
            <w:tcBorders>
              <w:bottom w:val="single" w:sz="12" w:space="0" w:color="000000"/>
            </w:tcBorders>
          </w:tcPr>
          <w:p>
            <w:pPr>
              <w:pStyle w:val="TableParagraph"/>
              <w:spacing w:before="3"/>
              <w:ind w:right="192"/>
              <w:jc w:val="right"/>
              <w:rPr>
                <w:sz w:val="20"/>
              </w:rPr>
            </w:pPr>
            <w:r>
              <w:rPr>
                <w:sz w:val="20"/>
              </w:rPr>
              <w:t>5.60</w:t>
            </w:r>
          </w:p>
        </w:tc>
        <w:tc>
          <w:tcPr>
            <w:tcW w:w="850" w:type="dxa"/>
            <w:tcBorders>
              <w:bottom w:val="single" w:sz="12" w:space="0" w:color="000000"/>
            </w:tcBorders>
          </w:tcPr>
          <w:p>
            <w:pPr>
              <w:pStyle w:val="TableParagraph"/>
              <w:spacing w:before="3"/>
              <w:ind w:right="197"/>
              <w:jc w:val="right"/>
              <w:rPr>
                <w:sz w:val="20"/>
              </w:rPr>
            </w:pPr>
            <w:r>
              <w:rPr>
                <w:sz w:val="20"/>
              </w:rPr>
              <w:t>5.78</w:t>
            </w:r>
          </w:p>
        </w:tc>
        <w:tc>
          <w:tcPr>
            <w:tcW w:w="821" w:type="dxa"/>
            <w:tcBorders>
              <w:bottom w:val="single" w:sz="12" w:space="0" w:color="000000"/>
            </w:tcBorders>
          </w:tcPr>
          <w:p>
            <w:pPr>
              <w:pStyle w:val="TableParagraph"/>
              <w:spacing w:before="3"/>
              <w:ind w:right="163"/>
              <w:jc w:val="right"/>
              <w:rPr>
                <w:sz w:val="20"/>
              </w:rPr>
            </w:pPr>
            <w:r>
              <w:rPr>
                <w:sz w:val="20"/>
              </w:rPr>
              <w:t>5.67</w:t>
            </w:r>
          </w:p>
        </w:tc>
        <w:tc>
          <w:tcPr>
            <w:tcW w:w="840" w:type="dxa"/>
            <w:tcBorders>
              <w:bottom w:val="single" w:sz="12" w:space="0" w:color="000000"/>
            </w:tcBorders>
          </w:tcPr>
          <w:p>
            <w:pPr>
              <w:pStyle w:val="TableParagraph"/>
              <w:spacing w:before="3"/>
              <w:ind w:left="150" w:right="102"/>
              <w:jc w:val="center"/>
              <w:rPr>
                <w:sz w:val="20"/>
              </w:rPr>
            </w:pPr>
            <w:r>
              <w:rPr>
                <w:sz w:val="20"/>
              </w:rPr>
              <w:t>5.09</w:t>
            </w:r>
          </w:p>
        </w:tc>
        <w:tc>
          <w:tcPr>
            <w:tcW w:w="781" w:type="dxa"/>
            <w:tcBorders>
              <w:bottom w:val="single" w:sz="12" w:space="0" w:color="000000"/>
            </w:tcBorders>
          </w:tcPr>
          <w:p>
            <w:pPr>
              <w:pStyle w:val="TableParagraph"/>
              <w:spacing w:before="3"/>
              <w:ind w:right="103"/>
              <w:jc w:val="right"/>
              <w:rPr>
                <w:sz w:val="20"/>
              </w:rPr>
            </w:pPr>
            <w:r>
              <w:rPr>
                <w:sz w:val="20"/>
              </w:rPr>
              <w:t>5.65</w:t>
            </w:r>
          </w:p>
        </w:tc>
      </w:tr>
    </w:tbl>
    <w:p>
      <w:pPr>
        <w:spacing w:line="220" w:lineRule="exact" w:before="0"/>
        <w:ind w:left="259" w:right="0" w:firstLine="0"/>
        <w:jc w:val="left"/>
        <w:rPr>
          <w:rFonts w:ascii="Times New Roman"/>
          <w:sz w:val="20"/>
        </w:rPr>
      </w:pPr>
      <w:r>
        <w:rPr>
          <w:rFonts w:ascii="Times New Roman"/>
          <w:i/>
          <w:position w:val="7"/>
          <w:sz w:val="13"/>
        </w:rPr>
        <w:t>a   </w:t>
      </w:r>
      <w:r>
        <w:rPr>
          <w:rFonts w:ascii="Times New Roman"/>
          <w:sz w:val="20"/>
        </w:rPr>
        <w:t>Internal  peak  area  values,  IPA(%),  means  the  relative  proportion  (%)  of  different  fatty  acids  in   the</w:t>
      </w:r>
    </w:p>
    <w:p>
      <w:pPr>
        <w:spacing w:before="0"/>
        <w:ind w:left="259" w:right="0" w:firstLine="0"/>
        <w:jc w:val="left"/>
        <w:rPr>
          <w:rFonts w:ascii="Times New Roman"/>
          <w:sz w:val="20"/>
        </w:rPr>
      </w:pPr>
      <w:r>
        <w:rPr>
          <w:rFonts w:ascii="Times New Roman"/>
          <w:sz w:val="20"/>
        </w:rPr>
        <w:t>corresponding individual sample.</w:t>
      </w:r>
    </w:p>
    <w:p>
      <w:pPr>
        <w:spacing w:after="0"/>
        <w:jc w:val="left"/>
        <w:rPr>
          <w:rFonts w:ascii="Times New Roman"/>
          <w:sz w:val="20"/>
        </w:rPr>
        <w:sectPr>
          <w:pgSz w:w="12240" w:h="15840"/>
          <w:pgMar w:header="684" w:footer="1184" w:top="1380" w:bottom="1380" w:left="1440" w:right="1460"/>
        </w:sectPr>
      </w:pPr>
    </w:p>
    <w:p>
      <w:pPr>
        <w:pStyle w:val="BodyText"/>
        <w:rPr>
          <w:rFonts w:ascii="Times New Roman"/>
          <w:sz w:val="3"/>
        </w:rPr>
      </w:pPr>
    </w:p>
    <w:p>
      <w:pPr>
        <w:pStyle w:val="BodyText"/>
        <w:spacing w:line="20" w:lineRule="exact"/>
        <w:ind w:left="113"/>
        <w:rPr>
          <w:rFonts w:ascii="Times New Roman"/>
          <w:sz w:val="2"/>
        </w:rPr>
      </w:pPr>
      <w:r>
        <w:rPr>
          <w:rFonts w:ascii="Times New Roman"/>
          <w:sz w:val="2"/>
        </w:rPr>
        <w:pict>
          <v:group style="width:4.8pt;height:.5pt;mso-position-horizontal-relative:char;mso-position-vertical-relative:line" coordorigin="0,0" coordsize="96,10">
            <v:line style="position:absolute" from="5,5" to="90,5" stroked="true" strokeweight=".48pt" strokecolor="#000000">
              <v:stroke dashstyle="dash"/>
            </v:line>
          </v:group>
        </w:pict>
      </w:r>
      <w:r>
        <w:rPr>
          <w:rFonts w:ascii="Times New Roman"/>
          <w:sz w:val="2"/>
        </w:rPr>
      </w:r>
    </w:p>
    <w:p>
      <w:pPr>
        <w:pStyle w:val="BodyText"/>
        <w:spacing w:before="5"/>
        <w:rPr>
          <w:rFonts w:ascii="Times New Roman"/>
          <w:sz w:val="10"/>
        </w:rPr>
      </w:pPr>
    </w:p>
    <w:p>
      <w:pPr>
        <w:pStyle w:val="BodyText"/>
        <w:spacing w:line="269" w:lineRule="exact" w:before="69"/>
        <w:ind w:left="858" w:right="251"/>
        <w:jc w:val="center"/>
        <w:rPr>
          <w:rFonts w:ascii="Times New Roman"/>
        </w:rPr>
      </w:pPr>
      <w:r>
        <w:rPr>
          <w:rFonts w:ascii="Times New Roman"/>
          <w:b/>
        </w:rPr>
        <w:t>Table 4</w:t>
      </w:r>
      <w:r>
        <w:rPr>
          <w:rFonts w:ascii="Times New Roman"/>
        </w:rPr>
        <w:t>. Internal peak area values, IPA(%), of volatile fatty acids (VFAs) in media fraction</w:t>
      </w:r>
    </w:p>
    <w:p>
      <w:pPr>
        <w:spacing w:line="177" w:lineRule="exact" w:before="0"/>
        <w:ind w:left="617" w:right="0" w:firstLine="0"/>
        <w:jc w:val="center"/>
        <w:rPr>
          <w:rFonts w:ascii="Times New Roman"/>
          <w:i/>
          <w:sz w:val="16"/>
        </w:rPr>
      </w:pPr>
      <w:r>
        <w:rPr/>
        <w:pict>
          <v:group style="position:absolute;margin-left:91.483002pt;margin-top:14.551517pt;width:429.1pt;height:1.45pt;mso-position-horizontal-relative:page;mso-position-vertical-relative:paragraph;z-index:4936;mso-wrap-distance-left:0;mso-wrap-distance-right:0" coordorigin="1830,291" coordsize="8582,29">
            <v:line style="position:absolute" from="1844,306" to="3688,306" stroked="true" strokeweight="1.44pt" strokecolor="#000000"/>
            <v:line style="position:absolute" from="3688,306" to="3717,306" stroked="true" strokeweight="1.44pt" strokecolor="#000000"/>
            <v:line style="position:absolute" from="3717,306" to="9503,306" stroked="true" strokeweight="1.44pt" strokecolor="#000000"/>
            <v:line style="position:absolute" from="9503,306" to="9532,306" stroked="true" strokeweight="1.44pt" strokecolor="#000000"/>
            <v:line style="position:absolute" from="9532,306" to="10396,306" stroked="true" strokeweight="1.44pt" strokecolor="#000000"/>
            <w10:wrap type="topAndBottom"/>
          </v:group>
        </w:pict>
      </w:r>
      <w:r>
        <w:rPr>
          <w:rFonts w:ascii="Times New Roman"/>
          <w:i/>
          <w:w w:val="99"/>
          <w:sz w:val="16"/>
        </w:rPr>
        <w:t>a</w:t>
      </w:r>
    </w:p>
    <w:p>
      <w:pPr>
        <w:spacing w:line="159" w:lineRule="exact" w:before="0"/>
        <w:ind w:left="3083" w:right="0" w:firstLine="0"/>
        <w:jc w:val="left"/>
        <w:rPr>
          <w:rFonts w:ascii="Times New Roman" w:hAnsi="Times New Roman"/>
          <w:sz w:val="20"/>
        </w:rPr>
      </w:pPr>
      <w:r>
        <w:rPr>
          <w:rFonts w:ascii="Times New Roman" w:hAnsi="Times New Roman"/>
          <w:sz w:val="20"/>
        </w:rPr>
        <w:t>IPA (%) values of VFAs within exogenous ω-6/ω-3 LCFAs Ratios</w:t>
      </w:r>
    </w:p>
    <w:p>
      <w:pPr>
        <w:spacing w:after="0" w:line="159" w:lineRule="exact"/>
        <w:jc w:val="left"/>
        <w:rPr>
          <w:rFonts w:ascii="Times New Roman" w:hAnsi="Times New Roman"/>
          <w:sz w:val="20"/>
        </w:rPr>
        <w:sectPr>
          <w:pgSz w:w="12240" w:h="15840"/>
          <w:pgMar w:header="684" w:footer="1184" w:top="1380" w:bottom="1380" w:left="840" w:right="1460"/>
        </w:sectPr>
      </w:pPr>
    </w:p>
    <w:p>
      <w:pPr>
        <w:spacing w:before="153"/>
        <w:ind w:left="0" w:right="0" w:firstLine="0"/>
        <w:jc w:val="right"/>
        <w:rPr>
          <w:rFonts w:ascii="Times New Roman"/>
          <w:sz w:val="20"/>
        </w:rPr>
      </w:pPr>
      <w:r>
        <w:rPr>
          <w:rFonts w:ascii="Times New Roman"/>
          <w:sz w:val="20"/>
        </w:rPr>
        <w:t>Items</w:t>
      </w:r>
    </w:p>
    <w:p>
      <w:pPr>
        <w:spacing w:before="143"/>
        <w:ind w:left="1114" w:right="-18" w:firstLine="0"/>
        <w:jc w:val="left"/>
        <w:rPr>
          <w:rFonts w:ascii="Times New Roman"/>
          <w:i/>
          <w:sz w:val="13"/>
        </w:rPr>
      </w:pPr>
      <w:r>
        <w:rPr/>
        <w:br w:type="column"/>
      </w:r>
      <w:r>
        <w:rPr>
          <w:rFonts w:ascii="Times New Roman"/>
          <w:sz w:val="20"/>
        </w:rPr>
        <w:t>supplementation </w:t>
      </w:r>
      <w:r>
        <w:rPr>
          <w:rFonts w:ascii="Times New Roman"/>
          <w:i/>
          <w:position w:val="7"/>
          <w:sz w:val="13"/>
        </w:rPr>
        <w:t>b</w:t>
      </w:r>
    </w:p>
    <w:p>
      <w:pPr>
        <w:spacing w:line="205" w:lineRule="exact" w:before="0"/>
        <w:ind w:left="1114" w:right="0" w:firstLine="0"/>
        <w:jc w:val="left"/>
        <w:rPr>
          <w:rFonts w:ascii="Times New Roman"/>
          <w:sz w:val="20"/>
        </w:rPr>
      </w:pPr>
      <w:r>
        <w:rPr/>
        <w:br w:type="column"/>
      </w:r>
      <w:r>
        <w:rPr>
          <w:rFonts w:ascii="Times New Roman"/>
          <w:sz w:val="20"/>
        </w:rPr>
        <w:t>Average</w:t>
      </w:r>
    </w:p>
    <w:p>
      <w:pPr>
        <w:spacing w:after="0" w:line="205" w:lineRule="exact"/>
        <w:jc w:val="left"/>
        <w:rPr>
          <w:rFonts w:ascii="Times New Roman"/>
          <w:sz w:val="20"/>
        </w:rPr>
        <w:sectPr>
          <w:type w:val="continuous"/>
          <w:pgSz w:w="12240" w:h="15840"/>
          <w:pgMar w:top="3080" w:bottom="2780" w:left="840" w:right="1460"/>
          <w:cols w:num="3" w:equalWidth="0">
            <w:col w:w="1563" w:space="2360"/>
            <w:col w:w="2553" w:space="1183"/>
            <w:col w:w="2281"/>
          </w:cols>
        </w:sectPr>
      </w:pPr>
    </w:p>
    <w:p>
      <w:pPr>
        <w:pStyle w:val="BodyText"/>
        <w:spacing w:before="8"/>
        <w:rPr>
          <w:rFonts w:ascii="Times New Roman"/>
          <w:sz w:val="9"/>
        </w:rPr>
      </w:pPr>
    </w:p>
    <w:tbl>
      <w:tblPr>
        <w:tblW w:w="0" w:type="auto"/>
        <w:jc w:val="left"/>
        <w:tblInd w:w="10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4"/>
        <w:gridCol w:w="937"/>
        <w:gridCol w:w="996"/>
        <w:gridCol w:w="1032"/>
        <w:gridCol w:w="1047"/>
        <w:gridCol w:w="970"/>
        <w:gridCol w:w="833"/>
        <w:gridCol w:w="893"/>
      </w:tblGrid>
      <w:tr>
        <w:trPr>
          <w:trHeight w:val="355" w:hRule="exact"/>
        </w:trPr>
        <w:tc>
          <w:tcPr>
            <w:tcW w:w="1844" w:type="dxa"/>
            <w:tcBorders>
              <w:bottom w:val="single" w:sz="4" w:space="0" w:color="000000"/>
            </w:tcBorders>
          </w:tcPr>
          <w:p>
            <w:pPr/>
          </w:p>
        </w:tc>
        <w:tc>
          <w:tcPr>
            <w:tcW w:w="937" w:type="dxa"/>
            <w:tcBorders>
              <w:top w:val="dotted" w:sz="4" w:space="0" w:color="000000"/>
              <w:bottom w:val="single" w:sz="4" w:space="0" w:color="000000"/>
            </w:tcBorders>
          </w:tcPr>
          <w:p>
            <w:pPr>
              <w:pStyle w:val="TableParagraph"/>
              <w:spacing w:before="4"/>
              <w:ind w:right="300"/>
              <w:jc w:val="right"/>
              <w:rPr>
                <w:sz w:val="20"/>
              </w:rPr>
            </w:pPr>
            <w:r>
              <w:rPr>
                <w:sz w:val="20"/>
              </w:rPr>
              <w:t>100-0</w:t>
            </w:r>
          </w:p>
        </w:tc>
        <w:tc>
          <w:tcPr>
            <w:tcW w:w="996" w:type="dxa"/>
            <w:tcBorders>
              <w:top w:val="dotted" w:sz="4" w:space="0" w:color="000000"/>
              <w:bottom w:val="single" w:sz="4" w:space="0" w:color="000000"/>
            </w:tcBorders>
          </w:tcPr>
          <w:p>
            <w:pPr>
              <w:pStyle w:val="TableParagraph"/>
              <w:spacing w:before="4"/>
              <w:ind w:right="221"/>
              <w:jc w:val="right"/>
              <w:rPr>
                <w:sz w:val="20"/>
              </w:rPr>
            </w:pPr>
            <w:r>
              <w:rPr>
                <w:sz w:val="20"/>
              </w:rPr>
              <w:t>90-10</w:t>
            </w:r>
          </w:p>
        </w:tc>
        <w:tc>
          <w:tcPr>
            <w:tcW w:w="1032" w:type="dxa"/>
            <w:tcBorders>
              <w:top w:val="dotted" w:sz="4" w:space="0" w:color="000000"/>
              <w:bottom w:val="single" w:sz="4" w:space="0" w:color="000000"/>
            </w:tcBorders>
          </w:tcPr>
          <w:p>
            <w:pPr>
              <w:pStyle w:val="TableParagraph"/>
              <w:spacing w:before="4"/>
              <w:ind w:right="336"/>
              <w:jc w:val="right"/>
              <w:rPr>
                <w:sz w:val="20"/>
              </w:rPr>
            </w:pPr>
            <w:r>
              <w:rPr>
                <w:sz w:val="20"/>
              </w:rPr>
              <w:t>80-20</w:t>
            </w:r>
          </w:p>
        </w:tc>
        <w:tc>
          <w:tcPr>
            <w:tcW w:w="1047" w:type="dxa"/>
            <w:tcBorders>
              <w:top w:val="dotted" w:sz="4" w:space="0" w:color="000000"/>
              <w:bottom w:val="single" w:sz="4" w:space="0" w:color="000000"/>
            </w:tcBorders>
          </w:tcPr>
          <w:p>
            <w:pPr>
              <w:pStyle w:val="TableParagraph"/>
              <w:spacing w:before="4"/>
              <w:ind w:right="235"/>
              <w:jc w:val="right"/>
              <w:rPr>
                <w:sz w:val="20"/>
              </w:rPr>
            </w:pPr>
            <w:r>
              <w:rPr>
                <w:sz w:val="20"/>
              </w:rPr>
              <w:t>66-33</w:t>
            </w:r>
          </w:p>
        </w:tc>
        <w:tc>
          <w:tcPr>
            <w:tcW w:w="970" w:type="dxa"/>
            <w:tcBorders>
              <w:top w:val="dotted" w:sz="4" w:space="0" w:color="000000"/>
              <w:bottom w:val="single" w:sz="4" w:space="0" w:color="000000"/>
            </w:tcBorders>
          </w:tcPr>
          <w:p>
            <w:pPr>
              <w:pStyle w:val="TableParagraph"/>
              <w:spacing w:before="4"/>
              <w:ind w:left="221" w:right="242"/>
              <w:jc w:val="center"/>
              <w:rPr>
                <w:sz w:val="20"/>
              </w:rPr>
            </w:pPr>
            <w:r>
              <w:rPr>
                <w:sz w:val="20"/>
              </w:rPr>
              <w:t>50-50</w:t>
            </w:r>
          </w:p>
        </w:tc>
        <w:tc>
          <w:tcPr>
            <w:tcW w:w="833" w:type="dxa"/>
            <w:tcBorders>
              <w:top w:val="dotted" w:sz="4" w:space="0" w:color="000000"/>
              <w:bottom w:val="single" w:sz="4" w:space="0" w:color="000000"/>
            </w:tcBorders>
          </w:tcPr>
          <w:p>
            <w:pPr>
              <w:pStyle w:val="TableParagraph"/>
              <w:spacing w:before="4"/>
              <w:ind w:right="98"/>
              <w:jc w:val="right"/>
              <w:rPr>
                <w:sz w:val="20"/>
              </w:rPr>
            </w:pPr>
            <w:r>
              <w:rPr>
                <w:sz w:val="20"/>
              </w:rPr>
              <w:t>20-80</w:t>
            </w:r>
          </w:p>
        </w:tc>
        <w:tc>
          <w:tcPr>
            <w:tcW w:w="893" w:type="dxa"/>
            <w:tcBorders>
              <w:bottom w:val="single" w:sz="4" w:space="0" w:color="000000"/>
            </w:tcBorders>
          </w:tcPr>
          <w:p>
            <w:pPr/>
          </w:p>
        </w:tc>
      </w:tr>
      <w:tr>
        <w:trPr>
          <w:trHeight w:val="294" w:hRule="exact"/>
        </w:trPr>
        <w:tc>
          <w:tcPr>
            <w:tcW w:w="1844" w:type="dxa"/>
            <w:tcBorders>
              <w:top w:val="single" w:sz="4" w:space="0" w:color="000000"/>
            </w:tcBorders>
          </w:tcPr>
          <w:p>
            <w:pPr>
              <w:pStyle w:val="TableParagraph"/>
              <w:spacing w:before="4"/>
              <w:ind w:left="110"/>
              <w:rPr>
                <w:sz w:val="20"/>
              </w:rPr>
            </w:pPr>
            <w:r>
              <w:rPr>
                <w:sz w:val="20"/>
              </w:rPr>
              <w:t>Acetic acid</w:t>
            </w:r>
          </w:p>
        </w:tc>
        <w:tc>
          <w:tcPr>
            <w:tcW w:w="937" w:type="dxa"/>
            <w:tcBorders>
              <w:top w:val="single" w:sz="4" w:space="0" w:color="000000"/>
            </w:tcBorders>
          </w:tcPr>
          <w:p>
            <w:pPr>
              <w:pStyle w:val="TableParagraph"/>
              <w:spacing w:before="4"/>
              <w:ind w:right="301"/>
              <w:jc w:val="right"/>
              <w:rPr>
                <w:sz w:val="20"/>
              </w:rPr>
            </w:pPr>
            <w:r>
              <w:rPr>
                <w:sz w:val="20"/>
              </w:rPr>
              <w:t>44.72</w:t>
            </w:r>
          </w:p>
        </w:tc>
        <w:tc>
          <w:tcPr>
            <w:tcW w:w="996" w:type="dxa"/>
            <w:tcBorders>
              <w:top w:val="single" w:sz="4" w:space="0" w:color="000000"/>
            </w:tcBorders>
          </w:tcPr>
          <w:p>
            <w:pPr>
              <w:pStyle w:val="TableParagraph"/>
              <w:spacing w:before="4"/>
              <w:ind w:right="221"/>
              <w:jc w:val="right"/>
              <w:rPr>
                <w:sz w:val="20"/>
              </w:rPr>
            </w:pPr>
            <w:r>
              <w:rPr>
                <w:sz w:val="20"/>
              </w:rPr>
              <w:t>43.86</w:t>
            </w:r>
          </w:p>
        </w:tc>
        <w:tc>
          <w:tcPr>
            <w:tcW w:w="1032" w:type="dxa"/>
            <w:tcBorders>
              <w:top w:val="single" w:sz="4" w:space="0" w:color="000000"/>
            </w:tcBorders>
          </w:tcPr>
          <w:p>
            <w:pPr>
              <w:pStyle w:val="TableParagraph"/>
              <w:spacing w:before="4"/>
              <w:ind w:right="336"/>
              <w:jc w:val="right"/>
              <w:rPr>
                <w:sz w:val="20"/>
              </w:rPr>
            </w:pPr>
            <w:r>
              <w:rPr>
                <w:sz w:val="20"/>
              </w:rPr>
              <w:t>43.61</w:t>
            </w:r>
          </w:p>
        </w:tc>
        <w:tc>
          <w:tcPr>
            <w:tcW w:w="1047" w:type="dxa"/>
            <w:tcBorders>
              <w:top w:val="single" w:sz="4" w:space="0" w:color="000000"/>
            </w:tcBorders>
          </w:tcPr>
          <w:p>
            <w:pPr>
              <w:pStyle w:val="TableParagraph"/>
              <w:spacing w:before="4"/>
              <w:ind w:right="236"/>
              <w:jc w:val="right"/>
              <w:rPr>
                <w:sz w:val="20"/>
              </w:rPr>
            </w:pPr>
            <w:r>
              <w:rPr>
                <w:sz w:val="20"/>
              </w:rPr>
              <w:t>43.62</w:t>
            </w:r>
          </w:p>
        </w:tc>
        <w:tc>
          <w:tcPr>
            <w:tcW w:w="970" w:type="dxa"/>
            <w:tcBorders>
              <w:top w:val="single" w:sz="4" w:space="0" w:color="000000"/>
            </w:tcBorders>
          </w:tcPr>
          <w:p>
            <w:pPr>
              <w:pStyle w:val="TableParagraph"/>
              <w:spacing w:before="4"/>
              <w:ind w:left="221" w:right="228"/>
              <w:jc w:val="center"/>
              <w:rPr>
                <w:sz w:val="20"/>
              </w:rPr>
            </w:pPr>
            <w:r>
              <w:rPr>
                <w:sz w:val="20"/>
              </w:rPr>
              <w:t>42.83</w:t>
            </w:r>
          </w:p>
        </w:tc>
        <w:tc>
          <w:tcPr>
            <w:tcW w:w="833" w:type="dxa"/>
            <w:tcBorders>
              <w:top w:val="single" w:sz="4" w:space="0" w:color="000000"/>
            </w:tcBorders>
          </w:tcPr>
          <w:p>
            <w:pPr>
              <w:pStyle w:val="TableParagraph"/>
              <w:spacing w:before="4"/>
              <w:ind w:right="100"/>
              <w:jc w:val="right"/>
              <w:rPr>
                <w:sz w:val="20"/>
              </w:rPr>
            </w:pPr>
            <w:r>
              <w:rPr>
                <w:sz w:val="20"/>
              </w:rPr>
              <w:t>42.74</w:t>
            </w:r>
          </w:p>
        </w:tc>
        <w:tc>
          <w:tcPr>
            <w:tcW w:w="893" w:type="dxa"/>
            <w:tcBorders>
              <w:top w:val="single" w:sz="4" w:space="0" w:color="000000"/>
            </w:tcBorders>
          </w:tcPr>
          <w:p>
            <w:pPr>
              <w:pStyle w:val="TableParagraph"/>
              <w:spacing w:before="4"/>
              <w:ind w:right="99"/>
              <w:jc w:val="right"/>
              <w:rPr>
                <w:sz w:val="20"/>
              </w:rPr>
            </w:pPr>
            <w:r>
              <w:rPr>
                <w:sz w:val="20"/>
              </w:rPr>
              <w:t>43.56</w:t>
            </w:r>
          </w:p>
        </w:tc>
      </w:tr>
      <w:tr>
        <w:trPr>
          <w:trHeight w:val="346" w:hRule="exact"/>
        </w:trPr>
        <w:tc>
          <w:tcPr>
            <w:tcW w:w="1844" w:type="dxa"/>
          </w:tcPr>
          <w:p>
            <w:pPr>
              <w:pStyle w:val="TableParagraph"/>
              <w:spacing w:before="60"/>
              <w:ind w:left="110"/>
              <w:rPr>
                <w:sz w:val="20"/>
              </w:rPr>
            </w:pPr>
            <w:r>
              <w:rPr>
                <w:sz w:val="20"/>
              </w:rPr>
              <w:t>Propionic acid</w:t>
            </w:r>
          </w:p>
        </w:tc>
        <w:tc>
          <w:tcPr>
            <w:tcW w:w="937" w:type="dxa"/>
          </w:tcPr>
          <w:p>
            <w:pPr>
              <w:pStyle w:val="TableParagraph"/>
              <w:spacing w:before="60"/>
              <w:ind w:right="301"/>
              <w:jc w:val="right"/>
              <w:rPr>
                <w:sz w:val="20"/>
              </w:rPr>
            </w:pPr>
            <w:r>
              <w:rPr>
                <w:sz w:val="20"/>
              </w:rPr>
              <w:t>22.80</w:t>
            </w:r>
          </w:p>
        </w:tc>
        <w:tc>
          <w:tcPr>
            <w:tcW w:w="996" w:type="dxa"/>
          </w:tcPr>
          <w:p>
            <w:pPr>
              <w:pStyle w:val="TableParagraph"/>
              <w:spacing w:before="60"/>
              <w:ind w:right="221"/>
              <w:jc w:val="right"/>
              <w:rPr>
                <w:sz w:val="20"/>
              </w:rPr>
            </w:pPr>
            <w:r>
              <w:rPr>
                <w:sz w:val="20"/>
              </w:rPr>
              <w:t>22.62</w:t>
            </w:r>
          </w:p>
        </w:tc>
        <w:tc>
          <w:tcPr>
            <w:tcW w:w="1032" w:type="dxa"/>
          </w:tcPr>
          <w:p>
            <w:pPr>
              <w:pStyle w:val="TableParagraph"/>
              <w:spacing w:before="60"/>
              <w:ind w:right="336"/>
              <w:jc w:val="right"/>
              <w:rPr>
                <w:sz w:val="20"/>
              </w:rPr>
            </w:pPr>
            <w:r>
              <w:rPr>
                <w:sz w:val="20"/>
              </w:rPr>
              <w:t>22.90</w:t>
            </w:r>
          </w:p>
        </w:tc>
        <w:tc>
          <w:tcPr>
            <w:tcW w:w="1047" w:type="dxa"/>
          </w:tcPr>
          <w:p>
            <w:pPr>
              <w:pStyle w:val="TableParagraph"/>
              <w:spacing w:before="60"/>
              <w:ind w:right="236"/>
              <w:jc w:val="right"/>
              <w:rPr>
                <w:sz w:val="20"/>
              </w:rPr>
            </w:pPr>
            <w:r>
              <w:rPr>
                <w:sz w:val="20"/>
              </w:rPr>
              <w:t>23.15</w:t>
            </w:r>
          </w:p>
        </w:tc>
        <w:tc>
          <w:tcPr>
            <w:tcW w:w="970" w:type="dxa"/>
          </w:tcPr>
          <w:p>
            <w:pPr>
              <w:pStyle w:val="TableParagraph"/>
              <w:spacing w:before="60"/>
              <w:ind w:left="221" w:right="228"/>
              <w:jc w:val="center"/>
              <w:rPr>
                <w:sz w:val="20"/>
              </w:rPr>
            </w:pPr>
            <w:r>
              <w:rPr>
                <w:sz w:val="20"/>
              </w:rPr>
              <w:t>23.36</w:t>
            </w:r>
          </w:p>
        </w:tc>
        <w:tc>
          <w:tcPr>
            <w:tcW w:w="833" w:type="dxa"/>
          </w:tcPr>
          <w:p>
            <w:pPr>
              <w:pStyle w:val="TableParagraph"/>
              <w:spacing w:before="60"/>
              <w:ind w:right="100"/>
              <w:jc w:val="right"/>
              <w:rPr>
                <w:sz w:val="20"/>
              </w:rPr>
            </w:pPr>
            <w:r>
              <w:rPr>
                <w:sz w:val="20"/>
              </w:rPr>
              <w:t>23.66</w:t>
            </w:r>
          </w:p>
        </w:tc>
        <w:tc>
          <w:tcPr>
            <w:tcW w:w="893" w:type="dxa"/>
          </w:tcPr>
          <w:p>
            <w:pPr>
              <w:pStyle w:val="TableParagraph"/>
              <w:spacing w:before="60"/>
              <w:ind w:right="99"/>
              <w:jc w:val="right"/>
              <w:rPr>
                <w:sz w:val="20"/>
              </w:rPr>
            </w:pPr>
            <w:r>
              <w:rPr>
                <w:sz w:val="20"/>
              </w:rPr>
              <w:t>23.08</w:t>
            </w:r>
          </w:p>
        </w:tc>
      </w:tr>
      <w:tr>
        <w:trPr>
          <w:trHeight w:val="346" w:hRule="exact"/>
        </w:trPr>
        <w:tc>
          <w:tcPr>
            <w:tcW w:w="1844" w:type="dxa"/>
          </w:tcPr>
          <w:p>
            <w:pPr>
              <w:pStyle w:val="TableParagraph"/>
              <w:spacing w:before="60"/>
              <w:ind w:left="110"/>
              <w:rPr>
                <w:sz w:val="20"/>
              </w:rPr>
            </w:pPr>
            <w:r>
              <w:rPr>
                <w:sz w:val="20"/>
              </w:rPr>
              <w:t>isobutyric acid</w:t>
            </w:r>
          </w:p>
        </w:tc>
        <w:tc>
          <w:tcPr>
            <w:tcW w:w="937" w:type="dxa"/>
          </w:tcPr>
          <w:p>
            <w:pPr>
              <w:pStyle w:val="TableParagraph"/>
              <w:spacing w:before="60"/>
              <w:ind w:right="301"/>
              <w:jc w:val="right"/>
              <w:rPr>
                <w:sz w:val="20"/>
              </w:rPr>
            </w:pPr>
            <w:r>
              <w:rPr>
                <w:sz w:val="20"/>
              </w:rPr>
              <w:t>2.48</w:t>
            </w:r>
          </w:p>
        </w:tc>
        <w:tc>
          <w:tcPr>
            <w:tcW w:w="996" w:type="dxa"/>
          </w:tcPr>
          <w:p>
            <w:pPr>
              <w:pStyle w:val="TableParagraph"/>
              <w:spacing w:before="60"/>
              <w:ind w:right="221"/>
              <w:jc w:val="right"/>
              <w:rPr>
                <w:sz w:val="20"/>
              </w:rPr>
            </w:pPr>
            <w:r>
              <w:rPr>
                <w:sz w:val="20"/>
              </w:rPr>
              <w:t>2.57</w:t>
            </w:r>
          </w:p>
        </w:tc>
        <w:tc>
          <w:tcPr>
            <w:tcW w:w="1032" w:type="dxa"/>
          </w:tcPr>
          <w:p>
            <w:pPr>
              <w:pStyle w:val="TableParagraph"/>
              <w:spacing w:before="60"/>
              <w:ind w:right="336"/>
              <w:jc w:val="right"/>
              <w:rPr>
                <w:sz w:val="20"/>
              </w:rPr>
            </w:pPr>
            <w:r>
              <w:rPr>
                <w:sz w:val="20"/>
              </w:rPr>
              <w:t>2.78</w:t>
            </w:r>
          </w:p>
        </w:tc>
        <w:tc>
          <w:tcPr>
            <w:tcW w:w="1047" w:type="dxa"/>
          </w:tcPr>
          <w:p>
            <w:pPr>
              <w:pStyle w:val="TableParagraph"/>
              <w:spacing w:before="60"/>
              <w:ind w:right="236"/>
              <w:jc w:val="right"/>
              <w:rPr>
                <w:sz w:val="20"/>
              </w:rPr>
            </w:pPr>
            <w:r>
              <w:rPr>
                <w:sz w:val="20"/>
              </w:rPr>
              <w:t>2.37</w:t>
            </w:r>
          </w:p>
        </w:tc>
        <w:tc>
          <w:tcPr>
            <w:tcW w:w="970" w:type="dxa"/>
          </w:tcPr>
          <w:p>
            <w:pPr>
              <w:pStyle w:val="TableParagraph"/>
              <w:spacing w:before="60"/>
              <w:ind w:left="221" w:right="130"/>
              <w:jc w:val="center"/>
              <w:rPr>
                <w:sz w:val="20"/>
              </w:rPr>
            </w:pPr>
            <w:r>
              <w:rPr>
                <w:sz w:val="20"/>
              </w:rPr>
              <w:t>2.39</w:t>
            </w:r>
          </w:p>
        </w:tc>
        <w:tc>
          <w:tcPr>
            <w:tcW w:w="833" w:type="dxa"/>
          </w:tcPr>
          <w:p>
            <w:pPr>
              <w:pStyle w:val="TableParagraph"/>
              <w:spacing w:before="60"/>
              <w:ind w:right="100"/>
              <w:jc w:val="right"/>
              <w:rPr>
                <w:sz w:val="20"/>
              </w:rPr>
            </w:pPr>
            <w:r>
              <w:rPr>
                <w:sz w:val="20"/>
              </w:rPr>
              <w:t>2.65</w:t>
            </w:r>
          </w:p>
        </w:tc>
        <w:tc>
          <w:tcPr>
            <w:tcW w:w="893" w:type="dxa"/>
          </w:tcPr>
          <w:p>
            <w:pPr>
              <w:pStyle w:val="TableParagraph"/>
              <w:spacing w:before="60"/>
              <w:ind w:right="99"/>
              <w:jc w:val="right"/>
              <w:rPr>
                <w:sz w:val="20"/>
              </w:rPr>
            </w:pPr>
            <w:r>
              <w:rPr>
                <w:sz w:val="20"/>
              </w:rPr>
              <w:t>2.54</w:t>
            </w:r>
          </w:p>
        </w:tc>
      </w:tr>
      <w:tr>
        <w:trPr>
          <w:trHeight w:val="346" w:hRule="exact"/>
        </w:trPr>
        <w:tc>
          <w:tcPr>
            <w:tcW w:w="1844" w:type="dxa"/>
          </w:tcPr>
          <w:p>
            <w:pPr>
              <w:pStyle w:val="TableParagraph"/>
              <w:spacing w:before="60"/>
              <w:ind w:left="110"/>
              <w:rPr>
                <w:sz w:val="20"/>
              </w:rPr>
            </w:pPr>
            <w:r>
              <w:rPr>
                <w:sz w:val="20"/>
              </w:rPr>
              <w:t>Butyric acid</w:t>
            </w:r>
          </w:p>
        </w:tc>
        <w:tc>
          <w:tcPr>
            <w:tcW w:w="937" w:type="dxa"/>
          </w:tcPr>
          <w:p>
            <w:pPr>
              <w:pStyle w:val="TableParagraph"/>
              <w:spacing w:before="60"/>
              <w:ind w:right="301"/>
              <w:jc w:val="right"/>
              <w:rPr>
                <w:sz w:val="20"/>
              </w:rPr>
            </w:pPr>
            <w:r>
              <w:rPr>
                <w:sz w:val="20"/>
              </w:rPr>
              <w:t>18.31</w:t>
            </w:r>
          </w:p>
        </w:tc>
        <w:tc>
          <w:tcPr>
            <w:tcW w:w="996" w:type="dxa"/>
          </w:tcPr>
          <w:p>
            <w:pPr>
              <w:pStyle w:val="TableParagraph"/>
              <w:spacing w:before="60"/>
              <w:ind w:right="221"/>
              <w:jc w:val="right"/>
              <w:rPr>
                <w:sz w:val="20"/>
              </w:rPr>
            </w:pPr>
            <w:r>
              <w:rPr>
                <w:sz w:val="20"/>
              </w:rPr>
              <w:t>19.06</w:t>
            </w:r>
          </w:p>
        </w:tc>
        <w:tc>
          <w:tcPr>
            <w:tcW w:w="1032" w:type="dxa"/>
          </w:tcPr>
          <w:p>
            <w:pPr>
              <w:pStyle w:val="TableParagraph"/>
              <w:spacing w:before="60"/>
              <w:ind w:right="336"/>
              <w:jc w:val="right"/>
              <w:rPr>
                <w:sz w:val="20"/>
              </w:rPr>
            </w:pPr>
            <w:r>
              <w:rPr>
                <w:sz w:val="20"/>
              </w:rPr>
              <w:t>19.55</w:t>
            </w:r>
          </w:p>
        </w:tc>
        <w:tc>
          <w:tcPr>
            <w:tcW w:w="1047" w:type="dxa"/>
          </w:tcPr>
          <w:p>
            <w:pPr>
              <w:pStyle w:val="TableParagraph"/>
              <w:spacing w:before="60"/>
              <w:ind w:right="236"/>
              <w:jc w:val="right"/>
              <w:rPr>
                <w:sz w:val="20"/>
              </w:rPr>
            </w:pPr>
            <w:r>
              <w:rPr>
                <w:sz w:val="20"/>
              </w:rPr>
              <w:t>19.21</w:t>
            </w:r>
          </w:p>
        </w:tc>
        <w:tc>
          <w:tcPr>
            <w:tcW w:w="970" w:type="dxa"/>
          </w:tcPr>
          <w:p>
            <w:pPr>
              <w:pStyle w:val="TableParagraph"/>
              <w:spacing w:before="60"/>
              <w:ind w:left="221" w:right="228"/>
              <w:jc w:val="center"/>
              <w:rPr>
                <w:sz w:val="20"/>
              </w:rPr>
            </w:pPr>
            <w:r>
              <w:rPr>
                <w:sz w:val="20"/>
              </w:rPr>
              <w:t>19.66</w:t>
            </w:r>
          </w:p>
        </w:tc>
        <w:tc>
          <w:tcPr>
            <w:tcW w:w="833" w:type="dxa"/>
          </w:tcPr>
          <w:p>
            <w:pPr>
              <w:pStyle w:val="TableParagraph"/>
              <w:spacing w:before="60"/>
              <w:ind w:right="100"/>
              <w:jc w:val="right"/>
              <w:rPr>
                <w:sz w:val="20"/>
              </w:rPr>
            </w:pPr>
            <w:r>
              <w:rPr>
                <w:sz w:val="20"/>
              </w:rPr>
              <w:t>19.62</w:t>
            </w:r>
          </w:p>
        </w:tc>
        <w:tc>
          <w:tcPr>
            <w:tcW w:w="893" w:type="dxa"/>
          </w:tcPr>
          <w:p>
            <w:pPr>
              <w:pStyle w:val="TableParagraph"/>
              <w:spacing w:before="60"/>
              <w:ind w:right="99"/>
              <w:jc w:val="right"/>
              <w:rPr>
                <w:sz w:val="20"/>
              </w:rPr>
            </w:pPr>
            <w:r>
              <w:rPr>
                <w:sz w:val="20"/>
              </w:rPr>
              <w:t>19.24</w:t>
            </w:r>
          </w:p>
        </w:tc>
      </w:tr>
      <w:tr>
        <w:trPr>
          <w:trHeight w:val="346" w:hRule="exact"/>
        </w:trPr>
        <w:tc>
          <w:tcPr>
            <w:tcW w:w="1844" w:type="dxa"/>
          </w:tcPr>
          <w:p>
            <w:pPr>
              <w:pStyle w:val="TableParagraph"/>
              <w:spacing w:before="60"/>
              <w:ind w:left="110"/>
              <w:rPr>
                <w:sz w:val="20"/>
              </w:rPr>
            </w:pPr>
            <w:r>
              <w:rPr>
                <w:sz w:val="20"/>
              </w:rPr>
              <w:t>isovaleric acid</w:t>
            </w:r>
          </w:p>
        </w:tc>
        <w:tc>
          <w:tcPr>
            <w:tcW w:w="937" w:type="dxa"/>
          </w:tcPr>
          <w:p>
            <w:pPr>
              <w:pStyle w:val="TableParagraph"/>
              <w:spacing w:before="60"/>
              <w:ind w:right="301"/>
              <w:jc w:val="right"/>
              <w:rPr>
                <w:sz w:val="20"/>
              </w:rPr>
            </w:pPr>
            <w:r>
              <w:rPr>
                <w:sz w:val="20"/>
              </w:rPr>
              <w:t>5.93</w:t>
            </w:r>
          </w:p>
        </w:tc>
        <w:tc>
          <w:tcPr>
            <w:tcW w:w="996" w:type="dxa"/>
          </w:tcPr>
          <w:p>
            <w:pPr>
              <w:pStyle w:val="TableParagraph"/>
              <w:spacing w:before="60"/>
              <w:ind w:right="221"/>
              <w:jc w:val="right"/>
              <w:rPr>
                <w:sz w:val="20"/>
              </w:rPr>
            </w:pPr>
            <w:r>
              <w:rPr>
                <w:sz w:val="20"/>
              </w:rPr>
              <w:t>5.99</w:t>
            </w:r>
          </w:p>
        </w:tc>
        <w:tc>
          <w:tcPr>
            <w:tcW w:w="1032" w:type="dxa"/>
          </w:tcPr>
          <w:p>
            <w:pPr>
              <w:pStyle w:val="TableParagraph"/>
              <w:spacing w:before="60"/>
              <w:ind w:right="336"/>
              <w:jc w:val="right"/>
              <w:rPr>
                <w:sz w:val="20"/>
              </w:rPr>
            </w:pPr>
            <w:r>
              <w:rPr>
                <w:sz w:val="20"/>
              </w:rPr>
              <w:t>5.84</w:t>
            </w:r>
          </w:p>
        </w:tc>
        <w:tc>
          <w:tcPr>
            <w:tcW w:w="1047" w:type="dxa"/>
          </w:tcPr>
          <w:p>
            <w:pPr>
              <w:pStyle w:val="TableParagraph"/>
              <w:spacing w:before="60"/>
              <w:ind w:right="236"/>
              <w:jc w:val="right"/>
              <w:rPr>
                <w:sz w:val="20"/>
              </w:rPr>
            </w:pPr>
            <w:r>
              <w:rPr>
                <w:sz w:val="20"/>
              </w:rPr>
              <w:t>5.89</w:t>
            </w:r>
          </w:p>
        </w:tc>
        <w:tc>
          <w:tcPr>
            <w:tcW w:w="970" w:type="dxa"/>
          </w:tcPr>
          <w:p>
            <w:pPr>
              <w:pStyle w:val="TableParagraph"/>
              <w:spacing w:before="60"/>
              <w:ind w:left="221" w:right="130"/>
              <w:jc w:val="center"/>
              <w:rPr>
                <w:sz w:val="20"/>
              </w:rPr>
            </w:pPr>
            <w:r>
              <w:rPr>
                <w:sz w:val="20"/>
              </w:rPr>
              <w:t>5.77</w:t>
            </w:r>
          </w:p>
        </w:tc>
        <w:tc>
          <w:tcPr>
            <w:tcW w:w="833" w:type="dxa"/>
          </w:tcPr>
          <w:p>
            <w:pPr>
              <w:pStyle w:val="TableParagraph"/>
              <w:spacing w:before="60"/>
              <w:ind w:right="100"/>
              <w:jc w:val="right"/>
              <w:rPr>
                <w:sz w:val="20"/>
              </w:rPr>
            </w:pPr>
            <w:r>
              <w:rPr>
                <w:sz w:val="20"/>
              </w:rPr>
              <w:t>5.81</w:t>
            </w:r>
          </w:p>
        </w:tc>
        <w:tc>
          <w:tcPr>
            <w:tcW w:w="893" w:type="dxa"/>
          </w:tcPr>
          <w:p>
            <w:pPr>
              <w:pStyle w:val="TableParagraph"/>
              <w:spacing w:before="60"/>
              <w:ind w:right="99"/>
              <w:jc w:val="right"/>
              <w:rPr>
                <w:sz w:val="20"/>
              </w:rPr>
            </w:pPr>
            <w:r>
              <w:rPr>
                <w:sz w:val="20"/>
              </w:rPr>
              <w:t>5.87</w:t>
            </w:r>
          </w:p>
        </w:tc>
      </w:tr>
      <w:tr>
        <w:trPr>
          <w:trHeight w:val="343" w:hRule="exact"/>
        </w:trPr>
        <w:tc>
          <w:tcPr>
            <w:tcW w:w="1844" w:type="dxa"/>
          </w:tcPr>
          <w:p>
            <w:pPr>
              <w:pStyle w:val="TableParagraph"/>
              <w:spacing w:before="60"/>
              <w:ind w:left="110"/>
              <w:rPr>
                <w:sz w:val="20"/>
              </w:rPr>
            </w:pPr>
            <w:r>
              <w:rPr>
                <w:sz w:val="20"/>
              </w:rPr>
              <w:t>Valeric acid</w:t>
            </w:r>
          </w:p>
        </w:tc>
        <w:tc>
          <w:tcPr>
            <w:tcW w:w="937" w:type="dxa"/>
          </w:tcPr>
          <w:p>
            <w:pPr>
              <w:pStyle w:val="TableParagraph"/>
              <w:spacing w:before="60"/>
              <w:ind w:right="301"/>
              <w:jc w:val="right"/>
              <w:rPr>
                <w:sz w:val="20"/>
              </w:rPr>
            </w:pPr>
            <w:r>
              <w:rPr>
                <w:sz w:val="20"/>
              </w:rPr>
              <w:t>5.77</w:t>
            </w:r>
          </w:p>
        </w:tc>
        <w:tc>
          <w:tcPr>
            <w:tcW w:w="996" w:type="dxa"/>
          </w:tcPr>
          <w:p>
            <w:pPr>
              <w:pStyle w:val="TableParagraph"/>
              <w:spacing w:before="60"/>
              <w:ind w:right="221"/>
              <w:jc w:val="right"/>
              <w:rPr>
                <w:sz w:val="20"/>
              </w:rPr>
            </w:pPr>
            <w:r>
              <w:rPr>
                <w:sz w:val="20"/>
              </w:rPr>
              <w:t>5.89</w:t>
            </w:r>
          </w:p>
        </w:tc>
        <w:tc>
          <w:tcPr>
            <w:tcW w:w="1032" w:type="dxa"/>
          </w:tcPr>
          <w:p>
            <w:pPr>
              <w:pStyle w:val="TableParagraph"/>
              <w:spacing w:before="60"/>
              <w:ind w:right="336"/>
              <w:jc w:val="right"/>
              <w:rPr>
                <w:sz w:val="20"/>
              </w:rPr>
            </w:pPr>
            <w:r>
              <w:rPr>
                <w:sz w:val="20"/>
              </w:rPr>
              <w:t>5.32</w:t>
            </w:r>
          </w:p>
        </w:tc>
        <w:tc>
          <w:tcPr>
            <w:tcW w:w="1047" w:type="dxa"/>
          </w:tcPr>
          <w:p>
            <w:pPr>
              <w:pStyle w:val="TableParagraph"/>
              <w:spacing w:before="60"/>
              <w:ind w:right="236"/>
              <w:jc w:val="right"/>
              <w:rPr>
                <w:sz w:val="20"/>
              </w:rPr>
            </w:pPr>
            <w:r>
              <w:rPr>
                <w:sz w:val="20"/>
              </w:rPr>
              <w:t>5.77</w:t>
            </w:r>
          </w:p>
        </w:tc>
        <w:tc>
          <w:tcPr>
            <w:tcW w:w="970" w:type="dxa"/>
          </w:tcPr>
          <w:p>
            <w:pPr>
              <w:pStyle w:val="TableParagraph"/>
              <w:spacing w:before="60"/>
              <w:ind w:left="221" w:right="130"/>
              <w:jc w:val="center"/>
              <w:rPr>
                <w:sz w:val="20"/>
              </w:rPr>
            </w:pPr>
            <w:r>
              <w:rPr>
                <w:sz w:val="20"/>
              </w:rPr>
              <w:t>5.99</w:t>
            </w:r>
          </w:p>
        </w:tc>
        <w:tc>
          <w:tcPr>
            <w:tcW w:w="833" w:type="dxa"/>
          </w:tcPr>
          <w:p>
            <w:pPr>
              <w:pStyle w:val="TableParagraph"/>
              <w:spacing w:before="60"/>
              <w:ind w:right="100"/>
              <w:jc w:val="right"/>
              <w:rPr>
                <w:sz w:val="20"/>
              </w:rPr>
            </w:pPr>
            <w:r>
              <w:rPr>
                <w:sz w:val="20"/>
              </w:rPr>
              <w:t>5.51</w:t>
            </w:r>
          </w:p>
        </w:tc>
        <w:tc>
          <w:tcPr>
            <w:tcW w:w="893" w:type="dxa"/>
          </w:tcPr>
          <w:p>
            <w:pPr>
              <w:pStyle w:val="TableParagraph"/>
              <w:spacing w:before="60"/>
              <w:ind w:right="99"/>
              <w:jc w:val="right"/>
              <w:rPr>
                <w:sz w:val="20"/>
              </w:rPr>
            </w:pPr>
            <w:r>
              <w:rPr>
                <w:sz w:val="20"/>
              </w:rPr>
              <w:t>5.71</w:t>
            </w:r>
          </w:p>
        </w:tc>
      </w:tr>
      <w:tr>
        <w:trPr>
          <w:trHeight w:val="419" w:hRule="exact"/>
        </w:trPr>
        <w:tc>
          <w:tcPr>
            <w:tcW w:w="1844" w:type="dxa"/>
            <w:tcBorders>
              <w:bottom w:val="single" w:sz="12" w:space="0" w:color="000000"/>
            </w:tcBorders>
          </w:tcPr>
          <w:p>
            <w:pPr>
              <w:pStyle w:val="TableParagraph"/>
              <w:spacing w:before="58"/>
              <w:ind w:left="110"/>
              <w:rPr>
                <w:sz w:val="20"/>
              </w:rPr>
            </w:pPr>
            <w:r>
              <w:rPr>
                <w:sz w:val="20"/>
              </w:rPr>
              <w:t>Ac/Pro</w:t>
            </w:r>
          </w:p>
        </w:tc>
        <w:tc>
          <w:tcPr>
            <w:tcW w:w="937" w:type="dxa"/>
            <w:tcBorders>
              <w:bottom w:val="single" w:sz="12" w:space="0" w:color="000000"/>
            </w:tcBorders>
          </w:tcPr>
          <w:p>
            <w:pPr>
              <w:pStyle w:val="TableParagraph"/>
              <w:spacing w:before="58"/>
              <w:ind w:right="301"/>
              <w:jc w:val="right"/>
              <w:rPr>
                <w:sz w:val="20"/>
              </w:rPr>
            </w:pPr>
            <w:r>
              <w:rPr>
                <w:sz w:val="20"/>
              </w:rPr>
              <w:t>1.96</w:t>
            </w:r>
          </w:p>
        </w:tc>
        <w:tc>
          <w:tcPr>
            <w:tcW w:w="996" w:type="dxa"/>
            <w:tcBorders>
              <w:bottom w:val="single" w:sz="12" w:space="0" w:color="000000"/>
            </w:tcBorders>
          </w:tcPr>
          <w:p>
            <w:pPr>
              <w:pStyle w:val="TableParagraph"/>
              <w:spacing w:before="58"/>
              <w:ind w:right="221"/>
              <w:jc w:val="right"/>
              <w:rPr>
                <w:sz w:val="20"/>
              </w:rPr>
            </w:pPr>
            <w:r>
              <w:rPr>
                <w:sz w:val="20"/>
              </w:rPr>
              <w:t>1.94</w:t>
            </w:r>
          </w:p>
        </w:tc>
        <w:tc>
          <w:tcPr>
            <w:tcW w:w="1032" w:type="dxa"/>
            <w:tcBorders>
              <w:bottom w:val="single" w:sz="12" w:space="0" w:color="000000"/>
            </w:tcBorders>
          </w:tcPr>
          <w:p>
            <w:pPr>
              <w:pStyle w:val="TableParagraph"/>
              <w:spacing w:before="58"/>
              <w:ind w:right="336"/>
              <w:jc w:val="right"/>
              <w:rPr>
                <w:sz w:val="20"/>
              </w:rPr>
            </w:pPr>
            <w:r>
              <w:rPr>
                <w:sz w:val="20"/>
              </w:rPr>
              <w:t>1.90</w:t>
            </w:r>
          </w:p>
        </w:tc>
        <w:tc>
          <w:tcPr>
            <w:tcW w:w="1047" w:type="dxa"/>
            <w:tcBorders>
              <w:bottom w:val="single" w:sz="12" w:space="0" w:color="000000"/>
            </w:tcBorders>
          </w:tcPr>
          <w:p>
            <w:pPr>
              <w:pStyle w:val="TableParagraph"/>
              <w:spacing w:before="58"/>
              <w:ind w:right="236"/>
              <w:jc w:val="right"/>
              <w:rPr>
                <w:sz w:val="20"/>
              </w:rPr>
            </w:pPr>
            <w:r>
              <w:rPr>
                <w:sz w:val="20"/>
              </w:rPr>
              <w:t>1.88</w:t>
            </w:r>
          </w:p>
        </w:tc>
        <w:tc>
          <w:tcPr>
            <w:tcW w:w="970" w:type="dxa"/>
            <w:tcBorders>
              <w:bottom w:val="single" w:sz="12" w:space="0" w:color="000000"/>
            </w:tcBorders>
          </w:tcPr>
          <w:p>
            <w:pPr>
              <w:pStyle w:val="TableParagraph"/>
              <w:spacing w:before="58"/>
              <w:ind w:left="221" w:right="130"/>
              <w:jc w:val="center"/>
              <w:rPr>
                <w:sz w:val="20"/>
              </w:rPr>
            </w:pPr>
            <w:r>
              <w:rPr>
                <w:sz w:val="20"/>
              </w:rPr>
              <w:t>1.83</w:t>
            </w:r>
          </w:p>
        </w:tc>
        <w:tc>
          <w:tcPr>
            <w:tcW w:w="833" w:type="dxa"/>
            <w:tcBorders>
              <w:bottom w:val="single" w:sz="12" w:space="0" w:color="000000"/>
            </w:tcBorders>
          </w:tcPr>
          <w:p>
            <w:pPr>
              <w:pStyle w:val="TableParagraph"/>
              <w:spacing w:before="58"/>
              <w:ind w:right="100"/>
              <w:jc w:val="right"/>
              <w:rPr>
                <w:sz w:val="20"/>
              </w:rPr>
            </w:pPr>
            <w:r>
              <w:rPr>
                <w:sz w:val="20"/>
              </w:rPr>
              <w:t>1.81</w:t>
            </w:r>
          </w:p>
        </w:tc>
        <w:tc>
          <w:tcPr>
            <w:tcW w:w="893" w:type="dxa"/>
            <w:tcBorders>
              <w:bottom w:val="single" w:sz="12" w:space="0" w:color="000000"/>
            </w:tcBorders>
          </w:tcPr>
          <w:p>
            <w:pPr>
              <w:pStyle w:val="TableParagraph"/>
              <w:spacing w:before="58"/>
              <w:ind w:right="99"/>
              <w:jc w:val="right"/>
              <w:rPr>
                <w:sz w:val="20"/>
              </w:rPr>
            </w:pPr>
            <w:r>
              <w:rPr>
                <w:sz w:val="20"/>
              </w:rPr>
              <w:t>1.89</w:t>
            </w:r>
          </w:p>
        </w:tc>
      </w:tr>
    </w:tbl>
    <w:p>
      <w:pPr>
        <w:spacing w:line="218" w:lineRule="exact" w:before="0"/>
        <w:ind w:left="859" w:right="0" w:firstLine="0"/>
        <w:jc w:val="left"/>
        <w:rPr>
          <w:rFonts w:ascii="Times New Roman"/>
          <w:sz w:val="20"/>
        </w:rPr>
      </w:pPr>
      <w:r>
        <w:rPr>
          <w:rFonts w:ascii="Times New Roman"/>
          <w:i/>
          <w:position w:val="7"/>
          <w:sz w:val="13"/>
        </w:rPr>
        <w:t>a  </w:t>
      </w:r>
      <w:r>
        <w:rPr>
          <w:rFonts w:ascii="Times New Roman"/>
          <w:sz w:val="20"/>
        </w:rPr>
        <w:t>Internal  peak area values,  IPA(%), means the relative proportion  (%) of  different  fatty acids  in  the same</w:t>
      </w:r>
    </w:p>
    <w:p>
      <w:pPr>
        <w:spacing w:line="240" w:lineRule="auto" w:before="0"/>
        <w:ind w:left="859" w:right="0" w:firstLine="0"/>
        <w:jc w:val="left"/>
        <w:rPr>
          <w:rFonts w:ascii="Times New Roman" w:hAnsi="Times New Roman"/>
          <w:sz w:val="20"/>
        </w:rPr>
      </w:pPr>
      <w:r>
        <w:rPr>
          <w:rFonts w:ascii="Times New Roman" w:hAnsi="Times New Roman"/>
          <w:sz w:val="20"/>
        </w:rPr>
        <w:t>individual sample. Experiments were in ruminal fermented media on supplementation of exogenous ω-6/ ω-3 long chain fatty acids (or mM in fermentation media). We used 100 mg of total ω-6 and ω-3 per each gram</w:t>
      </w:r>
    </w:p>
    <w:p>
      <w:pPr>
        <w:spacing w:line="228" w:lineRule="exact" w:before="0"/>
        <w:ind w:left="859" w:right="0" w:firstLine="0"/>
        <w:jc w:val="left"/>
        <w:rPr>
          <w:rFonts w:ascii="Times New Roman"/>
          <w:sz w:val="20"/>
        </w:rPr>
      </w:pPr>
      <w:r>
        <w:rPr>
          <w:rFonts w:ascii="Times New Roman"/>
          <w:sz w:val="20"/>
        </w:rPr>
        <w:t>(g) of alfalfa substrate;</w:t>
      </w:r>
    </w:p>
    <w:p>
      <w:pPr>
        <w:spacing w:line="233" w:lineRule="exact" w:before="0"/>
        <w:ind w:left="859" w:right="0" w:firstLine="0"/>
        <w:jc w:val="left"/>
        <w:rPr>
          <w:rFonts w:ascii="Times New Roman" w:hAnsi="Times New Roman"/>
          <w:sz w:val="20"/>
        </w:rPr>
      </w:pPr>
      <w:r>
        <w:rPr>
          <w:rFonts w:ascii="Times New Roman" w:hAnsi="Times New Roman"/>
          <w:i/>
          <w:position w:val="7"/>
          <w:sz w:val="13"/>
        </w:rPr>
        <w:t>b </w:t>
      </w:r>
      <w:r>
        <w:rPr>
          <w:rFonts w:ascii="Times New Roman" w:hAnsi="Times New Roman"/>
          <w:sz w:val="20"/>
        </w:rPr>
        <w:t>The whole amount of ω-6/ ω-3 LCFAs were standard as 100 mg/g alfalfa substrate, means ± standard errors.</w:t>
      </w:r>
    </w:p>
    <w:p>
      <w:pPr>
        <w:pStyle w:val="BodyText"/>
        <w:spacing w:before="3"/>
        <w:rPr>
          <w:rFonts w:ascii="Times New Roman"/>
        </w:rPr>
      </w:pPr>
    </w:p>
    <w:p>
      <w:pPr>
        <w:spacing w:before="1" w:after="6"/>
        <w:ind w:left="858" w:right="246" w:firstLine="0"/>
        <w:jc w:val="center"/>
        <w:rPr>
          <w:rFonts w:ascii="Times New Roman" w:hAnsi="Times New Roman"/>
          <w:sz w:val="24"/>
        </w:rPr>
      </w:pPr>
      <w:r>
        <w:rPr>
          <w:rFonts w:ascii="Times New Roman" w:hAnsi="Times New Roman"/>
          <w:b/>
          <w:sz w:val="24"/>
        </w:rPr>
        <w:t>Table 5</w:t>
      </w:r>
      <w:r>
        <w:rPr>
          <w:rFonts w:ascii="Times New Roman" w:hAnsi="Times New Roman"/>
          <w:sz w:val="24"/>
        </w:rPr>
        <w:t>. </w:t>
      </w:r>
      <w:r>
        <w:rPr>
          <w:rFonts w:ascii="Times New Roman" w:hAnsi="Times New Roman"/>
          <w:i/>
          <w:sz w:val="24"/>
        </w:rPr>
        <w:t>in vitro </w:t>
      </w:r>
      <w:r>
        <w:rPr>
          <w:rFonts w:ascii="Times New Roman" w:hAnsi="Times New Roman"/>
          <w:sz w:val="24"/>
        </w:rPr>
        <w:t>fermentation performance supplementation of ω-6/ω-3 PUFAs</w:t>
      </w:r>
    </w:p>
    <w:p>
      <w:pPr>
        <w:pStyle w:val="BodyText"/>
        <w:spacing w:line="29" w:lineRule="exact"/>
        <w:ind w:left="941"/>
        <w:rPr>
          <w:rFonts w:ascii="Times New Roman"/>
          <w:sz w:val="2"/>
        </w:rPr>
      </w:pPr>
      <w:r>
        <w:rPr>
          <w:rFonts w:ascii="Times New Roman"/>
          <w:position w:val="0"/>
          <w:sz w:val="2"/>
        </w:rPr>
        <w:pict>
          <v:group style="width:433.9pt;height:1.45pt;mso-position-horizontal-relative:char;mso-position-vertical-relative:line" coordorigin="0,0" coordsize="8678,29">
            <v:line style="position:absolute" from="15,15" to="600,15" stroked="true" strokeweight="1.44pt" strokecolor="#000000"/>
            <v:line style="position:absolute" from="600,15" to="629,15" stroked="true" strokeweight="1.44pt" strokecolor="#000000"/>
            <v:line style="position:absolute" from="629,15" to="8663,15" stroked="true" strokeweight="1.44pt" strokecolor="#000000"/>
          </v:group>
        </w:pict>
      </w:r>
      <w:r>
        <w:rPr>
          <w:rFonts w:ascii="Times New Roman"/>
          <w:position w:val="0"/>
          <w:sz w:val="2"/>
        </w:rPr>
      </w:r>
    </w:p>
    <w:p>
      <w:pPr>
        <w:spacing w:before="43" w:after="57"/>
        <w:ind w:left="1028" w:right="0" w:firstLine="0"/>
        <w:jc w:val="left"/>
        <w:rPr>
          <w:rFonts w:ascii="Times New Roman" w:hAnsi="Times New Roman"/>
          <w:sz w:val="18"/>
        </w:rPr>
      </w:pPr>
      <w:r>
        <w:rPr>
          <w:rFonts w:ascii="Times New Roman" w:hAnsi="Times New Roman"/>
          <w:sz w:val="18"/>
        </w:rPr>
        <w:t>Items    In vitro fermentation characteristics within exogenous ω-6/ω-3 LCFAs Ratios supplementation</w:t>
      </w:r>
    </w:p>
    <w:tbl>
      <w:tblPr>
        <w:tblW w:w="0" w:type="auto"/>
        <w:jc w:val="left"/>
        <w:tblInd w:w="9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4"/>
        <w:gridCol w:w="1086"/>
        <w:gridCol w:w="1060"/>
        <w:gridCol w:w="1200"/>
        <w:gridCol w:w="1201"/>
        <w:gridCol w:w="1138"/>
        <w:gridCol w:w="1008"/>
        <w:gridCol w:w="850"/>
      </w:tblGrid>
      <w:tr>
        <w:trPr>
          <w:trHeight w:val="307" w:hRule="exact"/>
        </w:trPr>
        <w:tc>
          <w:tcPr>
            <w:tcW w:w="2191" w:type="dxa"/>
            <w:gridSpan w:val="2"/>
            <w:tcBorders>
              <w:left w:val="nil"/>
              <w:right w:val="nil"/>
            </w:tcBorders>
          </w:tcPr>
          <w:p>
            <w:pPr>
              <w:pStyle w:val="TableParagraph"/>
              <w:spacing w:before="43"/>
              <w:ind w:left="1392"/>
              <w:rPr>
                <w:sz w:val="18"/>
              </w:rPr>
            </w:pPr>
            <w:r>
              <w:rPr>
                <w:sz w:val="18"/>
              </w:rPr>
              <w:t>Control</w:t>
            </w:r>
          </w:p>
        </w:tc>
        <w:tc>
          <w:tcPr>
            <w:tcW w:w="1060" w:type="dxa"/>
            <w:tcBorders>
              <w:left w:val="nil"/>
              <w:right w:val="nil"/>
            </w:tcBorders>
          </w:tcPr>
          <w:p>
            <w:pPr>
              <w:pStyle w:val="TableParagraph"/>
              <w:spacing w:before="43"/>
              <w:ind w:left="248"/>
              <w:rPr>
                <w:sz w:val="18"/>
              </w:rPr>
            </w:pPr>
            <w:r>
              <w:rPr>
                <w:sz w:val="18"/>
              </w:rPr>
              <w:t>100-0</w:t>
            </w:r>
          </w:p>
        </w:tc>
        <w:tc>
          <w:tcPr>
            <w:tcW w:w="1200" w:type="dxa"/>
            <w:tcBorders>
              <w:left w:val="nil"/>
              <w:right w:val="nil"/>
            </w:tcBorders>
          </w:tcPr>
          <w:p>
            <w:pPr>
              <w:pStyle w:val="TableParagraph"/>
              <w:spacing w:before="43"/>
              <w:ind w:left="332" w:right="332"/>
              <w:jc w:val="center"/>
              <w:rPr>
                <w:sz w:val="18"/>
              </w:rPr>
            </w:pPr>
            <w:r>
              <w:rPr>
                <w:sz w:val="18"/>
              </w:rPr>
              <w:t>90-10</w:t>
            </w:r>
          </w:p>
        </w:tc>
        <w:tc>
          <w:tcPr>
            <w:tcW w:w="1201" w:type="dxa"/>
            <w:tcBorders>
              <w:left w:val="nil"/>
              <w:right w:val="nil"/>
            </w:tcBorders>
          </w:tcPr>
          <w:p>
            <w:pPr>
              <w:pStyle w:val="TableParagraph"/>
              <w:spacing w:before="43"/>
              <w:ind w:left="332" w:right="332"/>
              <w:jc w:val="center"/>
              <w:rPr>
                <w:sz w:val="18"/>
              </w:rPr>
            </w:pPr>
            <w:r>
              <w:rPr>
                <w:sz w:val="18"/>
              </w:rPr>
              <w:t>80-20</w:t>
            </w:r>
          </w:p>
        </w:tc>
        <w:tc>
          <w:tcPr>
            <w:tcW w:w="1138" w:type="dxa"/>
            <w:tcBorders>
              <w:left w:val="nil"/>
              <w:right w:val="nil"/>
            </w:tcBorders>
          </w:tcPr>
          <w:p>
            <w:pPr>
              <w:pStyle w:val="TableParagraph"/>
              <w:spacing w:before="43"/>
              <w:ind w:right="324"/>
              <w:jc w:val="right"/>
              <w:rPr>
                <w:sz w:val="18"/>
              </w:rPr>
            </w:pPr>
            <w:r>
              <w:rPr>
                <w:sz w:val="18"/>
              </w:rPr>
              <w:t>66-33</w:t>
            </w:r>
          </w:p>
        </w:tc>
        <w:tc>
          <w:tcPr>
            <w:tcW w:w="1008" w:type="dxa"/>
            <w:tcBorders>
              <w:left w:val="nil"/>
              <w:right w:val="nil"/>
            </w:tcBorders>
          </w:tcPr>
          <w:p>
            <w:pPr>
              <w:pStyle w:val="TableParagraph"/>
              <w:spacing w:before="43"/>
              <w:ind w:left="307" w:right="240"/>
              <w:jc w:val="center"/>
              <w:rPr>
                <w:sz w:val="18"/>
              </w:rPr>
            </w:pPr>
            <w:r>
              <w:rPr>
                <w:sz w:val="18"/>
              </w:rPr>
              <w:t>50-50</w:t>
            </w:r>
          </w:p>
        </w:tc>
        <w:tc>
          <w:tcPr>
            <w:tcW w:w="850" w:type="dxa"/>
            <w:tcBorders>
              <w:left w:val="nil"/>
              <w:right w:val="nil"/>
            </w:tcBorders>
          </w:tcPr>
          <w:p>
            <w:pPr>
              <w:pStyle w:val="TableParagraph"/>
              <w:spacing w:before="43"/>
              <w:ind w:left="216"/>
              <w:rPr>
                <w:sz w:val="18"/>
              </w:rPr>
            </w:pPr>
            <w:r>
              <w:rPr>
                <w:sz w:val="18"/>
              </w:rPr>
              <w:t>20-80</w:t>
            </w:r>
          </w:p>
        </w:tc>
      </w:tr>
      <w:tr>
        <w:trPr>
          <w:trHeight w:val="396" w:hRule="exact"/>
        </w:trPr>
        <w:tc>
          <w:tcPr>
            <w:tcW w:w="2191" w:type="dxa"/>
            <w:gridSpan w:val="2"/>
            <w:tcBorders>
              <w:left w:val="nil"/>
              <w:bottom w:val="nil"/>
              <w:right w:val="nil"/>
            </w:tcBorders>
          </w:tcPr>
          <w:p>
            <w:pPr>
              <w:pStyle w:val="TableParagraph"/>
              <w:spacing w:line="154" w:lineRule="exact"/>
              <w:ind w:left="71"/>
              <w:rPr>
                <w:sz w:val="18"/>
              </w:rPr>
            </w:pPr>
            <w:r>
              <w:rPr>
                <w:position w:val="1"/>
                <w:sz w:val="18"/>
              </w:rPr>
              <w:t>CH</w:t>
            </w:r>
            <w:r>
              <w:rPr>
                <w:sz w:val="12"/>
              </w:rPr>
              <w:t>4 </w:t>
            </w:r>
            <w:r>
              <w:rPr>
                <w:position w:val="1"/>
                <w:sz w:val="18"/>
              </w:rPr>
              <w:t>(mMol/g)</w:t>
            </w:r>
          </w:p>
          <w:p>
            <w:pPr>
              <w:pStyle w:val="TableParagraph"/>
              <w:tabs>
                <w:tab w:pos="1421" w:val="left" w:leader="none"/>
              </w:tabs>
              <w:spacing w:line="264" w:lineRule="exact"/>
              <w:ind w:left="71"/>
              <w:rPr>
                <w:sz w:val="18"/>
              </w:rPr>
            </w:pPr>
            <w:r>
              <w:rPr>
                <w:position w:val="-10"/>
                <w:sz w:val="18"/>
              </w:rPr>
              <w:t>48</w:t>
              <w:tab/>
            </w:r>
            <w:r>
              <w:rPr>
                <w:sz w:val="18"/>
              </w:rPr>
              <w:t>108.81</w:t>
            </w:r>
          </w:p>
        </w:tc>
        <w:tc>
          <w:tcPr>
            <w:tcW w:w="1060" w:type="dxa"/>
            <w:tcBorders>
              <w:left w:val="nil"/>
              <w:bottom w:val="nil"/>
              <w:right w:val="nil"/>
            </w:tcBorders>
          </w:tcPr>
          <w:p>
            <w:pPr>
              <w:pStyle w:val="TableParagraph"/>
              <w:spacing w:before="100"/>
              <w:ind w:left="253"/>
              <w:rPr>
                <w:sz w:val="18"/>
              </w:rPr>
            </w:pPr>
            <w:r>
              <w:rPr>
                <w:sz w:val="18"/>
              </w:rPr>
              <w:t>87.44</w:t>
            </w:r>
          </w:p>
        </w:tc>
        <w:tc>
          <w:tcPr>
            <w:tcW w:w="1200" w:type="dxa"/>
            <w:tcBorders>
              <w:left w:val="nil"/>
              <w:bottom w:val="nil"/>
              <w:right w:val="nil"/>
            </w:tcBorders>
          </w:tcPr>
          <w:p>
            <w:pPr>
              <w:pStyle w:val="TableParagraph"/>
              <w:spacing w:before="100"/>
              <w:ind w:left="330" w:right="332"/>
              <w:jc w:val="center"/>
              <w:rPr>
                <w:sz w:val="18"/>
              </w:rPr>
            </w:pPr>
            <w:r>
              <w:rPr>
                <w:sz w:val="18"/>
              </w:rPr>
              <w:t>83.12</w:t>
            </w:r>
          </w:p>
        </w:tc>
        <w:tc>
          <w:tcPr>
            <w:tcW w:w="1201" w:type="dxa"/>
            <w:tcBorders>
              <w:left w:val="nil"/>
              <w:bottom w:val="nil"/>
              <w:right w:val="nil"/>
            </w:tcBorders>
          </w:tcPr>
          <w:p>
            <w:pPr>
              <w:pStyle w:val="TableParagraph"/>
              <w:spacing w:before="100"/>
              <w:ind w:left="329" w:right="332"/>
              <w:jc w:val="center"/>
              <w:rPr>
                <w:sz w:val="18"/>
              </w:rPr>
            </w:pPr>
            <w:r>
              <w:rPr>
                <w:sz w:val="18"/>
              </w:rPr>
              <w:t>74.28</w:t>
            </w:r>
          </w:p>
        </w:tc>
        <w:tc>
          <w:tcPr>
            <w:tcW w:w="1138" w:type="dxa"/>
            <w:tcBorders>
              <w:left w:val="nil"/>
              <w:bottom w:val="nil"/>
              <w:right w:val="nil"/>
            </w:tcBorders>
          </w:tcPr>
          <w:p>
            <w:pPr>
              <w:pStyle w:val="TableParagraph"/>
              <w:spacing w:before="100"/>
              <w:ind w:right="340"/>
              <w:jc w:val="right"/>
              <w:rPr>
                <w:sz w:val="18"/>
              </w:rPr>
            </w:pPr>
            <w:r>
              <w:rPr>
                <w:sz w:val="18"/>
              </w:rPr>
              <w:t>87.84</w:t>
            </w:r>
          </w:p>
        </w:tc>
        <w:tc>
          <w:tcPr>
            <w:tcW w:w="1008" w:type="dxa"/>
            <w:tcBorders>
              <w:left w:val="nil"/>
              <w:bottom w:val="nil"/>
              <w:right w:val="nil"/>
            </w:tcBorders>
          </w:tcPr>
          <w:p>
            <w:pPr>
              <w:pStyle w:val="TableParagraph"/>
              <w:spacing w:before="100"/>
              <w:ind w:left="302" w:right="240"/>
              <w:jc w:val="center"/>
              <w:rPr>
                <w:sz w:val="18"/>
              </w:rPr>
            </w:pPr>
            <w:r>
              <w:rPr>
                <w:sz w:val="18"/>
              </w:rPr>
              <w:t>86.96</w:t>
            </w:r>
          </w:p>
        </w:tc>
        <w:tc>
          <w:tcPr>
            <w:tcW w:w="850" w:type="dxa"/>
            <w:tcBorders>
              <w:left w:val="nil"/>
              <w:bottom w:val="nil"/>
              <w:right w:val="nil"/>
            </w:tcBorders>
          </w:tcPr>
          <w:p>
            <w:pPr>
              <w:pStyle w:val="TableParagraph"/>
              <w:spacing w:before="100"/>
              <w:ind w:left="225"/>
              <w:rPr>
                <w:sz w:val="18"/>
              </w:rPr>
            </w:pPr>
            <w:r>
              <w:rPr>
                <w:sz w:val="18"/>
              </w:rPr>
              <w:t>58.50</w:t>
            </w:r>
          </w:p>
        </w:tc>
      </w:tr>
      <w:tr>
        <w:trPr>
          <w:trHeight w:val="329" w:hRule="exact"/>
        </w:trPr>
        <w:tc>
          <w:tcPr>
            <w:tcW w:w="2191" w:type="dxa"/>
            <w:gridSpan w:val="2"/>
            <w:tcBorders>
              <w:top w:val="nil"/>
              <w:left w:val="nil"/>
              <w:bottom w:val="dotted" w:sz="4" w:space="0" w:color="000000"/>
              <w:right w:val="nil"/>
            </w:tcBorders>
          </w:tcPr>
          <w:p>
            <w:pPr>
              <w:pStyle w:val="TableParagraph"/>
              <w:tabs>
                <w:tab w:pos="1833" w:val="right" w:leader="none"/>
              </w:tabs>
              <w:spacing w:before="65"/>
              <w:ind w:left="71"/>
              <w:rPr>
                <w:sz w:val="18"/>
              </w:rPr>
            </w:pPr>
            <w:r>
              <w:rPr>
                <w:sz w:val="18"/>
              </w:rPr>
              <w:t>pH</w:t>
              <w:tab/>
              <w:t>6.14</w:t>
            </w:r>
          </w:p>
        </w:tc>
        <w:tc>
          <w:tcPr>
            <w:tcW w:w="1060" w:type="dxa"/>
            <w:tcBorders>
              <w:top w:val="nil"/>
              <w:left w:val="nil"/>
              <w:bottom w:val="dotted" w:sz="4" w:space="0" w:color="000000"/>
              <w:right w:val="nil"/>
            </w:tcBorders>
          </w:tcPr>
          <w:p>
            <w:pPr>
              <w:pStyle w:val="TableParagraph"/>
              <w:spacing w:before="65"/>
              <w:ind w:left="296"/>
              <w:rPr>
                <w:sz w:val="18"/>
              </w:rPr>
            </w:pPr>
            <w:r>
              <w:rPr>
                <w:sz w:val="18"/>
              </w:rPr>
              <w:t>6.20</w:t>
            </w:r>
          </w:p>
        </w:tc>
        <w:tc>
          <w:tcPr>
            <w:tcW w:w="1200" w:type="dxa"/>
            <w:tcBorders>
              <w:top w:val="nil"/>
              <w:left w:val="nil"/>
              <w:bottom w:val="dotted" w:sz="4" w:space="0" w:color="000000"/>
              <w:right w:val="nil"/>
            </w:tcBorders>
          </w:tcPr>
          <w:p>
            <w:pPr>
              <w:pStyle w:val="TableParagraph"/>
              <w:spacing w:before="65"/>
              <w:ind w:left="329" w:right="332"/>
              <w:jc w:val="center"/>
              <w:rPr>
                <w:sz w:val="18"/>
              </w:rPr>
            </w:pPr>
            <w:r>
              <w:rPr>
                <w:sz w:val="18"/>
              </w:rPr>
              <w:t>6.30</w:t>
            </w:r>
          </w:p>
        </w:tc>
        <w:tc>
          <w:tcPr>
            <w:tcW w:w="1201" w:type="dxa"/>
            <w:tcBorders>
              <w:top w:val="nil"/>
              <w:left w:val="nil"/>
              <w:bottom w:val="dotted" w:sz="4" w:space="0" w:color="000000"/>
              <w:right w:val="nil"/>
            </w:tcBorders>
          </w:tcPr>
          <w:p>
            <w:pPr>
              <w:pStyle w:val="TableParagraph"/>
              <w:spacing w:before="65"/>
              <w:ind w:left="329" w:right="332"/>
              <w:jc w:val="center"/>
              <w:rPr>
                <w:sz w:val="18"/>
              </w:rPr>
            </w:pPr>
            <w:r>
              <w:rPr>
                <w:sz w:val="18"/>
              </w:rPr>
              <w:t>6.15</w:t>
            </w:r>
          </w:p>
        </w:tc>
        <w:tc>
          <w:tcPr>
            <w:tcW w:w="1138" w:type="dxa"/>
            <w:tcBorders>
              <w:top w:val="nil"/>
              <w:left w:val="nil"/>
              <w:bottom w:val="dotted" w:sz="4" w:space="0" w:color="000000"/>
              <w:right w:val="nil"/>
            </w:tcBorders>
          </w:tcPr>
          <w:p>
            <w:pPr>
              <w:pStyle w:val="TableParagraph"/>
              <w:spacing w:before="65"/>
              <w:ind w:right="377"/>
              <w:jc w:val="right"/>
              <w:rPr>
                <w:sz w:val="18"/>
              </w:rPr>
            </w:pPr>
            <w:r>
              <w:rPr>
                <w:sz w:val="18"/>
              </w:rPr>
              <w:t>6.21</w:t>
            </w:r>
          </w:p>
        </w:tc>
        <w:tc>
          <w:tcPr>
            <w:tcW w:w="1008" w:type="dxa"/>
            <w:tcBorders>
              <w:top w:val="nil"/>
              <w:left w:val="nil"/>
              <w:bottom w:val="dotted" w:sz="4" w:space="0" w:color="000000"/>
              <w:right w:val="nil"/>
            </w:tcBorders>
          </w:tcPr>
          <w:p>
            <w:pPr>
              <w:pStyle w:val="TableParagraph"/>
              <w:spacing w:before="65"/>
              <w:ind w:left="302" w:right="240"/>
              <w:jc w:val="center"/>
              <w:rPr>
                <w:sz w:val="18"/>
              </w:rPr>
            </w:pPr>
            <w:r>
              <w:rPr>
                <w:sz w:val="18"/>
              </w:rPr>
              <w:t>6.14</w:t>
            </w:r>
          </w:p>
        </w:tc>
        <w:tc>
          <w:tcPr>
            <w:tcW w:w="850" w:type="dxa"/>
            <w:tcBorders>
              <w:top w:val="nil"/>
              <w:left w:val="nil"/>
              <w:bottom w:val="dotted" w:sz="4" w:space="0" w:color="000000"/>
              <w:right w:val="nil"/>
            </w:tcBorders>
          </w:tcPr>
          <w:p>
            <w:pPr>
              <w:pStyle w:val="TableParagraph"/>
              <w:spacing w:before="65"/>
              <w:ind w:left="268"/>
              <w:rPr>
                <w:sz w:val="18"/>
              </w:rPr>
            </w:pPr>
            <w:r>
              <w:rPr>
                <w:sz w:val="18"/>
              </w:rPr>
              <w:t>6.15</w:t>
            </w:r>
          </w:p>
        </w:tc>
      </w:tr>
      <w:tr>
        <w:trPr>
          <w:trHeight w:val="312" w:hRule="exact"/>
        </w:trPr>
        <w:tc>
          <w:tcPr>
            <w:tcW w:w="8648" w:type="dxa"/>
            <w:gridSpan w:val="8"/>
            <w:tcBorders>
              <w:top w:val="nil"/>
              <w:left w:val="nil"/>
              <w:bottom w:val="nil"/>
              <w:right w:val="nil"/>
            </w:tcBorders>
          </w:tcPr>
          <w:p>
            <w:pPr>
              <w:pStyle w:val="TableParagraph"/>
              <w:tabs>
                <w:tab w:pos="1363" w:val="left" w:leader="none"/>
              </w:tabs>
              <w:spacing w:before="48"/>
              <w:ind w:left="331"/>
              <w:rPr>
                <w:sz w:val="18"/>
              </w:rPr>
            </w:pPr>
            <w:r>
              <w:rPr>
                <w:sz w:val="18"/>
              </w:rPr>
              <w:t>Time</w:t>
            </w:r>
            <w:r>
              <w:rPr>
                <w:spacing w:val="-3"/>
                <w:sz w:val="18"/>
              </w:rPr>
              <w:t> </w:t>
            </w:r>
            <w:r>
              <w:rPr>
                <w:sz w:val="18"/>
              </w:rPr>
              <w:t>(h)</w:t>
              <w:tab/>
              <w:t>Gas pressure (psi) determined with the detectors </w:t>
            </w:r>
            <w:r>
              <w:rPr>
                <w:spacing w:val="-3"/>
                <w:sz w:val="18"/>
              </w:rPr>
              <w:t>of ANKOM </w:t>
            </w:r>
            <w:r>
              <w:rPr>
                <w:sz w:val="18"/>
              </w:rPr>
              <w:t>during 72</w:t>
            </w:r>
            <w:r>
              <w:rPr>
                <w:spacing w:val="6"/>
                <w:sz w:val="18"/>
              </w:rPr>
              <w:t> </w:t>
            </w:r>
            <w:r>
              <w:rPr>
                <w:sz w:val="18"/>
              </w:rPr>
              <w:t>h</w:t>
            </w:r>
          </w:p>
        </w:tc>
      </w:tr>
      <w:tr>
        <w:trPr>
          <w:trHeight w:val="310" w:hRule="exact"/>
        </w:trPr>
        <w:tc>
          <w:tcPr>
            <w:tcW w:w="1104" w:type="dxa"/>
            <w:tcBorders>
              <w:top w:val="dotted" w:sz="4" w:space="0" w:color="000000"/>
              <w:left w:val="nil"/>
              <w:bottom w:val="nil"/>
              <w:right w:val="nil"/>
            </w:tcBorders>
          </w:tcPr>
          <w:p>
            <w:pPr>
              <w:pStyle w:val="TableParagraph"/>
              <w:spacing w:before="43"/>
              <w:ind w:right="411"/>
              <w:jc w:val="right"/>
              <w:rPr>
                <w:sz w:val="18"/>
              </w:rPr>
            </w:pPr>
            <w:r>
              <w:rPr>
                <w:w w:val="101"/>
                <w:sz w:val="18"/>
              </w:rPr>
              <w:t>0</w:t>
            </w:r>
          </w:p>
        </w:tc>
        <w:tc>
          <w:tcPr>
            <w:tcW w:w="1086" w:type="dxa"/>
            <w:tcBorders>
              <w:top w:val="dotted" w:sz="4" w:space="0" w:color="000000"/>
              <w:left w:val="nil"/>
              <w:bottom w:val="nil"/>
              <w:right w:val="nil"/>
            </w:tcBorders>
          </w:tcPr>
          <w:p>
            <w:pPr>
              <w:pStyle w:val="TableParagraph"/>
              <w:spacing w:before="43"/>
              <w:ind w:right="311"/>
              <w:jc w:val="right"/>
              <w:rPr>
                <w:sz w:val="18"/>
              </w:rPr>
            </w:pPr>
            <w:r>
              <w:rPr>
                <w:sz w:val="18"/>
              </w:rPr>
              <w:t>0.000</w:t>
            </w:r>
          </w:p>
        </w:tc>
        <w:tc>
          <w:tcPr>
            <w:tcW w:w="1060" w:type="dxa"/>
            <w:tcBorders>
              <w:top w:val="dotted" w:sz="4" w:space="0" w:color="000000"/>
              <w:left w:val="nil"/>
              <w:bottom w:val="nil"/>
              <w:right w:val="nil"/>
            </w:tcBorders>
          </w:tcPr>
          <w:p>
            <w:pPr>
              <w:pStyle w:val="TableParagraph"/>
              <w:spacing w:before="43"/>
              <w:ind w:left="253"/>
              <w:rPr>
                <w:sz w:val="18"/>
              </w:rPr>
            </w:pPr>
            <w:r>
              <w:rPr>
                <w:sz w:val="18"/>
              </w:rPr>
              <w:t>0.000</w:t>
            </w:r>
          </w:p>
        </w:tc>
        <w:tc>
          <w:tcPr>
            <w:tcW w:w="1200" w:type="dxa"/>
            <w:tcBorders>
              <w:top w:val="dotted" w:sz="4" w:space="0" w:color="000000"/>
              <w:left w:val="nil"/>
              <w:bottom w:val="nil"/>
              <w:right w:val="nil"/>
            </w:tcBorders>
          </w:tcPr>
          <w:p>
            <w:pPr>
              <w:pStyle w:val="TableParagraph"/>
              <w:spacing w:before="43"/>
              <w:ind w:left="330" w:right="332"/>
              <w:jc w:val="center"/>
              <w:rPr>
                <w:sz w:val="18"/>
              </w:rPr>
            </w:pPr>
            <w:r>
              <w:rPr>
                <w:sz w:val="18"/>
              </w:rPr>
              <w:t>0.000</w:t>
            </w:r>
          </w:p>
        </w:tc>
        <w:tc>
          <w:tcPr>
            <w:tcW w:w="1201" w:type="dxa"/>
            <w:tcBorders>
              <w:top w:val="dotted" w:sz="4" w:space="0" w:color="000000"/>
              <w:left w:val="nil"/>
              <w:bottom w:val="nil"/>
              <w:right w:val="nil"/>
            </w:tcBorders>
          </w:tcPr>
          <w:p>
            <w:pPr>
              <w:pStyle w:val="TableParagraph"/>
              <w:spacing w:before="43"/>
              <w:ind w:left="329" w:right="332"/>
              <w:jc w:val="center"/>
              <w:rPr>
                <w:sz w:val="18"/>
              </w:rPr>
            </w:pPr>
            <w:r>
              <w:rPr>
                <w:sz w:val="18"/>
              </w:rPr>
              <w:t>0.000</w:t>
            </w:r>
          </w:p>
        </w:tc>
        <w:tc>
          <w:tcPr>
            <w:tcW w:w="1138" w:type="dxa"/>
            <w:tcBorders>
              <w:top w:val="dotted" w:sz="4" w:space="0" w:color="000000"/>
              <w:left w:val="nil"/>
              <w:bottom w:val="nil"/>
              <w:right w:val="nil"/>
            </w:tcBorders>
          </w:tcPr>
          <w:p>
            <w:pPr>
              <w:pStyle w:val="TableParagraph"/>
              <w:spacing w:before="43"/>
              <w:ind w:right="334"/>
              <w:jc w:val="right"/>
              <w:rPr>
                <w:sz w:val="18"/>
              </w:rPr>
            </w:pPr>
            <w:r>
              <w:rPr>
                <w:sz w:val="18"/>
              </w:rPr>
              <w:t>0.000</w:t>
            </w:r>
          </w:p>
        </w:tc>
        <w:tc>
          <w:tcPr>
            <w:tcW w:w="1008" w:type="dxa"/>
            <w:tcBorders>
              <w:top w:val="dotted" w:sz="4" w:space="0" w:color="000000"/>
              <w:left w:val="nil"/>
              <w:bottom w:val="nil"/>
              <w:right w:val="nil"/>
            </w:tcBorders>
          </w:tcPr>
          <w:p>
            <w:pPr>
              <w:pStyle w:val="TableParagraph"/>
              <w:spacing w:before="43"/>
              <w:ind w:left="302" w:right="240"/>
              <w:jc w:val="center"/>
              <w:rPr>
                <w:sz w:val="18"/>
              </w:rPr>
            </w:pPr>
            <w:r>
              <w:rPr>
                <w:sz w:val="18"/>
              </w:rPr>
              <w:t>0.000</w:t>
            </w:r>
          </w:p>
        </w:tc>
        <w:tc>
          <w:tcPr>
            <w:tcW w:w="850" w:type="dxa"/>
            <w:tcBorders>
              <w:top w:val="dotted" w:sz="4" w:space="0" w:color="000000"/>
              <w:left w:val="nil"/>
              <w:bottom w:val="nil"/>
              <w:right w:val="nil"/>
            </w:tcBorders>
          </w:tcPr>
          <w:p>
            <w:pPr>
              <w:pStyle w:val="TableParagraph"/>
              <w:spacing w:before="43"/>
              <w:ind w:left="225"/>
              <w:rPr>
                <w:sz w:val="18"/>
              </w:rPr>
            </w:pPr>
            <w:r>
              <w:rPr>
                <w:sz w:val="18"/>
              </w:rPr>
              <w:t>0.000</w:t>
            </w:r>
          </w:p>
        </w:tc>
      </w:tr>
      <w:tr>
        <w:trPr>
          <w:trHeight w:val="300" w:hRule="exact"/>
        </w:trPr>
        <w:tc>
          <w:tcPr>
            <w:tcW w:w="1104" w:type="dxa"/>
            <w:tcBorders>
              <w:top w:val="nil"/>
              <w:left w:val="nil"/>
              <w:bottom w:val="nil"/>
              <w:right w:val="nil"/>
            </w:tcBorders>
          </w:tcPr>
          <w:p>
            <w:pPr>
              <w:pStyle w:val="TableParagraph"/>
              <w:spacing w:before="36"/>
              <w:ind w:right="411"/>
              <w:jc w:val="right"/>
              <w:rPr>
                <w:sz w:val="18"/>
              </w:rPr>
            </w:pPr>
            <w:r>
              <w:rPr>
                <w:w w:val="101"/>
                <w:sz w:val="18"/>
              </w:rPr>
              <w:t>2</w:t>
            </w:r>
          </w:p>
        </w:tc>
        <w:tc>
          <w:tcPr>
            <w:tcW w:w="1086" w:type="dxa"/>
            <w:tcBorders>
              <w:top w:val="nil"/>
              <w:left w:val="nil"/>
              <w:bottom w:val="nil"/>
              <w:right w:val="nil"/>
            </w:tcBorders>
          </w:tcPr>
          <w:p>
            <w:pPr>
              <w:pStyle w:val="TableParagraph"/>
              <w:spacing w:before="36"/>
              <w:ind w:right="311"/>
              <w:jc w:val="right"/>
              <w:rPr>
                <w:sz w:val="18"/>
              </w:rPr>
            </w:pPr>
            <w:r>
              <w:rPr>
                <w:sz w:val="18"/>
              </w:rPr>
              <w:t>1.219</w:t>
            </w:r>
          </w:p>
        </w:tc>
        <w:tc>
          <w:tcPr>
            <w:tcW w:w="1060" w:type="dxa"/>
            <w:tcBorders>
              <w:top w:val="nil"/>
              <w:left w:val="nil"/>
              <w:bottom w:val="nil"/>
              <w:right w:val="nil"/>
            </w:tcBorders>
          </w:tcPr>
          <w:p>
            <w:pPr>
              <w:pStyle w:val="TableParagraph"/>
              <w:spacing w:before="36"/>
              <w:ind w:left="253"/>
              <w:rPr>
                <w:sz w:val="18"/>
              </w:rPr>
            </w:pPr>
            <w:r>
              <w:rPr>
                <w:sz w:val="18"/>
              </w:rPr>
              <w:t>1.322</w:t>
            </w:r>
          </w:p>
        </w:tc>
        <w:tc>
          <w:tcPr>
            <w:tcW w:w="1200" w:type="dxa"/>
            <w:tcBorders>
              <w:top w:val="nil"/>
              <w:left w:val="nil"/>
              <w:bottom w:val="nil"/>
              <w:right w:val="nil"/>
            </w:tcBorders>
          </w:tcPr>
          <w:p>
            <w:pPr>
              <w:pStyle w:val="TableParagraph"/>
              <w:spacing w:before="36"/>
              <w:ind w:left="330" w:right="332"/>
              <w:jc w:val="center"/>
              <w:rPr>
                <w:sz w:val="18"/>
              </w:rPr>
            </w:pPr>
            <w:r>
              <w:rPr>
                <w:sz w:val="18"/>
              </w:rPr>
              <w:t>1.286</w:t>
            </w:r>
          </w:p>
        </w:tc>
        <w:tc>
          <w:tcPr>
            <w:tcW w:w="1201" w:type="dxa"/>
            <w:tcBorders>
              <w:top w:val="nil"/>
              <w:left w:val="nil"/>
              <w:bottom w:val="nil"/>
              <w:right w:val="nil"/>
            </w:tcBorders>
          </w:tcPr>
          <w:p>
            <w:pPr>
              <w:pStyle w:val="TableParagraph"/>
              <w:spacing w:before="36"/>
              <w:ind w:left="329" w:right="332"/>
              <w:jc w:val="center"/>
              <w:rPr>
                <w:sz w:val="18"/>
              </w:rPr>
            </w:pPr>
            <w:r>
              <w:rPr>
                <w:sz w:val="18"/>
              </w:rPr>
              <w:t>1.334</w:t>
            </w:r>
          </w:p>
        </w:tc>
        <w:tc>
          <w:tcPr>
            <w:tcW w:w="1138" w:type="dxa"/>
            <w:tcBorders>
              <w:top w:val="nil"/>
              <w:left w:val="nil"/>
              <w:bottom w:val="nil"/>
              <w:right w:val="nil"/>
            </w:tcBorders>
          </w:tcPr>
          <w:p>
            <w:pPr>
              <w:pStyle w:val="TableParagraph"/>
              <w:spacing w:before="36"/>
              <w:ind w:right="334"/>
              <w:jc w:val="right"/>
              <w:rPr>
                <w:sz w:val="18"/>
              </w:rPr>
            </w:pPr>
            <w:r>
              <w:rPr>
                <w:sz w:val="18"/>
              </w:rPr>
              <w:t>1.237</w:t>
            </w:r>
          </w:p>
        </w:tc>
        <w:tc>
          <w:tcPr>
            <w:tcW w:w="1008" w:type="dxa"/>
            <w:tcBorders>
              <w:top w:val="nil"/>
              <w:left w:val="nil"/>
              <w:bottom w:val="nil"/>
              <w:right w:val="nil"/>
            </w:tcBorders>
          </w:tcPr>
          <w:p>
            <w:pPr>
              <w:pStyle w:val="TableParagraph"/>
              <w:spacing w:before="36"/>
              <w:ind w:left="302" w:right="240"/>
              <w:jc w:val="center"/>
              <w:rPr>
                <w:sz w:val="18"/>
              </w:rPr>
            </w:pPr>
            <w:r>
              <w:rPr>
                <w:sz w:val="18"/>
              </w:rPr>
              <w:t>1.298</w:t>
            </w:r>
          </w:p>
        </w:tc>
        <w:tc>
          <w:tcPr>
            <w:tcW w:w="850" w:type="dxa"/>
            <w:tcBorders>
              <w:top w:val="nil"/>
              <w:left w:val="nil"/>
              <w:bottom w:val="nil"/>
              <w:right w:val="nil"/>
            </w:tcBorders>
          </w:tcPr>
          <w:p>
            <w:pPr>
              <w:pStyle w:val="TableParagraph"/>
              <w:spacing w:before="36"/>
              <w:ind w:left="225"/>
              <w:rPr>
                <w:sz w:val="18"/>
              </w:rPr>
            </w:pPr>
            <w:r>
              <w:rPr>
                <w:sz w:val="18"/>
              </w:rPr>
              <w:t>1.383</w:t>
            </w:r>
          </w:p>
        </w:tc>
      </w:tr>
      <w:tr>
        <w:trPr>
          <w:trHeight w:val="300" w:hRule="exact"/>
        </w:trPr>
        <w:tc>
          <w:tcPr>
            <w:tcW w:w="1104" w:type="dxa"/>
            <w:tcBorders>
              <w:top w:val="nil"/>
              <w:left w:val="nil"/>
              <w:bottom w:val="nil"/>
              <w:right w:val="nil"/>
            </w:tcBorders>
          </w:tcPr>
          <w:p>
            <w:pPr>
              <w:pStyle w:val="TableParagraph"/>
              <w:spacing w:before="38"/>
              <w:ind w:right="411"/>
              <w:jc w:val="right"/>
              <w:rPr>
                <w:sz w:val="18"/>
              </w:rPr>
            </w:pPr>
            <w:r>
              <w:rPr>
                <w:w w:val="101"/>
                <w:sz w:val="18"/>
              </w:rPr>
              <w:t>4</w:t>
            </w:r>
          </w:p>
        </w:tc>
        <w:tc>
          <w:tcPr>
            <w:tcW w:w="1086" w:type="dxa"/>
            <w:tcBorders>
              <w:top w:val="nil"/>
              <w:left w:val="nil"/>
              <w:bottom w:val="nil"/>
              <w:right w:val="nil"/>
            </w:tcBorders>
          </w:tcPr>
          <w:p>
            <w:pPr>
              <w:pStyle w:val="TableParagraph"/>
              <w:spacing w:before="38"/>
              <w:ind w:right="311"/>
              <w:jc w:val="right"/>
              <w:rPr>
                <w:sz w:val="18"/>
              </w:rPr>
            </w:pPr>
            <w:r>
              <w:rPr>
                <w:sz w:val="18"/>
              </w:rPr>
              <w:t>2.165</w:t>
            </w:r>
          </w:p>
        </w:tc>
        <w:tc>
          <w:tcPr>
            <w:tcW w:w="1060" w:type="dxa"/>
            <w:tcBorders>
              <w:top w:val="nil"/>
              <w:left w:val="nil"/>
              <w:bottom w:val="nil"/>
              <w:right w:val="nil"/>
            </w:tcBorders>
          </w:tcPr>
          <w:p>
            <w:pPr>
              <w:pStyle w:val="TableParagraph"/>
              <w:spacing w:before="38"/>
              <w:ind w:left="253"/>
              <w:rPr>
                <w:sz w:val="18"/>
              </w:rPr>
            </w:pPr>
            <w:r>
              <w:rPr>
                <w:sz w:val="18"/>
              </w:rPr>
              <w:t>2.001</w:t>
            </w:r>
          </w:p>
        </w:tc>
        <w:tc>
          <w:tcPr>
            <w:tcW w:w="1200" w:type="dxa"/>
            <w:tcBorders>
              <w:top w:val="nil"/>
              <w:left w:val="nil"/>
              <w:bottom w:val="nil"/>
              <w:right w:val="nil"/>
            </w:tcBorders>
          </w:tcPr>
          <w:p>
            <w:pPr>
              <w:pStyle w:val="TableParagraph"/>
              <w:spacing w:before="38"/>
              <w:ind w:left="330" w:right="332"/>
              <w:jc w:val="center"/>
              <w:rPr>
                <w:sz w:val="18"/>
              </w:rPr>
            </w:pPr>
            <w:r>
              <w:rPr>
                <w:sz w:val="18"/>
              </w:rPr>
              <w:t>1.989</w:t>
            </w:r>
          </w:p>
        </w:tc>
        <w:tc>
          <w:tcPr>
            <w:tcW w:w="1201" w:type="dxa"/>
            <w:tcBorders>
              <w:top w:val="nil"/>
              <w:left w:val="nil"/>
              <w:bottom w:val="nil"/>
              <w:right w:val="nil"/>
            </w:tcBorders>
          </w:tcPr>
          <w:p>
            <w:pPr>
              <w:pStyle w:val="TableParagraph"/>
              <w:spacing w:before="38"/>
              <w:ind w:left="329" w:right="332"/>
              <w:jc w:val="center"/>
              <w:rPr>
                <w:sz w:val="18"/>
              </w:rPr>
            </w:pPr>
            <w:r>
              <w:rPr>
                <w:sz w:val="18"/>
              </w:rPr>
              <w:t>2.099</w:t>
            </w:r>
          </w:p>
        </w:tc>
        <w:tc>
          <w:tcPr>
            <w:tcW w:w="1138" w:type="dxa"/>
            <w:tcBorders>
              <w:top w:val="nil"/>
              <w:left w:val="nil"/>
              <w:bottom w:val="nil"/>
              <w:right w:val="nil"/>
            </w:tcBorders>
          </w:tcPr>
          <w:p>
            <w:pPr>
              <w:pStyle w:val="TableParagraph"/>
              <w:spacing w:before="38"/>
              <w:ind w:right="334"/>
              <w:jc w:val="right"/>
              <w:rPr>
                <w:sz w:val="18"/>
              </w:rPr>
            </w:pPr>
            <w:r>
              <w:rPr>
                <w:sz w:val="18"/>
              </w:rPr>
              <w:t>1.977</w:t>
            </w:r>
          </w:p>
        </w:tc>
        <w:tc>
          <w:tcPr>
            <w:tcW w:w="1008" w:type="dxa"/>
            <w:tcBorders>
              <w:top w:val="nil"/>
              <w:left w:val="nil"/>
              <w:bottom w:val="nil"/>
              <w:right w:val="nil"/>
            </w:tcBorders>
          </w:tcPr>
          <w:p>
            <w:pPr>
              <w:pStyle w:val="TableParagraph"/>
              <w:spacing w:before="38"/>
              <w:ind w:left="302" w:right="240"/>
              <w:jc w:val="center"/>
              <w:rPr>
                <w:sz w:val="18"/>
              </w:rPr>
            </w:pPr>
            <w:r>
              <w:rPr>
                <w:sz w:val="18"/>
              </w:rPr>
              <w:t>2.050</w:t>
            </w:r>
          </w:p>
        </w:tc>
        <w:tc>
          <w:tcPr>
            <w:tcW w:w="850" w:type="dxa"/>
            <w:tcBorders>
              <w:top w:val="nil"/>
              <w:left w:val="nil"/>
              <w:bottom w:val="nil"/>
              <w:right w:val="nil"/>
            </w:tcBorders>
          </w:tcPr>
          <w:p>
            <w:pPr>
              <w:pStyle w:val="TableParagraph"/>
              <w:spacing w:before="38"/>
              <w:ind w:left="225"/>
              <w:rPr>
                <w:sz w:val="18"/>
              </w:rPr>
            </w:pPr>
            <w:r>
              <w:rPr>
                <w:sz w:val="18"/>
              </w:rPr>
              <w:t>2.147</w:t>
            </w:r>
          </w:p>
        </w:tc>
      </w:tr>
      <w:tr>
        <w:trPr>
          <w:trHeight w:val="300" w:hRule="exact"/>
        </w:trPr>
        <w:tc>
          <w:tcPr>
            <w:tcW w:w="1104" w:type="dxa"/>
            <w:tcBorders>
              <w:top w:val="nil"/>
              <w:left w:val="nil"/>
              <w:bottom w:val="nil"/>
              <w:right w:val="nil"/>
            </w:tcBorders>
          </w:tcPr>
          <w:p>
            <w:pPr>
              <w:pStyle w:val="TableParagraph"/>
              <w:spacing w:before="36"/>
              <w:ind w:right="411"/>
              <w:jc w:val="right"/>
              <w:rPr>
                <w:sz w:val="18"/>
              </w:rPr>
            </w:pPr>
            <w:r>
              <w:rPr>
                <w:w w:val="101"/>
                <w:sz w:val="18"/>
              </w:rPr>
              <w:t>6</w:t>
            </w:r>
          </w:p>
        </w:tc>
        <w:tc>
          <w:tcPr>
            <w:tcW w:w="1086" w:type="dxa"/>
            <w:tcBorders>
              <w:top w:val="nil"/>
              <w:left w:val="nil"/>
              <w:bottom w:val="nil"/>
              <w:right w:val="nil"/>
            </w:tcBorders>
          </w:tcPr>
          <w:p>
            <w:pPr>
              <w:pStyle w:val="TableParagraph"/>
              <w:spacing w:before="36"/>
              <w:ind w:right="311"/>
              <w:jc w:val="right"/>
              <w:rPr>
                <w:sz w:val="18"/>
              </w:rPr>
            </w:pPr>
            <w:r>
              <w:rPr>
                <w:sz w:val="18"/>
              </w:rPr>
              <w:t>3.039</w:t>
            </w:r>
          </w:p>
        </w:tc>
        <w:tc>
          <w:tcPr>
            <w:tcW w:w="1060" w:type="dxa"/>
            <w:tcBorders>
              <w:top w:val="nil"/>
              <w:left w:val="nil"/>
              <w:bottom w:val="nil"/>
              <w:right w:val="nil"/>
            </w:tcBorders>
          </w:tcPr>
          <w:p>
            <w:pPr>
              <w:pStyle w:val="TableParagraph"/>
              <w:spacing w:before="36"/>
              <w:ind w:left="253"/>
              <w:rPr>
                <w:sz w:val="18"/>
              </w:rPr>
            </w:pPr>
            <w:r>
              <w:rPr>
                <w:sz w:val="18"/>
              </w:rPr>
              <w:t>2.657</w:t>
            </w:r>
          </w:p>
        </w:tc>
        <w:tc>
          <w:tcPr>
            <w:tcW w:w="1200" w:type="dxa"/>
            <w:tcBorders>
              <w:top w:val="nil"/>
              <w:left w:val="nil"/>
              <w:bottom w:val="nil"/>
              <w:right w:val="nil"/>
            </w:tcBorders>
          </w:tcPr>
          <w:p>
            <w:pPr>
              <w:pStyle w:val="TableParagraph"/>
              <w:spacing w:before="36"/>
              <w:ind w:left="330" w:right="332"/>
              <w:jc w:val="center"/>
              <w:rPr>
                <w:sz w:val="18"/>
              </w:rPr>
            </w:pPr>
            <w:r>
              <w:rPr>
                <w:sz w:val="18"/>
              </w:rPr>
              <w:t>2.632</w:t>
            </w:r>
          </w:p>
        </w:tc>
        <w:tc>
          <w:tcPr>
            <w:tcW w:w="1201" w:type="dxa"/>
            <w:tcBorders>
              <w:top w:val="nil"/>
              <w:left w:val="nil"/>
              <w:bottom w:val="nil"/>
              <w:right w:val="nil"/>
            </w:tcBorders>
          </w:tcPr>
          <w:p>
            <w:pPr>
              <w:pStyle w:val="TableParagraph"/>
              <w:spacing w:before="36"/>
              <w:ind w:left="329" w:right="332"/>
              <w:jc w:val="center"/>
              <w:rPr>
                <w:sz w:val="18"/>
              </w:rPr>
            </w:pPr>
            <w:r>
              <w:rPr>
                <w:sz w:val="18"/>
              </w:rPr>
              <w:t>2.778</w:t>
            </w:r>
          </w:p>
        </w:tc>
        <w:tc>
          <w:tcPr>
            <w:tcW w:w="1138" w:type="dxa"/>
            <w:tcBorders>
              <w:top w:val="nil"/>
              <w:left w:val="nil"/>
              <w:bottom w:val="nil"/>
              <w:right w:val="nil"/>
            </w:tcBorders>
          </w:tcPr>
          <w:p>
            <w:pPr>
              <w:pStyle w:val="TableParagraph"/>
              <w:spacing w:before="36"/>
              <w:ind w:right="334"/>
              <w:jc w:val="right"/>
              <w:rPr>
                <w:sz w:val="18"/>
              </w:rPr>
            </w:pPr>
            <w:r>
              <w:rPr>
                <w:sz w:val="18"/>
              </w:rPr>
              <w:t>2.657</w:t>
            </w:r>
          </w:p>
        </w:tc>
        <w:tc>
          <w:tcPr>
            <w:tcW w:w="1008" w:type="dxa"/>
            <w:tcBorders>
              <w:top w:val="nil"/>
              <w:left w:val="nil"/>
              <w:bottom w:val="nil"/>
              <w:right w:val="nil"/>
            </w:tcBorders>
          </w:tcPr>
          <w:p>
            <w:pPr>
              <w:pStyle w:val="TableParagraph"/>
              <w:spacing w:before="36"/>
              <w:ind w:left="302" w:right="240"/>
              <w:jc w:val="center"/>
              <w:rPr>
                <w:sz w:val="18"/>
              </w:rPr>
            </w:pPr>
            <w:r>
              <w:rPr>
                <w:sz w:val="18"/>
              </w:rPr>
              <w:t>2.681</w:t>
            </w:r>
          </w:p>
        </w:tc>
        <w:tc>
          <w:tcPr>
            <w:tcW w:w="850" w:type="dxa"/>
            <w:tcBorders>
              <w:top w:val="nil"/>
              <w:left w:val="nil"/>
              <w:bottom w:val="nil"/>
              <w:right w:val="nil"/>
            </w:tcBorders>
          </w:tcPr>
          <w:p>
            <w:pPr>
              <w:pStyle w:val="TableParagraph"/>
              <w:spacing w:before="36"/>
              <w:ind w:left="225"/>
              <w:rPr>
                <w:sz w:val="18"/>
              </w:rPr>
            </w:pPr>
            <w:r>
              <w:rPr>
                <w:sz w:val="18"/>
              </w:rPr>
              <w:t>2.747</w:t>
            </w:r>
          </w:p>
        </w:tc>
      </w:tr>
      <w:tr>
        <w:trPr>
          <w:trHeight w:val="300" w:hRule="exact"/>
        </w:trPr>
        <w:tc>
          <w:tcPr>
            <w:tcW w:w="1104" w:type="dxa"/>
            <w:tcBorders>
              <w:top w:val="nil"/>
              <w:left w:val="nil"/>
              <w:bottom w:val="nil"/>
              <w:right w:val="nil"/>
            </w:tcBorders>
          </w:tcPr>
          <w:p>
            <w:pPr>
              <w:pStyle w:val="TableParagraph"/>
              <w:spacing w:before="38"/>
              <w:ind w:right="411"/>
              <w:jc w:val="right"/>
              <w:rPr>
                <w:sz w:val="18"/>
              </w:rPr>
            </w:pPr>
            <w:r>
              <w:rPr>
                <w:w w:val="101"/>
                <w:sz w:val="18"/>
              </w:rPr>
              <w:t>8</w:t>
            </w:r>
          </w:p>
        </w:tc>
        <w:tc>
          <w:tcPr>
            <w:tcW w:w="1086" w:type="dxa"/>
            <w:tcBorders>
              <w:top w:val="nil"/>
              <w:left w:val="nil"/>
              <w:bottom w:val="nil"/>
              <w:right w:val="nil"/>
            </w:tcBorders>
          </w:tcPr>
          <w:p>
            <w:pPr>
              <w:pStyle w:val="TableParagraph"/>
              <w:spacing w:before="38"/>
              <w:ind w:right="311"/>
              <w:jc w:val="right"/>
              <w:rPr>
                <w:sz w:val="18"/>
              </w:rPr>
            </w:pPr>
            <w:r>
              <w:rPr>
                <w:sz w:val="18"/>
              </w:rPr>
              <w:t>3.821</w:t>
            </w:r>
          </w:p>
        </w:tc>
        <w:tc>
          <w:tcPr>
            <w:tcW w:w="1060" w:type="dxa"/>
            <w:tcBorders>
              <w:top w:val="nil"/>
              <w:left w:val="nil"/>
              <w:bottom w:val="nil"/>
              <w:right w:val="nil"/>
            </w:tcBorders>
          </w:tcPr>
          <w:p>
            <w:pPr>
              <w:pStyle w:val="TableParagraph"/>
              <w:spacing w:before="38"/>
              <w:ind w:left="253"/>
              <w:rPr>
                <w:sz w:val="18"/>
              </w:rPr>
            </w:pPr>
            <w:r>
              <w:rPr>
                <w:sz w:val="18"/>
              </w:rPr>
              <w:t>3.299</w:t>
            </w:r>
          </w:p>
        </w:tc>
        <w:tc>
          <w:tcPr>
            <w:tcW w:w="1200" w:type="dxa"/>
            <w:tcBorders>
              <w:top w:val="nil"/>
              <w:left w:val="nil"/>
              <w:bottom w:val="nil"/>
              <w:right w:val="nil"/>
            </w:tcBorders>
          </w:tcPr>
          <w:p>
            <w:pPr>
              <w:pStyle w:val="TableParagraph"/>
              <w:spacing w:before="38"/>
              <w:ind w:left="330" w:right="332"/>
              <w:jc w:val="center"/>
              <w:rPr>
                <w:sz w:val="18"/>
              </w:rPr>
            </w:pPr>
            <w:r>
              <w:rPr>
                <w:sz w:val="18"/>
              </w:rPr>
              <w:t>3.263</w:t>
            </w:r>
          </w:p>
        </w:tc>
        <w:tc>
          <w:tcPr>
            <w:tcW w:w="1201" w:type="dxa"/>
            <w:tcBorders>
              <w:top w:val="nil"/>
              <w:left w:val="nil"/>
              <w:bottom w:val="nil"/>
              <w:right w:val="nil"/>
            </w:tcBorders>
          </w:tcPr>
          <w:p>
            <w:pPr>
              <w:pStyle w:val="TableParagraph"/>
              <w:spacing w:before="38"/>
              <w:ind w:left="329" w:right="332"/>
              <w:jc w:val="center"/>
              <w:rPr>
                <w:sz w:val="18"/>
              </w:rPr>
            </w:pPr>
            <w:r>
              <w:rPr>
                <w:sz w:val="18"/>
              </w:rPr>
              <w:t>3.506</w:t>
            </w:r>
          </w:p>
        </w:tc>
        <w:tc>
          <w:tcPr>
            <w:tcW w:w="1138" w:type="dxa"/>
            <w:tcBorders>
              <w:top w:val="nil"/>
              <w:left w:val="nil"/>
              <w:bottom w:val="nil"/>
              <w:right w:val="nil"/>
            </w:tcBorders>
          </w:tcPr>
          <w:p>
            <w:pPr>
              <w:pStyle w:val="TableParagraph"/>
              <w:spacing w:before="38"/>
              <w:ind w:right="334"/>
              <w:jc w:val="right"/>
              <w:rPr>
                <w:sz w:val="18"/>
              </w:rPr>
            </w:pPr>
            <w:r>
              <w:rPr>
                <w:sz w:val="18"/>
              </w:rPr>
              <w:t>3.287</w:t>
            </w:r>
          </w:p>
        </w:tc>
        <w:tc>
          <w:tcPr>
            <w:tcW w:w="1008" w:type="dxa"/>
            <w:tcBorders>
              <w:top w:val="nil"/>
              <w:left w:val="nil"/>
              <w:bottom w:val="nil"/>
              <w:right w:val="nil"/>
            </w:tcBorders>
          </w:tcPr>
          <w:p>
            <w:pPr>
              <w:pStyle w:val="TableParagraph"/>
              <w:spacing w:before="38"/>
              <w:ind w:left="302" w:right="240"/>
              <w:jc w:val="center"/>
              <w:rPr>
                <w:sz w:val="18"/>
              </w:rPr>
            </w:pPr>
            <w:r>
              <w:rPr>
                <w:sz w:val="18"/>
              </w:rPr>
              <w:t>3.312</w:t>
            </w:r>
          </w:p>
        </w:tc>
        <w:tc>
          <w:tcPr>
            <w:tcW w:w="850" w:type="dxa"/>
            <w:tcBorders>
              <w:top w:val="nil"/>
              <w:left w:val="nil"/>
              <w:bottom w:val="nil"/>
              <w:right w:val="nil"/>
            </w:tcBorders>
          </w:tcPr>
          <w:p>
            <w:pPr>
              <w:pStyle w:val="TableParagraph"/>
              <w:spacing w:before="38"/>
              <w:ind w:left="225"/>
              <w:rPr>
                <w:sz w:val="18"/>
              </w:rPr>
            </w:pPr>
            <w:r>
              <w:rPr>
                <w:sz w:val="18"/>
              </w:rPr>
              <w:t>3.293</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12</w:t>
            </w:r>
          </w:p>
        </w:tc>
        <w:tc>
          <w:tcPr>
            <w:tcW w:w="1086" w:type="dxa"/>
            <w:tcBorders>
              <w:top w:val="nil"/>
              <w:left w:val="nil"/>
              <w:bottom w:val="nil"/>
              <w:right w:val="nil"/>
            </w:tcBorders>
          </w:tcPr>
          <w:p>
            <w:pPr>
              <w:pStyle w:val="TableParagraph"/>
              <w:spacing w:before="36"/>
              <w:ind w:right="311"/>
              <w:jc w:val="right"/>
              <w:rPr>
                <w:sz w:val="18"/>
              </w:rPr>
            </w:pPr>
            <w:r>
              <w:rPr>
                <w:sz w:val="18"/>
              </w:rPr>
              <w:t>4.749</w:t>
            </w:r>
          </w:p>
        </w:tc>
        <w:tc>
          <w:tcPr>
            <w:tcW w:w="1060" w:type="dxa"/>
            <w:tcBorders>
              <w:top w:val="nil"/>
              <w:left w:val="nil"/>
              <w:bottom w:val="nil"/>
              <w:right w:val="nil"/>
            </w:tcBorders>
          </w:tcPr>
          <w:p>
            <w:pPr>
              <w:pStyle w:val="TableParagraph"/>
              <w:spacing w:before="36"/>
              <w:ind w:left="253"/>
              <w:rPr>
                <w:sz w:val="18"/>
              </w:rPr>
            </w:pPr>
            <w:r>
              <w:rPr>
                <w:sz w:val="18"/>
              </w:rPr>
              <w:t>4.124</w:t>
            </w:r>
          </w:p>
        </w:tc>
        <w:tc>
          <w:tcPr>
            <w:tcW w:w="1200" w:type="dxa"/>
            <w:tcBorders>
              <w:top w:val="nil"/>
              <w:left w:val="nil"/>
              <w:bottom w:val="nil"/>
              <w:right w:val="nil"/>
            </w:tcBorders>
          </w:tcPr>
          <w:p>
            <w:pPr>
              <w:pStyle w:val="TableParagraph"/>
              <w:spacing w:before="36"/>
              <w:ind w:left="330" w:right="332"/>
              <w:jc w:val="center"/>
              <w:rPr>
                <w:sz w:val="18"/>
              </w:rPr>
            </w:pPr>
            <w:r>
              <w:rPr>
                <w:sz w:val="18"/>
              </w:rPr>
              <w:t>4.051</w:t>
            </w:r>
          </w:p>
        </w:tc>
        <w:tc>
          <w:tcPr>
            <w:tcW w:w="1201" w:type="dxa"/>
            <w:tcBorders>
              <w:top w:val="nil"/>
              <w:left w:val="nil"/>
              <w:bottom w:val="nil"/>
              <w:right w:val="nil"/>
            </w:tcBorders>
          </w:tcPr>
          <w:p>
            <w:pPr>
              <w:pStyle w:val="TableParagraph"/>
              <w:spacing w:before="36"/>
              <w:ind w:left="329" w:right="332"/>
              <w:jc w:val="center"/>
              <w:rPr>
                <w:sz w:val="18"/>
              </w:rPr>
            </w:pPr>
            <w:r>
              <w:rPr>
                <w:sz w:val="18"/>
              </w:rPr>
              <w:t>4.355</w:t>
            </w:r>
          </w:p>
        </w:tc>
        <w:tc>
          <w:tcPr>
            <w:tcW w:w="1138" w:type="dxa"/>
            <w:tcBorders>
              <w:top w:val="nil"/>
              <w:left w:val="nil"/>
              <w:bottom w:val="nil"/>
              <w:right w:val="nil"/>
            </w:tcBorders>
          </w:tcPr>
          <w:p>
            <w:pPr>
              <w:pStyle w:val="TableParagraph"/>
              <w:spacing w:before="36"/>
              <w:ind w:right="334"/>
              <w:jc w:val="right"/>
              <w:rPr>
                <w:sz w:val="18"/>
              </w:rPr>
            </w:pPr>
            <w:r>
              <w:rPr>
                <w:sz w:val="18"/>
              </w:rPr>
              <w:t>4.136</w:t>
            </w:r>
          </w:p>
        </w:tc>
        <w:tc>
          <w:tcPr>
            <w:tcW w:w="1008" w:type="dxa"/>
            <w:tcBorders>
              <w:top w:val="nil"/>
              <w:left w:val="nil"/>
              <w:bottom w:val="nil"/>
              <w:right w:val="nil"/>
            </w:tcBorders>
          </w:tcPr>
          <w:p>
            <w:pPr>
              <w:pStyle w:val="TableParagraph"/>
              <w:spacing w:before="36"/>
              <w:ind w:left="302" w:right="240"/>
              <w:jc w:val="center"/>
              <w:rPr>
                <w:sz w:val="18"/>
              </w:rPr>
            </w:pPr>
            <w:r>
              <w:rPr>
                <w:sz w:val="18"/>
              </w:rPr>
              <w:t>4.100</w:t>
            </w:r>
          </w:p>
        </w:tc>
        <w:tc>
          <w:tcPr>
            <w:tcW w:w="850" w:type="dxa"/>
            <w:tcBorders>
              <w:top w:val="nil"/>
              <w:left w:val="nil"/>
              <w:bottom w:val="nil"/>
              <w:right w:val="nil"/>
            </w:tcBorders>
          </w:tcPr>
          <w:p>
            <w:pPr>
              <w:pStyle w:val="TableParagraph"/>
              <w:spacing w:before="36"/>
              <w:ind w:left="225"/>
              <w:rPr>
                <w:sz w:val="18"/>
              </w:rPr>
            </w:pPr>
            <w:r>
              <w:rPr>
                <w:sz w:val="18"/>
              </w:rPr>
              <w:t>4.149</w:t>
            </w:r>
          </w:p>
        </w:tc>
      </w:tr>
      <w:tr>
        <w:trPr>
          <w:trHeight w:val="300" w:hRule="exact"/>
        </w:trPr>
        <w:tc>
          <w:tcPr>
            <w:tcW w:w="1104" w:type="dxa"/>
            <w:tcBorders>
              <w:top w:val="nil"/>
              <w:left w:val="nil"/>
              <w:bottom w:val="nil"/>
              <w:right w:val="nil"/>
            </w:tcBorders>
          </w:tcPr>
          <w:p>
            <w:pPr>
              <w:pStyle w:val="TableParagraph"/>
              <w:spacing w:before="39"/>
              <w:ind w:right="364"/>
              <w:jc w:val="right"/>
              <w:rPr>
                <w:sz w:val="18"/>
              </w:rPr>
            </w:pPr>
            <w:r>
              <w:rPr>
                <w:sz w:val="18"/>
              </w:rPr>
              <w:t>16</w:t>
            </w:r>
          </w:p>
        </w:tc>
        <w:tc>
          <w:tcPr>
            <w:tcW w:w="1086" w:type="dxa"/>
            <w:tcBorders>
              <w:top w:val="nil"/>
              <w:left w:val="nil"/>
              <w:bottom w:val="nil"/>
              <w:right w:val="nil"/>
            </w:tcBorders>
          </w:tcPr>
          <w:p>
            <w:pPr>
              <w:pStyle w:val="TableParagraph"/>
              <w:spacing w:before="39"/>
              <w:ind w:right="311"/>
              <w:jc w:val="right"/>
              <w:rPr>
                <w:sz w:val="18"/>
              </w:rPr>
            </w:pPr>
            <w:r>
              <w:rPr>
                <w:sz w:val="18"/>
              </w:rPr>
              <w:t>5.258</w:t>
            </w:r>
          </w:p>
        </w:tc>
        <w:tc>
          <w:tcPr>
            <w:tcW w:w="1060" w:type="dxa"/>
            <w:tcBorders>
              <w:top w:val="nil"/>
              <w:left w:val="nil"/>
              <w:bottom w:val="nil"/>
              <w:right w:val="nil"/>
            </w:tcBorders>
          </w:tcPr>
          <w:p>
            <w:pPr>
              <w:pStyle w:val="TableParagraph"/>
              <w:spacing w:before="39"/>
              <w:ind w:left="253"/>
              <w:rPr>
                <w:sz w:val="18"/>
              </w:rPr>
            </w:pPr>
            <w:r>
              <w:rPr>
                <w:sz w:val="18"/>
              </w:rPr>
              <w:t>4.561</w:t>
            </w:r>
          </w:p>
        </w:tc>
        <w:tc>
          <w:tcPr>
            <w:tcW w:w="1200" w:type="dxa"/>
            <w:tcBorders>
              <w:top w:val="nil"/>
              <w:left w:val="nil"/>
              <w:bottom w:val="nil"/>
              <w:right w:val="nil"/>
            </w:tcBorders>
          </w:tcPr>
          <w:p>
            <w:pPr>
              <w:pStyle w:val="TableParagraph"/>
              <w:spacing w:before="39"/>
              <w:ind w:left="330" w:right="332"/>
              <w:jc w:val="center"/>
              <w:rPr>
                <w:sz w:val="18"/>
              </w:rPr>
            </w:pPr>
            <w:r>
              <w:rPr>
                <w:sz w:val="18"/>
              </w:rPr>
              <w:t>4.452</w:t>
            </w:r>
          </w:p>
        </w:tc>
        <w:tc>
          <w:tcPr>
            <w:tcW w:w="1201" w:type="dxa"/>
            <w:tcBorders>
              <w:top w:val="nil"/>
              <w:left w:val="nil"/>
              <w:bottom w:val="nil"/>
              <w:right w:val="nil"/>
            </w:tcBorders>
          </w:tcPr>
          <w:p>
            <w:pPr>
              <w:pStyle w:val="TableParagraph"/>
              <w:spacing w:before="39"/>
              <w:ind w:left="329" w:right="332"/>
              <w:jc w:val="center"/>
              <w:rPr>
                <w:sz w:val="18"/>
              </w:rPr>
            </w:pPr>
            <w:r>
              <w:rPr>
                <w:sz w:val="18"/>
              </w:rPr>
              <w:t>4.791</w:t>
            </w:r>
          </w:p>
        </w:tc>
        <w:tc>
          <w:tcPr>
            <w:tcW w:w="1138" w:type="dxa"/>
            <w:tcBorders>
              <w:top w:val="nil"/>
              <w:left w:val="nil"/>
              <w:bottom w:val="nil"/>
              <w:right w:val="nil"/>
            </w:tcBorders>
          </w:tcPr>
          <w:p>
            <w:pPr>
              <w:pStyle w:val="TableParagraph"/>
              <w:spacing w:before="39"/>
              <w:ind w:right="334"/>
              <w:jc w:val="right"/>
              <w:rPr>
                <w:sz w:val="18"/>
              </w:rPr>
            </w:pPr>
            <w:r>
              <w:rPr>
                <w:sz w:val="18"/>
              </w:rPr>
              <w:t>4.549</w:t>
            </w:r>
          </w:p>
        </w:tc>
        <w:tc>
          <w:tcPr>
            <w:tcW w:w="1008" w:type="dxa"/>
            <w:tcBorders>
              <w:top w:val="nil"/>
              <w:left w:val="nil"/>
              <w:bottom w:val="nil"/>
              <w:right w:val="nil"/>
            </w:tcBorders>
          </w:tcPr>
          <w:p>
            <w:pPr>
              <w:pStyle w:val="TableParagraph"/>
              <w:spacing w:before="39"/>
              <w:ind w:left="302" w:right="240"/>
              <w:jc w:val="center"/>
              <w:rPr>
                <w:sz w:val="18"/>
              </w:rPr>
            </w:pPr>
            <w:r>
              <w:rPr>
                <w:sz w:val="18"/>
              </w:rPr>
              <w:t>4.549</w:t>
            </w:r>
          </w:p>
        </w:tc>
        <w:tc>
          <w:tcPr>
            <w:tcW w:w="850" w:type="dxa"/>
            <w:tcBorders>
              <w:top w:val="nil"/>
              <w:left w:val="nil"/>
              <w:bottom w:val="nil"/>
              <w:right w:val="nil"/>
            </w:tcBorders>
          </w:tcPr>
          <w:p>
            <w:pPr>
              <w:pStyle w:val="TableParagraph"/>
              <w:spacing w:before="39"/>
              <w:ind w:left="225"/>
              <w:rPr>
                <w:sz w:val="18"/>
              </w:rPr>
            </w:pPr>
            <w:r>
              <w:rPr>
                <w:sz w:val="18"/>
              </w:rPr>
              <w:t>4.549</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20</w:t>
            </w:r>
          </w:p>
        </w:tc>
        <w:tc>
          <w:tcPr>
            <w:tcW w:w="1086" w:type="dxa"/>
            <w:tcBorders>
              <w:top w:val="nil"/>
              <w:left w:val="nil"/>
              <w:bottom w:val="nil"/>
              <w:right w:val="nil"/>
            </w:tcBorders>
          </w:tcPr>
          <w:p>
            <w:pPr>
              <w:pStyle w:val="TableParagraph"/>
              <w:spacing w:before="36"/>
              <w:ind w:right="311"/>
              <w:jc w:val="right"/>
              <w:rPr>
                <w:sz w:val="18"/>
              </w:rPr>
            </w:pPr>
            <w:r>
              <w:rPr>
                <w:sz w:val="18"/>
              </w:rPr>
              <w:t>5.604</w:t>
            </w:r>
          </w:p>
        </w:tc>
        <w:tc>
          <w:tcPr>
            <w:tcW w:w="1060" w:type="dxa"/>
            <w:tcBorders>
              <w:top w:val="nil"/>
              <w:left w:val="nil"/>
              <w:bottom w:val="nil"/>
              <w:right w:val="nil"/>
            </w:tcBorders>
          </w:tcPr>
          <w:p>
            <w:pPr>
              <w:pStyle w:val="TableParagraph"/>
              <w:spacing w:before="36"/>
              <w:ind w:left="253"/>
              <w:rPr>
                <w:sz w:val="18"/>
              </w:rPr>
            </w:pPr>
            <w:r>
              <w:rPr>
                <w:sz w:val="18"/>
              </w:rPr>
              <w:t>4.804</w:t>
            </w:r>
          </w:p>
        </w:tc>
        <w:tc>
          <w:tcPr>
            <w:tcW w:w="1200" w:type="dxa"/>
            <w:tcBorders>
              <w:top w:val="nil"/>
              <w:left w:val="nil"/>
              <w:bottom w:val="nil"/>
              <w:right w:val="nil"/>
            </w:tcBorders>
          </w:tcPr>
          <w:p>
            <w:pPr>
              <w:pStyle w:val="TableParagraph"/>
              <w:spacing w:before="36"/>
              <w:ind w:left="330" w:right="332"/>
              <w:jc w:val="center"/>
              <w:rPr>
                <w:sz w:val="18"/>
              </w:rPr>
            </w:pPr>
            <w:r>
              <w:rPr>
                <w:sz w:val="18"/>
              </w:rPr>
              <w:t>4.719</w:t>
            </w:r>
          </w:p>
        </w:tc>
        <w:tc>
          <w:tcPr>
            <w:tcW w:w="1201" w:type="dxa"/>
            <w:tcBorders>
              <w:top w:val="nil"/>
              <w:left w:val="nil"/>
              <w:bottom w:val="nil"/>
              <w:right w:val="nil"/>
            </w:tcBorders>
          </w:tcPr>
          <w:p>
            <w:pPr>
              <w:pStyle w:val="TableParagraph"/>
              <w:spacing w:before="36"/>
              <w:ind w:left="329" w:right="332"/>
              <w:jc w:val="center"/>
              <w:rPr>
                <w:sz w:val="18"/>
              </w:rPr>
            </w:pPr>
            <w:r>
              <w:rPr>
                <w:sz w:val="18"/>
              </w:rPr>
              <w:t>5.131</w:t>
            </w:r>
          </w:p>
        </w:tc>
        <w:tc>
          <w:tcPr>
            <w:tcW w:w="1138" w:type="dxa"/>
            <w:tcBorders>
              <w:top w:val="nil"/>
              <w:left w:val="nil"/>
              <w:bottom w:val="nil"/>
              <w:right w:val="nil"/>
            </w:tcBorders>
          </w:tcPr>
          <w:p>
            <w:pPr>
              <w:pStyle w:val="TableParagraph"/>
              <w:spacing w:before="36"/>
              <w:ind w:right="334"/>
              <w:jc w:val="right"/>
              <w:rPr>
                <w:sz w:val="18"/>
              </w:rPr>
            </w:pPr>
            <w:r>
              <w:rPr>
                <w:sz w:val="18"/>
              </w:rPr>
              <w:t>4.840</w:t>
            </w:r>
          </w:p>
        </w:tc>
        <w:tc>
          <w:tcPr>
            <w:tcW w:w="1008" w:type="dxa"/>
            <w:tcBorders>
              <w:top w:val="nil"/>
              <w:left w:val="nil"/>
              <w:bottom w:val="nil"/>
              <w:right w:val="nil"/>
            </w:tcBorders>
          </w:tcPr>
          <w:p>
            <w:pPr>
              <w:pStyle w:val="TableParagraph"/>
              <w:spacing w:before="36"/>
              <w:ind w:left="302" w:right="240"/>
              <w:jc w:val="center"/>
              <w:rPr>
                <w:sz w:val="18"/>
              </w:rPr>
            </w:pPr>
            <w:r>
              <w:rPr>
                <w:sz w:val="18"/>
              </w:rPr>
              <w:t>4.816</w:t>
            </w:r>
          </w:p>
        </w:tc>
        <w:tc>
          <w:tcPr>
            <w:tcW w:w="850" w:type="dxa"/>
            <w:tcBorders>
              <w:top w:val="nil"/>
              <w:left w:val="nil"/>
              <w:bottom w:val="nil"/>
              <w:right w:val="nil"/>
            </w:tcBorders>
          </w:tcPr>
          <w:p>
            <w:pPr>
              <w:pStyle w:val="TableParagraph"/>
              <w:spacing w:before="36"/>
              <w:ind w:left="225"/>
              <w:rPr>
                <w:sz w:val="18"/>
              </w:rPr>
            </w:pPr>
            <w:r>
              <w:rPr>
                <w:sz w:val="18"/>
              </w:rPr>
              <w:t>4.840</w:t>
            </w:r>
          </w:p>
        </w:tc>
      </w:tr>
      <w:tr>
        <w:trPr>
          <w:trHeight w:val="300" w:hRule="exact"/>
        </w:trPr>
        <w:tc>
          <w:tcPr>
            <w:tcW w:w="1104" w:type="dxa"/>
            <w:tcBorders>
              <w:top w:val="nil"/>
              <w:left w:val="nil"/>
              <w:bottom w:val="nil"/>
              <w:right w:val="nil"/>
            </w:tcBorders>
          </w:tcPr>
          <w:p>
            <w:pPr>
              <w:pStyle w:val="TableParagraph"/>
              <w:spacing w:before="38"/>
              <w:ind w:right="364"/>
              <w:jc w:val="right"/>
              <w:rPr>
                <w:sz w:val="18"/>
              </w:rPr>
            </w:pPr>
            <w:r>
              <w:rPr>
                <w:sz w:val="18"/>
              </w:rPr>
              <w:t>24</w:t>
            </w:r>
          </w:p>
        </w:tc>
        <w:tc>
          <w:tcPr>
            <w:tcW w:w="1086" w:type="dxa"/>
            <w:tcBorders>
              <w:top w:val="nil"/>
              <w:left w:val="nil"/>
              <w:bottom w:val="nil"/>
              <w:right w:val="nil"/>
            </w:tcBorders>
          </w:tcPr>
          <w:p>
            <w:pPr>
              <w:pStyle w:val="TableParagraph"/>
              <w:spacing w:before="38"/>
              <w:ind w:right="311"/>
              <w:jc w:val="right"/>
              <w:rPr>
                <w:sz w:val="18"/>
              </w:rPr>
            </w:pPr>
            <w:r>
              <w:rPr>
                <w:sz w:val="18"/>
              </w:rPr>
              <w:t>5.877</w:t>
            </w:r>
          </w:p>
        </w:tc>
        <w:tc>
          <w:tcPr>
            <w:tcW w:w="1060" w:type="dxa"/>
            <w:tcBorders>
              <w:top w:val="nil"/>
              <w:left w:val="nil"/>
              <w:bottom w:val="nil"/>
              <w:right w:val="nil"/>
            </w:tcBorders>
          </w:tcPr>
          <w:p>
            <w:pPr>
              <w:pStyle w:val="TableParagraph"/>
              <w:spacing w:before="38"/>
              <w:ind w:left="253"/>
              <w:rPr>
                <w:sz w:val="18"/>
              </w:rPr>
            </w:pPr>
            <w:r>
              <w:rPr>
                <w:sz w:val="18"/>
              </w:rPr>
              <w:t>5.022</w:t>
            </w:r>
          </w:p>
        </w:tc>
        <w:tc>
          <w:tcPr>
            <w:tcW w:w="1200" w:type="dxa"/>
            <w:tcBorders>
              <w:top w:val="nil"/>
              <w:left w:val="nil"/>
              <w:bottom w:val="nil"/>
              <w:right w:val="nil"/>
            </w:tcBorders>
          </w:tcPr>
          <w:p>
            <w:pPr>
              <w:pStyle w:val="TableParagraph"/>
              <w:spacing w:before="38"/>
              <w:ind w:left="330" w:right="332"/>
              <w:jc w:val="center"/>
              <w:rPr>
                <w:sz w:val="18"/>
              </w:rPr>
            </w:pPr>
            <w:r>
              <w:rPr>
                <w:sz w:val="18"/>
              </w:rPr>
              <w:t>4.937</w:t>
            </w:r>
          </w:p>
        </w:tc>
        <w:tc>
          <w:tcPr>
            <w:tcW w:w="1201" w:type="dxa"/>
            <w:tcBorders>
              <w:top w:val="nil"/>
              <w:left w:val="nil"/>
              <w:bottom w:val="nil"/>
              <w:right w:val="nil"/>
            </w:tcBorders>
          </w:tcPr>
          <w:p>
            <w:pPr>
              <w:pStyle w:val="TableParagraph"/>
              <w:spacing w:before="38"/>
              <w:ind w:left="329" w:right="332"/>
              <w:jc w:val="center"/>
              <w:rPr>
                <w:sz w:val="18"/>
              </w:rPr>
            </w:pPr>
            <w:r>
              <w:rPr>
                <w:sz w:val="18"/>
              </w:rPr>
              <w:t>5.422</w:t>
            </w:r>
          </w:p>
        </w:tc>
        <w:tc>
          <w:tcPr>
            <w:tcW w:w="1138" w:type="dxa"/>
            <w:tcBorders>
              <w:top w:val="nil"/>
              <w:left w:val="nil"/>
              <w:bottom w:val="nil"/>
              <w:right w:val="nil"/>
            </w:tcBorders>
          </w:tcPr>
          <w:p>
            <w:pPr>
              <w:pStyle w:val="TableParagraph"/>
              <w:spacing w:before="38"/>
              <w:ind w:right="334"/>
              <w:jc w:val="right"/>
              <w:rPr>
                <w:sz w:val="18"/>
              </w:rPr>
            </w:pPr>
            <w:r>
              <w:rPr>
                <w:sz w:val="18"/>
              </w:rPr>
              <w:t>5.058</w:t>
            </w:r>
          </w:p>
        </w:tc>
        <w:tc>
          <w:tcPr>
            <w:tcW w:w="1008" w:type="dxa"/>
            <w:tcBorders>
              <w:top w:val="nil"/>
              <w:left w:val="nil"/>
              <w:bottom w:val="nil"/>
              <w:right w:val="nil"/>
            </w:tcBorders>
          </w:tcPr>
          <w:p>
            <w:pPr>
              <w:pStyle w:val="TableParagraph"/>
              <w:spacing w:before="38"/>
              <w:ind w:left="302" w:right="240"/>
              <w:jc w:val="center"/>
              <w:rPr>
                <w:sz w:val="18"/>
              </w:rPr>
            </w:pPr>
            <w:r>
              <w:rPr>
                <w:sz w:val="18"/>
              </w:rPr>
              <w:t>4.998</w:t>
            </w:r>
          </w:p>
        </w:tc>
        <w:tc>
          <w:tcPr>
            <w:tcW w:w="850" w:type="dxa"/>
            <w:tcBorders>
              <w:top w:val="nil"/>
              <w:left w:val="nil"/>
              <w:bottom w:val="nil"/>
              <w:right w:val="nil"/>
            </w:tcBorders>
          </w:tcPr>
          <w:p>
            <w:pPr>
              <w:pStyle w:val="TableParagraph"/>
              <w:spacing w:before="38"/>
              <w:ind w:left="225"/>
              <w:rPr>
                <w:sz w:val="18"/>
              </w:rPr>
            </w:pPr>
            <w:r>
              <w:rPr>
                <w:sz w:val="18"/>
              </w:rPr>
              <w:t>5.040</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30</w:t>
            </w:r>
          </w:p>
        </w:tc>
        <w:tc>
          <w:tcPr>
            <w:tcW w:w="1086" w:type="dxa"/>
            <w:tcBorders>
              <w:top w:val="nil"/>
              <w:left w:val="nil"/>
              <w:bottom w:val="nil"/>
              <w:right w:val="nil"/>
            </w:tcBorders>
          </w:tcPr>
          <w:p>
            <w:pPr>
              <w:pStyle w:val="TableParagraph"/>
              <w:spacing w:before="36"/>
              <w:ind w:right="311"/>
              <w:jc w:val="right"/>
              <w:rPr>
                <w:sz w:val="18"/>
              </w:rPr>
            </w:pPr>
            <w:r>
              <w:rPr>
                <w:sz w:val="18"/>
              </w:rPr>
              <w:t>6.059</w:t>
            </w:r>
          </w:p>
        </w:tc>
        <w:tc>
          <w:tcPr>
            <w:tcW w:w="1060" w:type="dxa"/>
            <w:tcBorders>
              <w:top w:val="nil"/>
              <w:left w:val="nil"/>
              <w:bottom w:val="nil"/>
              <w:right w:val="nil"/>
            </w:tcBorders>
          </w:tcPr>
          <w:p>
            <w:pPr>
              <w:pStyle w:val="TableParagraph"/>
              <w:spacing w:before="36"/>
              <w:ind w:left="253"/>
              <w:rPr>
                <w:sz w:val="18"/>
              </w:rPr>
            </w:pPr>
            <w:r>
              <w:rPr>
                <w:sz w:val="18"/>
              </w:rPr>
              <w:t>5.192</w:t>
            </w:r>
          </w:p>
        </w:tc>
        <w:tc>
          <w:tcPr>
            <w:tcW w:w="1200" w:type="dxa"/>
            <w:tcBorders>
              <w:top w:val="nil"/>
              <w:left w:val="nil"/>
              <w:bottom w:val="nil"/>
              <w:right w:val="nil"/>
            </w:tcBorders>
          </w:tcPr>
          <w:p>
            <w:pPr>
              <w:pStyle w:val="TableParagraph"/>
              <w:spacing w:before="36"/>
              <w:ind w:left="330" w:right="332"/>
              <w:jc w:val="center"/>
              <w:rPr>
                <w:sz w:val="18"/>
              </w:rPr>
            </w:pPr>
            <w:r>
              <w:rPr>
                <w:sz w:val="18"/>
              </w:rPr>
              <w:t>5.167</w:t>
            </w:r>
          </w:p>
        </w:tc>
        <w:tc>
          <w:tcPr>
            <w:tcW w:w="1201" w:type="dxa"/>
            <w:tcBorders>
              <w:top w:val="nil"/>
              <w:left w:val="nil"/>
              <w:bottom w:val="nil"/>
              <w:right w:val="nil"/>
            </w:tcBorders>
          </w:tcPr>
          <w:p>
            <w:pPr>
              <w:pStyle w:val="TableParagraph"/>
              <w:spacing w:before="36"/>
              <w:ind w:left="329" w:right="332"/>
              <w:jc w:val="center"/>
              <w:rPr>
                <w:sz w:val="18"/>
              </w:rPr>
            </w:pPr>
            <w:r>
              <w:rPr>
                <w:sz w:val="18"/>
              </w:rPr>
              <w:t>5.689</w:t>
            </w:r>
          </w:p>
        </w:tc>
        <w:tc>
          <w:tcPr>
            <w:tcW w:w="1138" w:type="dxa"/>
            <w:tcBorders>
              <w:top w:val="nil"/>
              <w:left w:val="nil"/>
              <w:bottom w:val="nil"/>
              <w:right w:val="nil"/>
            </w:tcBorders>
          </w:tcPr>
          <w:p>
            <w:pPr>
              <w:pStyle w:val="TableParagraph"/>
              <w:spacing w:before="36"/>
              <w:ind w:right="334"/>
              <w:jc w:val="right"/>
              <w:rPr>
                <w:sz w:val="18"/>
              </w:rPr>
            </w:pPr>
            <w:r>
              <w:rPr>
                <w:sz w:val="18"/>
              </w:rPr>
              <w:t>5.192</w:t>
            </w:r>
          </w:p>
        </w:tc>
        <w:tc>
          <w:tcPr>
            <w:tcW w:w="1008" w:type="dxa"/>
            <w:tcBorders>
              <w:top w:val="nil"/>
              <w:left w:val="nil"/>
              <w:bottom w:val="nil"/>
              <w:right w:val="nil"/>
            </w:tcBorders>
          </w:tcPr>
          <w:p>
            <w:pPr>
              <w:pStyle w:val="TableParagraph"/>
              <w:spacing w:before="36"/>
              <w:ind w:left="302" w:right="240"/>
              <w:jc w:val="center"/>
              <w:rPr>
                <w:sz w:val="18"/>
              </w:rPr>
            </w:pPr>
            <w:r>
              <w:rPr>
                <w:sz w:val="18"/>
              </w:rPr>
              <w:t>5.180</w:t>
            </w:r>
          </w:p>
        </w:tc>
        <w:tc>
          <w:tcPr>
            <w:tcW w:w="850" w:type="dxa"/>
            <w:tcBorders>
              <w:top w:val="nil"/>
              <w:left w:val="nil"/>
              <w:bottom w:val="nil"/>
              <w:right w:val="nil"/>
            </w:tcBorders>
          </w:tcPr>
          <w:p>
            <w:pPr>
              <w:pStyle w:val="TableParagraph"/>
              <w:spacing w:before="36"/>
              <w:ind w:left="225"/>
              <w:rPr>
                <w:sz w:val="18"/>
              </w:rPr>
            </w:pPr>
            <w:r>
              <w:rPr>
                <w:sz w:val="18"/>
              </w:rPr>
              <w:t>5.186</w:t>
            </w:r>
          </w:p>
        </w:tc>
      </w:tr>
      <w:tr>
        <w:trPr>
          <w:trHeight w:val="300" w:hRule="exact"/>
        </w:trPr>
        <w:tc>
          <w:tcPr>
            <w:tcW w:w="1104" w:type="dxa"/>
            <w:tcBorders>
              <w:top w:val="nil"/>
              <w:left w:val="nil"/>
              <w:bottom w:val="nil"/>
              <w:right w:val="nil"/>
            </w:tcBorders>
          </w:tcPr>
          <w:p>
            <w:pPr>
              <w:pStyle w:val="TableParagraph"/>
              <w:spacing w:before="38"/>
              <w:ind w:right="364"/>
              <w:jc w:val="right"/>
              <w:rPr>
                <w:sz w:val="18"/>
              </w:rPr>
            </w:pPr>
            <w:r>
              <w:rPr>
                <w:sz w:val="18"/>
              </w:rPr>
              <w:t>36</w:t>
            </w:r>
          </w:p>
        </w:tc>
        <w:tc>
          <w:tcPr>
            <w:tcW w:w="1086" w:type="dxa"/>
            <w:tcBorders>
              <w:top w:val="nil"/>
              <w:left w:val="nil"/>
              <w:bottom w:val="nil"/>
              <w:right w:val="nil"/>
            </w:tcBorders>
          </w:tcPr>
          <w:p>
            <w:pPr>
              <w:pStyle w:val="TableParagraph"/>
              <w:spacing w:before="38"/>
              <w:ind w:right="311"/>
              <w:jc w:val="right"/>
              <w:rPr>
                <w:sz w:val="18"/>
              </w:rPr>
            </w:pPr>
            <w:r>
              <w:rPr>
                <w:sz w:val="18"/>
              </w:rPr>
              <w:t>6.205</w:t>
            </w:r>
          </w:p>
        </w:tc>
        <w:tc>
          <w:tcPr>
            <w:tcW w:w="1060" w:type="dxa"/>
            <w:tcBorders>
              <w:top w:val="nil"/>
              <w:left w:val="nil"/>
              <w:bottom w:val="nil"/>
              <w:right w:val="nil"/>
            </w:tcBorders>
          </w:tcPr>
          <w:p>
            <w:pPr>
              <w:pStyle w:val="TableParagraph"/>
              <w:spacing w:before="38"/>
              <w:ind w:left="253"/>
              <w:rPr>
                <w:sz w:val="18"/>
              </w:rPr>
            </w:pPr>
            <w:r>
              <w:rPr>
                <w:sz w:val="18"/>
              </w:rPr>
              <w:t>5.289</w:t>
            </w:r>
          </w:p>
        </w:tc>
        <w:tc>
          <w:tcPr>
            <w:tcW w:w="1200" w:type="dxa"/>
            <w:tcBorders>
              <w:top w:val="nil"/>
              <w:left w:val="nil"/>
              <w:bottom w:val="nil"/>
              <w:right w:val="nil"/>
            </w:tcBorders>
          </w:tcPr>
          <w:p>
            <w:pPr>
              <w:pStyle w:val="TableParagraph"/>
              <w:spacing w:before="38"/>
              <w:ind w:left="330" w:right="332"/>
              <w:jc w:val="center"/>
              <w:rPr>
                <w:sz w:val="18"/>
              </w:rPr>
            </w:pPr>
            <w:r>
              <w:rPr>
                <w:sz w:val="18"/>
              </w:rPr>
              <w:t>5.325</w:t>
            </w:r>
          </w:p>
        </w:tc>
        <w:tc>
          <w:tcPr>
            <w:tcW w:w="1201" w:type="dxa"/>
            <w:tcBorders>
              <w:top w:val="nil"/>
              <w:left w:val="nil"/>
              <w:bottom w:val="nil"/>
              <w:right w:val="nil"/>
            </w:tcBorders>
          </w:tcPr>
          <w:p>
            <w:pPr>
              <w:pStyle w:val="TableParagraph"/>
              <w:spacing w:before="38"/>
              <w:ind w:left="329" w:right="332"/>
              <w:jc w:val="center"/>
              <w:rPr>
                <w:sz w:val="18"/>
              </w:rPr>
            </w:pPr>
            <w:r>
              <w:rPr>
                <w:sz w:val="18"/>
              </w:rPr>
              <w:t>5.895</w:t>
            </w:r>
          </w:p>
        </w:tc>
        <w:tc>
          <w:tcPr>
            <w:tcW w:w="1138" w:type="dxa"/>
            <w:tcBorders>
              <w:top w:val="nil"/>
              <w:left w:val="nil"/>
              <w:bottom w:val="nil"/>
              <w:right w:val="nil"/>
            </w:tcBorders>
          </w:tcPr>
          <w:p>
            <w:pPr>
              <w:pStyle w:val="TableParagraph"/>
              <w:spacing w:before="38"/>
              <w:ind w:right="334"/>
              <w:jc w:val="right"/>
              <w:rPr>
                <w:sz w:val="18"/>
              </w:rPr>
            </w:pPr>
            <w:r>
              <w:rPr>
                <w:sz w:val="18"/>
              </w:rPr>
              <w:t>5.289</w:t>
            </w:r>
          </w:p>
        </w:tc>
        <w:tc>
          <w:tcPr>
            <w:tcW w:w="1008" w:type="dxa"/>
            <w:tcBorders>
              <w:top w:val="nil"/>
              <w:left w:val="nil"/>
              <w:bottom w:val="nil"/>
              <w:right w:val="nil"/>
            </w:tcBorders>
          </w:tcPr>
          <w:p>
            <w:pPr>
              <w:pStyle w:val="TableParagraph"/>
              <w:spacing w:before="38"/>
              <w:ind w:left="302" w:right="240"/>
              <w:jc w:val="center"/>
              <w:rPr>
                <w:sz w:val="18"/>
              </w:rPr>
            </w:pPr>
            <w:r>
              <w:rPr>
                <w:sz w:val="18"/>
              </w:rPr>
              <w:t>5.252</w:t>
            </w:r>
          </w:p>
        </w:tc>
        <w:tc>
          <w:tcPr>
            <w:tcW w:w="850" w:type="dxa"/>
            <w:tcBorders>
              <w:top w:val="nil"/>
              <w:left w:val="nil"/>
              <w:bottom w:val="nil"/>
              <w:right w:val="nil"/>
            </w:tcBorders>
          </w:tcPr>
          <w:p>
            <w:pPr>
              <w:pStyle w:val="TableParagraph"/>
              <w:spacing w:before="38"/>
              <w:ind w:left="225"/>
              <w:rPr>
                <w:sz w:val="18"/>
              </w:rPr>
            </w:pPr>
            <w:r>
              <w:rPr>
                <w:sz w:val="18"/>
              </w:rPr>
              <w:t>5.240</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42</w:t>
            </w:r>
          </w:p>
        </w:tc>
        <w:tc>
          <w:tcPr>
            <w:tcW w:w="1086" w:type="dxa"/>
            <w:tcBorders>
              <w:top w:val="nil"/>
              <w:left w:val="nil"/>
              <w:bottom w:val="nil"/>
              <w:right w:val="nil"/>
            </w:tcBorders>
          </w:tcPr>
          <w:p>
            <w:pPr>
              <w:pStyle w:val="TableParagraph"/>
              <w:spacing w:before="36"/>
              <w:ind w:right="311"/>
              <w:jc w:val="right"/>
              <w:rPr>
                <w:sz w:val="18"/>
              </w:rPr>
            </w:pPr>
            <w:r>
              <w:rPr>
                <w:sz w:val="18"/>
              </w:rPr>
              <w:t>6.296</w:t>
            </w:r>
          </w:p>
        </w:tc>
        <w:tc>
          <w:tcPr>
            <w:tcW w:w="1060" w:type="dxa"/>
            <w:tcBorders>
              <w:top w:val="nil"/>
              <w:left w:val="nil"/>
              <w:bottom w:val="nil"/>
              <w:right w:val="nil"/>
            </w:tcBorders>
          </w:tcPr>
          <w:p>
            <w:pPr>
              <w:pStyle w:val="TableParagraph"/>
              <w:spacing w:before="36"/>
              <w:ind w:left="253"/>
              <w:rPr>
                <w:sz w:val="18"/>
              </w:rPr>
            </w:pPr>
            <w:r>
              <w:rPr>
                <w:sz w:val="18"/>
              </w:rPr>
              <w:t>5.374</w:t>
            </w:r>
          </w:p>
        </w:tc>
        <w:tc>
          <w:tcPr>
            <w:tcW w:w="1200" w:type="dxa"/>
            <w:tcBorders>
              <w:top w:val="nil"/>
              <w:left w:val="nil"/>
              <w:bottom w:val="nil"/>
              <w:right w:val="nil"/>
            </w:tcBorders>
          </w:tcPr>
          <w:p>
            <w:pPr>
              <w:pStyle w:val="TableParagraph"/>
              <w:spacing w:before="36"/>
              <w:ind w:left="330" w:right="332"/>
              <w:jc w:val="center"/>
              <w:rPr>
                <w:sz w:val="18"/>
              </w:rPr>
            </w:pPr>
            <w:r>
              <w:rPr>
                <w:sz w:val="18"/>
              </w:rPr>
              <w:t>5.434</w:t>
            </w:r>
          </w:p>
        </w:tc>
        <w:tc>
          <w:tcPr>
            <w:tcW w:w="1201" w:type="dxa"/>
            <w:tcBorders>
              <w:top w:val="nil"/>
              <w:left w:val="nil"/>
              <w:bottom w:val="nil"/>
              <w:right w:val="nil"/>
            </w:tcBorders>
          </w:tcPr>
          <w:p>
            <w:pPr>
              <w:pStyle w:val="TableParagraph"/>
              <w:spacing w:before="36"/>
              <w:ind w:left="329" w:right="332"/>
              <w:jc w:val="center"/>
              <w:rPr>
                <w:sz w:val="18"/>
              </w:rPr>
            </w:pPr>
            <w:r>
              <w:rPr>
                <w:sz w:val="18"/>
              </w:rPr>
              <w:t>5.980</w:t>
            </w:r>
          </w:p>
        </w:tc>
        <w:tc>
          <w:tcPr>
            <w:tcW w:w="1138" w:type="dxa"/>
            <w:tcBorders>
              <w:top w:val="nil"/>
              <w:left w:val="nil"/>
              <w:bottom w:val="nil"/>
              <w:right w:val="nil"/>
            </w:tcBorders>
          </w:tcPr>
          <w:p>
            <w:pPr>
              <w:pStyle w:val="TableParagraph"/>
              <w:spacing w:before="36"/>
              <w:ind w:right="334"/>
              <w:jc w:val="right"/>
              <w:rPr>
                <w:sz w:val="18"/>
              </w:rPr>
            </w:pPr>
            <w:r>
              <w:rPr>
                <w:sz w:val="18"/>
              </w:rPr>
              <w:t>5.313</w:t>
            </w:r>
          </w:p>
        </w:tc>
        <w:tc>
          <w:tcPr>
            <w:tcW w:w="1008" w:type="dxa"/>
            <w:tcBorders>
              <w:top w:val="nil"/>
              <w:left w:val="nil"/>
              <w:bottom w:val="nil"/>
              <w:right w:val="nil"/>
            </w:tcBorders>
          </w:tcPr>
          <w:p>
            <w:pPr>
              <w:pStyle w:val="TableParagraph"/>
              <w:spacing w:before="36"/>
              <w:ind w:left="302" w:right="240"/>
              <w:jc w:val="center"/>
              <w:rPr>
                <w:sz w:val="18"/>
              </w:rPr>
            </w:pPr>
            <w:r>
              <w:rPr>
                <w:sz w:val="18"/>
              </w:rPr>
              <w:t>5.265</w:t>
            </w:r>
          </w:p>
        </w:tc>
        <w:tc>
          <w:tcPr>
            <w:tcW w:w="850" w:type="dxa"/>
            <w:tcBorders>
              <w:top w:val="nil"/>
              <w:left w:val="nil"/>
              <w:bottom w:val="nil"/>
              <w:right w:val="nil"/>
            </w:tcBorders>
          </w:tcPr>
          <w:p>
            <w:pPr>
              <w:pStyle w:val="TableParagraph"/>
              <w:spacing w:before="36"/>
              <w:ind w:left="225"/>
              <w:rPr>
                <w:sz w:val="18"/>
              </w:rPr>
            </w:pPr>
            <w:r>
              <w:rPr>
                <w:sz w:val="18"/>
              </w:rPr>
              <w:t>5.258</w:t>
            </w:r>
          </w:p>
        </w:tc>
      </w:tr>
      <w:tr>
        <w:trPr>
          <w:trHeight w:val="300" w:hRule="exact"/>
        </w:trPr>
        <w:tc>
          <w:tcPr>
            <w:tcW w:w="1104" w:type="dxa"/>
            <w:tcBorders>
              <w:top w:val="nil"/>
              <w:left w:val="nil"/>
              <w:bottom w:val="nil"/>
              <w:right w:val="nil"/>
            </w:tcBorders>
          </w:tcPr>
          <w:p>
            <w:pPr>
              <w:pStyle w:val="TableParagraph"/>
              <w:spacing w:before="38"/>
              <w:ind w:right="364"/>
              <w:jc w:val="right"/>
              <w:rPr>
                <w:sz w:val="18"/>
              </w:rPr>
            </w:pPr>
            <w:r>
              <w:rPr>
                <w:sz w:val="18"/>
              </w:rPr>
              <w:t>48</w:t>
            </w:r>
          </w:p>
        </w:tc>
        <w:tc>
          <w:tcPr>
            <w:tcW w:w="1086" w:type="dxa"/>
            <w:tcBorders>
              <w:top w:val="nil"/>
              <w:left w:val="nil"/>
              <w:bottom w:val="nil"/>
              <w:right w:val="nil"/>
            </w:tcBorders>
          </w:tcPr>
          <w:p>
            <w:pPr>
              <w:pStyle w:val="TableParagraph"/>
              <w:spacing w:before="38"/>
              <w:ind w:right="311"/>
              <w:jc w:val="right"/>
              <w:rPr>
                <w:sz w:val="18"/>
              </w:rPr>
            </w:pPr>
            <w:r>
              <w:rPr>
                <w:sz w:val="18"/>
              </w:rPr>
              <w:t>6.387</w:t>
            </w:r>
          </w:p>
        </w:tc>
        <w:tc>
          <w:tcPr>
            <w:tcW w:w="1060" w:type="dxa"/>
            <w:tcBorders>
              <w:top w:val="nil"/>
              <w:left w:val="nil"/>
              <w:bottom w:val="nil"/>
              <w:right w:val="nil"/>
            </w:tcBorders>
          </w:tcPr>
          <w:p>
            <w:pPr>
              <w:pStyle w:val="TableParagraph"/>
              <w:spacing w:before="38"/>
              <w:ind w:left="253"/>
              <w:rPr>
                <w:sz w:val="18"/>
              </w:rPr>
            </w:pPr>
            <w:r>
              <w:rPr>
                <w:sz w:val="18"/>
              </w:rPr>
              <w:t>5.507</w:t>
            </w:r>
          </w:p>
        </w:tc>
        <w:tc>
          <w:tcPr>
            <w:tcW w:w="1200" w:type="dxa"/>
            <w:tcBorders>
              <w:top w:val="nil"/>
              <w:left w:val="nil"/>
              <w:bottom w:val="nil"/>
              <w:right w:val="nil"/>
            </w:tcBorders>
          </w:tcPr>
          <w:p>
            <w:pPr>
              <w:pStyle w:val="TableParagraph"/>
              <w:spacing w:before="38"/>
              <w:ind w:left="330" w:right="332"/>
              <w:jc w:val="center"/>
              <w:rPr>
                <w:sz w:val="18"/>
              </w:rPr>
            </w:pPr>
            <w:r>
              <w:rPr>
                <w:sz w:val="18"/>
              </w:rPr>
              <w:t>5.580</w:t>
            </w:r>
          </w:p>
        </w:tc>
        <w:tc>
          <w:tcPr>
            <w:tcW w:w="1201" w:type="dxa"/>
            <w:tcBorders>
              <w:top w:val="nil"/>
              <w:left w:val="nil"/>
              <w:bottom w:val="nil"/>
              <w:right w:val="nil"/>
            </w:tcBorders>
          </w:tcPr>
          <w:p>
            <w:pPr>
              <w:pStyle w:val="TableParagraph"/>
              <w:spacing w:before="38"/>
              <w:ind w:left="329" w:right="332"/>
              <w:jc w:val="center"/>
              <w:rPr>
                <w:sz w:val="18"/>
              </w:rPr>
            </w:pPr>
            <w:r>
              <w:rPr>
                <w:sz w:val="18"/>
              </w:rPr>
              <w:t>6.101</w:t>
            </w:r>
          </w:p>
        </w:tc>
        <w:tc>
          <w:tcPr>
            <w:tcW w:w="1138" w:type="dxa"/>
            <w:tcBorders>
              <w:top w:val="nil"/>
              <w:left w:val="nil"/>
              <w:bottom w:val="nil"/>
              <w:right w:val="nil"/>
            </w:tcBorders>
          </w:tcPr>
          <w:p>
            <w:pPr>
              <w:pStyle w:val="TableParagraph"/>
              <w:spacing w:before="38"/>
              <w:ind w:right="334"/>
              <w:jc w:val="right"/>
              <w:rPr>
                <w:sz w:val="18"/>
              </w:rPr>
            </w:pPr>
            <w:r>
              <w:rPr>
                <w:sz w:val="18"/>
              </w:rPr>
              <w:t>5.374</w:t>
            </w:r>
          </w:p>
        </w:tc>
        <w:tc>
          <w:tcPr>
            <w:tcW w:w="1008" w:type="dxa"/>
            <w:tcBorders>
              <w:top w:val="nil"/>
              <w:left w:val="nil"/>
              <w:bottom w:val="nil"/>
              <w:right w:val="nil"/>
            </w:tcBorders>
          </w:tcPr>
          <w:p>
            <w:pPr>
              <w:pStyle w:val="TableParagraph"/>
              <w:spacing w:before="38"/>
              <w:ind w:left="302" w:right="240"/>
              <w:jc w:val="center"/>
              <w:rPr>
                <w:sz w:val="18"/>
              </w:rPr>
            </w:pPr>
            <w:r>
              <w:rPr>
                <w:sz w:val="18"/>
              </w:rPr>
              <w:t>5.410</w:t>
            </w:r>
          </w:p>
        </w:tc>
        <w:tc>
          <w:tcPr>
            <w:tcW w:w="850" w:type="dxa"/>
            <w:tcBorders>
              <w:top w:val="nil"/>
              <w:left w:val="nil"/>
              <w:bottom w:val="nil"/>
              <w:right w:val="nil"/>
            </w:tcBorders>
          </w:tcPr>
          <w:p>
            <w:pPr>
              <w:pStyle w:val="TableParagraph"/>
              <w:spacing w:before="38"/>
              <w:ind w:left="225"/>
              <w:rPr>
                <w:sz w:val="18"/>
              </w:rPr>
            </w:pPr>
            <w:r>
              <w:rPr>
                <w:sz w:val="18"/>
              </w:rPr>
              <w:t>5.331</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54</w:t>
            </w:r>
          </w:p>
        </w:tc>
        <w:tc>
          <w:tcPr>
            <w:tcW w:w="1086" w:type="dxa"/>
            <w:tcBorders>
              <w:top w:val="nil"/>
              <w:left w:val="nil"/>
              <w:bottom w:val="nil"/>
              <w:right w:val="nil"/>
            </w:tcBorders>
          </w:tcPr>
          <w:p>
            <w:pPr>
              <w:pStyle w:val="TableParagraph"/>
              <w:spacing w:before="36"/>
              <w:ind w:right="311"/>
              <w:jc w:val="right"/>
              <w:rPr>
                <w:sz w:val="18"/>
              </w:rPr>
            </w:pPr>
            <w:r>
              <w:rPr>
                <w:sz w:val="18"/>
              </w:rPr>
              <w:t>6.387</w:t>
            </w:r>
          </w:p>
        </w:tc>
        <w:tc>
          <w:tcPr>
            <w:tcW w:w="1060" w:type="dxa"/>
            <w:tcBorders>
              <w:top w:val="nil"/>
              <w:left w:val="nil"/>
              <w:bottom w:val="nil"/>
              <w:right w:val="nil"/>
            </w:tcBorders>
          </w:tcPr>
          <w:p>
            <w:pPr>
              <w:pStyle w:val="TableParagraph"/>
              <w:spacing w:before="36"/>
              <w:ind w:left="253"/>
              <w:rPr>
                <w:sz w:val="18"/>
              </w:rPr>
            </w:pPr>
            <w:r>
              <w:rPr>
                <w:sz w:val="18"/>
              </w:rPr>
              <w:t>5.519</w:t>
            </w:r>
          </w:p>
        </w:tc>
        <w:tc>
          <w:tcPr>
            <w:tcW w:w="1200" w:type="dxa"/>
            <w:tcBorders>
              <w:top w:val="nil"/>
              <w:left w:val="nil"/>
              <w:bottom w:val="nil"/>
              <w:right w:val="nil"/>
            </w:tcBorders>
          </w:tcPr>
          <w:p>
            <w:pPr>
              <w:pStyle w:val="TableParagraph"/>
              <w:spacing w:before="36"/>
              <w:ind w:left="330" w:right="332"/>
              <w:jc w:val="center"/>
              <w:rPr>
                <w:sz w:val="18"/>
              </w:rPr>
            </w:pPr>
            <w:r>
              <w:rPr>
                <w:sz w:val="18"/>
              </w:rPr>
              <w:t>5.628</w:t>
            </w:r>
          </w:p>
        </w:tc>
        <w:tc>
          <w:tcPr>
            <w:tcW w:w="1201" w:type="dxa"/>
            <w:tcBorders>
              <w:top w:val="nil"/>
              <w:left w:val="nil"/>
              <w:bottom w:val="nil"/>
              <w:right w:val="nil"/>
            </w:tcBorders>
          </w:tcPr>
          <w:p>
            <w:pPr>
              <w:pStyle w:val="TableParagraph"/>
              <w:spacing w:before="36"/>
              <w:ind w:left="329" w:right="332"/>
              <w:jc w:val="center"/>
              <w:rPr>
                <w:sz w:val="18"/>
              </w:rPr>
            </w:pPr>
            <w:r>
              <w:rPr>
                <w:sz w:val="18"/>
              </w:rPr>
              <w:t>6.089</w:t>
            </w:r>
          </w:p>
        </w:tc>
        <w:tc>
          <w:tcPr>
            <w:tcW w:w="1138" w:type="dxa"/>
            <w:tcBorders>
              <w:top w:val="nil"/>
              <w:left w:val="nil"/>
              <w:bottom w:val="nil"/>
              <w:right w:val="nil"/>
            </w:tcBorders>
          </w:tcPr>
          <w:p>
            <w:pPr>
              <w:pStyle w:val="TableParagraph"/>
              <w:spacing w:before="36"/>
              <w:ind w:right="334"/>
              <w:jc w:val="right"/>
              <w:rPr>
                <w:sz w:val="18"/>
              </w:rPr>
            </w:pPr>
            <w:r>
              <w:rPr>
                <w:sz w:val="18"/>
              </w:rPr>
              <w:t>5.325</w:t>
            </w:r>
          </w:p>
        </w:tc>
        <w:tc>
          <w:tcPr>
            <w:tcW w:w="1008" w:type="dxa"/>
            <w:tcBorders>
              <w:top w:val="nil"/>
              <w:left w:val="nil"/>
              <w:bottom w:val="nil"/>
              <w:right w:val="nil"/>
            </w:tcBorders>
          </w:tcPr>
          <w:p>
            <w:pPr>
              <w:pStyle w:val="TableParagraph"/>
              <w:spacing w:before="36"/>
              <w:ind w:left="302" w:right="240"/>
              <w:jc w:val="center"/>
              <w:rPr>
                <w:sz w:val="18"/>
              </w:rPr>
            </w:pPr>
            <w:r>
              <w:rPr>
                <w:sz w:val="18"/>
              </w:rPr>
              <w:t>5.398</w:t>
            </w:r>
          </w:p>
        </w:tc>
        <w:tc>
          <w:tcPr>
            <w:tcW w:w="850" w:type="dxa"/>
            <w:tcBorders>
              <w:top w:val="nil"/>
              <w:left w:val="nil"/>
              <w:bottom w:val="nil"/>
              <w:right w:val="nil"/>
            </w:tcBorders>
          </w:tcPr>
          <w:p>
            <w:pPr>
              <w:pStyle w:val="TableParagraph"/>
              <w:spacing w:before="36"/>
              <w:ind w:left="225"/>
              <w:rPr>
                <w:sz w:val="18"/>
              </w:rPr>
            </w:pPr>
            <w:r>
              <w:rPr>
                <w:sz w:val="18"/>
              </w:rPr>
              <w:t>5.313</w:t>
            </w:r>
          </w:p>
        </w:tc>
      </w:tr>
      <w:tr>
        <w:trPr>
          <w:trHeight w:val="300" w:hRule="exact"/>
        </w:trPr>
        <w:tc>
          <w:tcPr>
            <w:tcW w:w="1104" w:type="dxa"/>
            <w:tcBorders>
              <w:top w:val="nil"/>
              <w:left w:val="nil"/>
              <w:bottom w:val="nil"/>
              <w:right w:val="nil"/>
            </w:tcBorders>
          </w:tcPr>
          <w:p>
            <w:pPr>
              <w:pStyle w:val="TableParagraph"/>
              <w:spacing w:before="38"/>
              <w:ind w:right="364"/>
              <w:jc w:val="right"/>
              <w:rPr>
                <w:sz w:val="18"/>
              </w:rPr>
            </w:pPr>
            <w:r>
              <w:rPr>
                <w:sz w:val="18"/>
              </w:rPr>
              <w:t>60</w:t>
            </w:r>
          </w:p>
        </w:tc>
        <w:tc>
          <w:tcPr>
            <w:tcW w:w="1086" w:type="dxa"/>
            <w:tcBorders>
              <w:top w:val="nil"/>
              <w:left w:val="nil"/>
              <w:bottom w:val="nil"/>
              <w:right w:val="nil"/>
            </w:tcBorders>
          </w:tcPr>
          <w:p>
            <w:pPr>
              <w:pStyle w:val="TableParagraph"/>
              <w:spacing w:before="38"/>
              <w:ind w:right="311"/>
              <w:jc w:val="right"/>
              <w:rPr>
                <w:sz w:val="18"/>
              </w:rPr>
            </w:pPr>
            <w:r>
              <w:rPr>
                <w:sz w:val="18"/>
              </w:rPr>
              <w:t>6.350</w:t>
            </w:r>
          </w:p>
        </w:tc>
        <w:tc>
          <w:tcPr>
            <w:tcW w:w="1060" w:type="dxa"/>
            <w:tcBorders>
              <w:top w:val="nil"/>
              <w:left w:val="nil"/>
              <w:bottom w:val="nil"/>
              <w:right w:val="nil"/>
            </w:tcBorders>
          </w:tcPr>
          <w:p>
            <w:pPr>
              <w:pStyle w:val="TableParagraph"/>
              <w:spacing w:before="38"/>
              <w:ind w:left="253"/>
              <w:rPr>
                <w:sz w:val="18"/>
              </w:rPr>
            </w:pPr>
            <w:r>
              <w:rPr>
                <w:sz w:val="18"/>
              </w:rPr>
              <w:t>5.519</w:t>
            </w:r>
          </w:p>
        </w:tc>
        <w:tc>
          <w:tcPr>
            <w:tcW w:w="1200" w:type="dxa"/>
            <w:tcBorders>
              <w:top w:val="nil"/>
              <w:left w:val="nil"/>
              <w:bottom w:val="nil"/>
              <w:right w:val="nil"/>
            </w:tcBorders>
          </w:tcPr>
          <w:p>
            <w:pPr>
              <w:pStyle w:val="TableParagraph"/>
              <w:spacing w:before="38"/>
              <w:ind w:left="330" w:right="332"/>
              <w:jc w:val="center"/>
              <w:rPr>
                <w:sz w:val="18"/>
              </w:rPr>
            </w:pPr>
            <w:r>
              <w:rPr>
                <w:sz w:val="18"/>
              </w:rPr>
              <w:t>5.641</w:t>
            </w:r>
          </w:p>
        </w:tc>
        <w:tc>
          <w:tcPr>
            <w:tcW w:w="1201" w:type="dxa"/>
            <w:tcBorders>
              <w:top w:val="nil"/>
              <w:left w:val="nil"/>
              <w:bottom w:val="nil"/>
              <w:right w:val="nil"/>
            </w:tcBorders>
          </w:tcPr>
          <w:p>
            <w:pPr>
              <w:pStyle w:val="TableParagraph"/>
              <w:spacing w:before="38"/>
              <w:ind w:left="329" w:right="332"/>
              <w:jc w:val="center"/>
              <w:rPr>
                <w:sz w:val="18"/>
              </w:rPr>
            </w:pPr>
            <w:r>
              <w:rPr>
                <w:sz w:val="18"/>
              </w:rPr>
              <w:t>6.114</w:t>
            </w:r>
          </w:p>
        </w:tc>
        <w:tc>
          <w:tcPr>
            <w:tcW w:w="1138" w:type="dxa"/>
            <w:tcBorders>
              <w:top w:val="nil"/>
              <w:left w:val="nil"/>
              <w:bottom w:val="nil"/>
              <w:right w:val="nil"/>
            </w:tcBorders>
          </w:tcPr>
          <w:p>
            <w:pPr>
              <w:pStyle w:val="TableParagraph"/>
              <w:spacing w:before="38"/>
              <w:ind w:right="334"/>
              <w:jc w:val="right"/>
              <w:rPr>
                <w:sz w:val="18"/>
              </w:rPr>
            </w:pPr>
            <w:r>
              <w:rPr>
                <w:sz w:val="18"/>
              </w:rPr>
              <w:t>5.289</w:t>
            </w:r>
          </w:p>
        </w:tc>
        <w:tc>
          <w:tcPr>
            <w:tcW w:w="1008" w:type="dxa"/>
            <w:tcBorders>
              <w:top w:val="nil"/>
              <w:left w:val="nil"/>
              <w:bottom w:val="nil"/>
              <w:right w:val="nil"/>
            </w:tcBorders>
          </w:tcPr>
          <w:p>
            <w:pPr>
              <w:pStyle w:val="TableParagraph"/>
              <w:spacing w:before="38"/>
              <w:ind w:left="302" w:right="240"/>
              <w:jc w:val="center"/>
              <w:rPr>
                <w:sz w:val="18"/>
              </w:rPr>
            </w:pPr>
            <w:r>
              <w:rPr>
                <w:sz w:val="18"/>
              </w:rPr>
              <w:t>5.337</w:t>
            </w:r>
          </w:p>
        </w:tc>
        <w:tc>
          <w:tcPr>
            <w:tcW w:w="850" w:type="dxa"/>
            <w:tcBorders>
              <w:top w:val="nil"/>
              <w:left w:val="nil"/>
              <w:bottom w:val="nil"/>
              <w:right w:val="nil"/>
            </w:tcBorders>
          </w:tcPr>
          <w:p>
            <w:pPr>
              <w:pStyle w:val="TableParagraph"/>
              <w:spacing w:before="38"/>
              <w:ind w:left="225"/>
              <w:rPr>
                <w:sz w:val="18"/>
              </w:rPr>
            </w:pPr>
            <w:r>
              <w:rPr>
                <w:sz w:val="18"/>
              </w:rPr>
              <w:t>5.277</w:t>
            </w:r>
          </w:p>
        </w:tc>
      </w:tr>
      <w:tr>
        <w:trPr>
          <w:trHeight w:val="300" w:hRule="exact"/>
        </w:trPr>
        <w:tc>
          <w:tcPr>
            <w:tcW w:w="1104" w:type="dxa"/>
            <w:tcBorders>
              <w:top w:val="nil"/>
              <w:left w:val="nil"/>
              <w:bottom w:val="nil"/>
              <w:right w:val="nil"/>
            </w:tcBorders>
          </w:tcPr>
          <w:p>
            <w:pPr>
              <w:pStyle w:val="TableParagraph"/>
              <w:spacing w:before="36"/>
              <w:ind w:right="364"/>
              <w:jc w:val="right"/>
              <w:rPr>
                <w:sz w:val="18"/>
              </w:rPr>
            </w:pPr>
            <w:r>
              <w:rPr>
                <w:sz w:val="18"/>
              </w:rPr>
              <w:t>66</w:t>
            </w:r>
          </w:p>
        </w:tc>
        <w:tc>
          <w:tcPr>
            <w:tcW w:w="1086" w:type="dxa"/>
            <w:tcBorders>
              <w:top w:val="nil"/>
              <w:left w:val="nil"/>
              <w:bottom w:val="nil"/>
              <w:right w:val="nil"/>
            </w:tcBorders>
          </w:tcPr>
          <w:p>
            <w:pPr>
              <w:pStyle w:val="TableParagraph"/>
              <w:spacing w:before="36"/>
              <w:ind w:right="311"/>
              <w:jc w:val="right"/>
              <w:rPr>
                <w:sz w:val="18"/>
              </w:rPr>
            </w:pPr>
            <w:r>
              <w:rPr>
                <w:sz w:val="18"/>
              </w:rPr>
              <w:t>6.277</w:t>
            </w:r>
          </w:p>
        </w:tc>
        <w:tc>
          <w:tcPr>
            <w:tcW w:w="1060" w:type="dxa"/>
            <w:tcBorders>
              <w:top w:val="nil"/>
              <w:left w:val="nil"/>
              <w:bottom w:val="nil"/>
              <w:right w:val="nil"/>
            </w:tcBorders>
          </w:tcPr>
          <w:p>
            <w:pPr>
              <w:pStyle w:val="TableParagraph"/>
              <w:spacing w:before="36"/>
              <w:ind w:left="253"/>
              <w:rPr>
                <w:sz w:val="18"/>
              </w:rPr>
            </w:pPr>
            <w:r>
              <w:rPr>
                <w:sz w:val="18"/>
              </w:rPr>
              <w:t>5.495</w:t>
            </w:r>
          </w:p>
        </w:tc>
        <w:tc>
          <w:tcPr>
            <w:tcW w:w="1200" w:type="dxa"/>
            <w:tcBorders>
              <w:top w:val="nil"/>
              <w:left w:val="nil"/>
              <w:bottom w:val="nil"/>
              <w:right w:val="nil"/>
            </w:tcBorders>
          </w:tcPr>
          <w:p>
            <w:pPr>
              <w:pStyle w:val="TableParagraph"/>
              <w:spacing w:before="36"/>
              <w:ind w:left="330" w:right="332"/>
              <w:jc w:val="center"/>
              <w:rPr>
                <w:sz w:val="18"/>
              </w:rPr>
            </w:pPr>
            <w:r>
              <w:rPr>
                <w:sz w:val="18"/>
              </w:rPr>
              <w:t>5.641</w:t>
            </w:r>
          </w:p>
        </w:tc>
        <w:tc>
          <w:tcPr>
            <w:tcW w:w="1201" w:type="dxa"/>
            <w:tcBorders>
              <w:top w:val="nil"/>
              <w:left w:val="nil"/>
              <w:bottom w:val="nil"/>
              <w:right w:val="nil"/>
            </w:tcBorders>
          </w:tcPr>
          <w:p>
            <w:pPr>
              <w:pStyle w:val="TableParagraph"/>
              <w:spacing w:before="36"/>
              <w:ind w:left="329" w:right="332"/>
              <w:jc w:val="center"/>
              <w:rPr>
                <w:sz w:val="18"/>
              </w:rPr>
            </w:pPr>
            <w:r>
              <w:rPr>
                <w:sz w:val="18"/>
              </w:rPr>
              <w:t>6.138</w:t>
            </w:r>
          </w:p>
        </w:tc>
        <w:tc>
          <w:tcPr>
            <w:tcW w:w="1138" w:type="dxa"/>
            <w:tcBorders>
              <w:top w:val="nil"/>
              <w:left w:val="nil"/>
              <w:bottom w:val="nil"/>
              <w:right w:val="nil"/>
            </w:tcBorders>
          </w:tcPr>
          <w:p>
            <w:pPr>
              <w:pStyle w:val="TableParagraph"/>
              <w:spacing w:before="36"/>
              <w:ind w:right="334"/>
              <w:jc w:val="right"/>
              <w:rPr>
                <w:sz w:val="18"/>
              </w:rPr>
            </w:pPr>
            <w:r>
              <w:rPr>
                <w:sz w:val="18"/>
              </w:rPr>
              <w:t>5.180</w:t>
            </w:r>
          </w:p>
        </w:tc>
        <w:tc>
          <w:tcPr>
            <w:tcW w:w="1008" w:type="dxa"/>
            <w:tcBorders>
              <w:top w:val="nil"/>
              <w:left w:val="nil"/>
              <w:bottom w:val="nil"/>
              <w:right w:val="nil"/>
            </w:tcBorders>
          </w:tcPr>
          <w:p>
            <w:pPr>
              <w:pStyle w:val="TableParagraph"/>
              <w:spacing w:before="36"/>
              <w:ind w:left="302" w:right="240"/>
              <w:jc w:val="center"/>
              <w:rPr>
                <w:sz w:val="18"/>
              </w:rPr>
            </w:pPr>
            <w:r>
              <w:rPr>
                <w:sz w:val="18"/>
              </w:rPr>
              <w:t>5.252</w:t>
            </w:r>
          </w:p>
        </w:tc>
        <w:tc>
          <w:tcPr>
            <w:tcW w:w="850" w:type="dxa"/>
            <w:tcBorders>
              <w:top w:val="nil"/>
              <w:left w:val="nil"/>
              <w:bottom w:val="nil"/>
              <w:right w:val="nil"/>
            </w:tcBorders>
          </w:tcPr>
          <w:p>
            <w:pPr>
              <w:pStyle w:val="TableParagraph"/>
              <w:spacing w:before="36"/>
              <w:ind w:left="225"/>
              <w:rPr>
                <w:sz w:val="18"/>
              </w:rPr>
            </w:pPr>
            <w:r>
              <w:rPr>
                <w:sz w:val="18"/>
              </w:rPr>
              <w:t>5.204</w:t>
            </w:r>
          </w:p>
        </w:tc>
      </w:tr>
      <w:tr>
        <w:trPr>
          <w:trHeight w:val="303" w:hRule="exact"/>
        </w:trPr>
        <w:tc>
          <w:tcPr>
            <w:tcW w:w="1104" w:type="dxa"/>
            <w:tcBorders>
              <w:top w:val="nil"/>
              <w:left w:val="nil"/>
              <w:bottom w:val="dotted" w:sz="4" w:space="0" w:color="000000"/>
              <w:right w:val="nil"/>
            </w:tcBorders>
          </w:tcPr>
          <w:p>
            <w:pPr>
              <w:pStyle w:val="TableParagraph"/>
              <w:spacing w:before="38"/>
              <w:ind w:right="364"/>
              <w:jc w:val="right"/>
              <w:rPr>
                <w:sz w:val="18"/>
              </w:rPr>
            </w:pPr>
            <w:r>
              <w:rPr>
                <w:sz w:val="18"/>
              </w:rPr>
              <w:t>72</w:t>
            </w:r>
          </w:p>
        </w:tc>
        <w:tc>
          <w:tcPr>
            <w:tcW w:w="1086" w:type="dxa"/>
            <w:tcBorders>
              <w:top w:val="nil"/>
              <w:left w:val="nil"/>
              <w:bottom w:val="dotted" w:sz="4" w:space="0" w:color="000000"/>
              <w:right w:val="nil"/>
            </w:tcBorders>
          </w:tcPr>
          <w:p>
            <w:pPr>
              <w:pStyle w:val="TableParagraph"/>
              <w:spacing w:before="38"/>
              <w:ind w:right="311"/>
              <w:jc w:val="right"/>
              <w:rPr>
                <w:sz w:val="18"/>
              </w:rPr>
            </w:pPr>
            <w:r>
              <w:rPr>
                <w:sz w:val="18"/>
              </w:rPr>
              <w:t>6.277</w:t>
            </w:r>
          </w:p>
        </w:tc>
        <w:tc>
          <w:tcPr>
            <w:tcW w:w="1060" w:type="dxa"/>
            <w:tcBorders>
              <w:top w:val="nil"/>
              <w:left w:val="nil"/>
              <w:bottom w:val="dotted" w:sz="4" w:space="0" w:color="000000"/>
              <w:right w:val="nil"/>
            </w:tcBorders>
          </w:tcPr>
          <w:p>
            <w:pPr>
              <w:pStyle w:val="TableParagraph"/>
              <w:spacing w:before="38"/>
              <w:ind w:left="253"/>
              <w:rPr>
                <w:sz w:val="18"/>
              </w:rPr>
            </w:pPr>
            <w:r>
              <w:rPr>
                <w:sz w:val="18"/>
              </w:rPr>
              <w:t>5.519</w:t>
            </w:r>
          </w:p>
        </w:tc>
        <w:tc>
          <w:tcPr>
            <w:tcW w:w="1200" w:type="dxa"/>
            <w:tcBorders>
              <w:top w:val="nil"/>
              <w:left w:val="nil"/>
              <w:bottom w:val="dotted" w:sz="4" w:space="0" w:color="000000"/>
              <w:right w:val="nil"/>
            </w:tcBorders>
          </w:tcPr>
          <w:p>
            <w:pPr>
              <w:pStyle w:val="TableParagraph"/>
              <w:spacing w:before="38"/>
              <w:ind w:left="330" w:right="332"/>
              <w:jc w:val="center"/>
              <w:rPr>
                <w:sz w:val="18"/>
              </w:rPr>
            </w:pPr>
            <w:r>
              <w:rPr>
                <w:sz w:val="18"/>
              </w:rPr>
              <w:t>5.677</w:t>
            </w:r>
          </w:p>
        </w:tc>
        <w:tc>
          <w:tcPr>
            <w:tcW w:w="1201" w:type="dxa"/>
            <w:tcBorders>
              <w:top w:val="nil"/>
              <w:left w:val="nil"/>
              <w:bottom w:val="dotted" w:sz="4" w:space="0" w:color="000000"/>
              <w:right w:val="nil"/>
            </w:tcBorders>
          </w:tcPr>
          <w:p>
            <w:pPr>
              <w:pStyle w:val="TableParagraph"/>
              <w:spacing w:before="38"/>
              <w:ind w:left="329" w:right="332"/>
              <w:jc w:val="center"/>
              <w:rPr>
                <w:sz w:val="18"/>
              </w:rPr>
            </w:pPr>
            <w:r>
              <w:rPr>
                <w:sz w:val="18"/>
              </w:rPr>
              <w:t>6.199</w:t>
            </w:r>
          </w:p>
        </w:tc>
        <w:tc>
          <w:tcPr>
            <w:tcW w:w="1138" w:type="dxa"/>
            <w:tcBorders>
              <w:top w:val="nil"/>
              <w:left w:val="nil"/>
              <w:bottom w:val="dotted" w:sz="4" w:space="0" w:color="000000"/>
              <w:right w:val="nil"/>
            </w:tcBorders>
          </w:tcPr>
          <w:p>
            <w:pPr>
              <w:pStyle w:val="TableParagraph"/>
              <w:spacing w:before="38"/>
              <w:ind w:right="334"/>
              <w:jc w:val="right"/>
              <w:rPr>
                <w:sz w:val="18"/>
              </w:rPr>
            </w:pPr>
            <w:r>
              <w:rPr>
                <w:sz w:val="18"/>
              </w:rPr>
              <w:t>5.155</w:t>
            </w:r>
          </w:p>
        </w:tc>
        <w:tc>
          <w:tcPr>
            <w:tcW w:w="1008" w:type="dxa"/>
            <w:tcBorders>
              <w:top w:val="nil"/>
              <w:left w:val="nil"/>
              <w:bottom w:val="dotted" w:sz="4" w:space="0" w:color="000000"/>
              <w:right w:val="nil"/>
            </w:tcBorders>
          </w:tcPr>
          <w:p>
            <w:pPr>
              <w:pStyle w:val="TableParagraph"/>
              <w:spacing w:before="38"/>
              <w:ind w:left="302" w:right="240"/>
              <w:jc w:val="center"/>
              <w:rPr>
                <w:sz w:val="18"/>
              </w:rPr>
            </w:pPr>
            <w:r>
              <w:rPr>
                <w:sz w:val="18"/>
              </w:rPr>
              <w:t>5.313</w:t>
            </w:r>
          </w:p>
        </w:tc>
        <w:tc>
          <w:tcPr>
            <w:tcW w:w="850" w:type="dxa"/>
            <w:tcBorders>
              <w:top w:val="nil"/>
              <w:left w:val="nil"/>
              <w:bottom w:val="nil"/>
              <w:right w:val="nil"/>
            </w:tcBorders>
          </w:tcPr>
          <w:p>
            <w:pPr>
              <w:pStyle w:val="TableParagraph"/>
              <w:spacing w:before="38"/>
              <w:ind w:left="225"/>
              <w:rPr>
                <w:sz w:val="18"/>
              </w:rPr>
            </w:pPr>
            <w:r>
              <w:rPr>
                <w:sz w:val="18"/>
              </w:rPr>
              <w:t>5.222</w:t>
            </w:r>
          </w:p>
        </w:tc>
      </w:tr>
    </w:tbl>
    <w:p>
      <w:pPr>
        <w:spacing w:after="0"/>
        <w:rPr>
          <w:sz w:val="18"/>
        </w:rPr>
        <w:sectPr>
          <w:type w:val="continuous"/>
          <w:pgSz w:w="12240" w:h="15840"/>
          <w:pgMar w:top="3080" w:bottom="2780" w:left="840" w:right="1460"/>
        </w:sectPr>
      </w:pPr>
    </w:p>
    <w:p>
      <w:pPr>
        <w:pStyle w:val="BodyText"/>
        <w:spacing w:before="10"/>
        <w:rPr>
          <w:rFonts w:ascii="Times New Roman"/>
          <w:sz w:val="21"/>
        </w:rPr>
      </w:pPr>
    </w:p>
    <w:p>
      <w:pPr>
        <w:pStyle w:val="BodyText"/>
        <w:ind w:left="351"/>
        <w:rPr>
          <w:rFonts w:ascii="Times New Roman"/>
          <w:sz w:val="20"/>
        </w:rPr>
      </w:pPr>
      <w:r>
        <w:rPr>
          <w:rFonts w:ascii="Times New Roman"/>
          <w:sz w:val="20"/>
        </w:rPr>
        <w:pict>
          <v:group style="width:432.95pt;height:13.35pt;mso-position-horizontal-relative:char;mso-position-vertical-relative:line" coordorigin="0,0" coordsize="8659,267">
            <v:shape style="position:absolute;left:3337;top:45;width:159;height:221" type="#_x0000_t75" stroked="false">
              <v:imagedata r:id="rId178" o:title=""/>
            </v:shape>
            <v:line style="position:absolute" from="5,5" to="1297,5" stroked="true" strokeweight=".48pt" strokecolor="#000000">
              <v:stroke dashstyle="dash"/>
            </v:line>
            <v:line style="position:absolute" from="1297,5" to="1306,5" stroked="true" strokeweight=".48pt" strokecolor="#000000">
              <v:stroke dashstyle="dash"/>
            </v:line>
            <v:line style="position:absolute" from="1306,5" to="8653,5" stroked="true" strokeweight=".48pt" strokecolor="#000000">
              <v:stroke dashstyle="dash"/>
            </v:line>
            <v:shape style="position:absolute;left:0;top:0;width:8658;height:266" type="#_x0000_t202" filled="false" stroked="false">
              <v:textbox inset="0,0,0,0">
                <w:txbxContent>
                  <w:p>
                    <w:pPr>
                      <w:tabs>
                        <w:tab w:pos="1368" w:val="left" w:leader="none"/>
                      </w:tabs>
                      <w:spacing w:before="57"/>
                      <w:ind w:left="336" w:right="0" w:firstLine="0"/>
                      <w:jc w:val="left"/>
                      <w:rPr>
                        <w:rFonts w:ascii="Times New Roman"/>
                        <w:sz w:val="18"/>
                      </w:rPr>
                    </w:pPr>
                    <w:r>
                      <w:rPr>
                        <w:rFonts w:ascii="Times New Roman"/>
                        <w:sz w:val="18"/>
                      </w:rPr>
                      <w:t>Time</w:t>
                    </w:r>
                    <w:r>
                      <w:rPr>
                        <w:rFonts w:ascii="Times New Roman"/>
                        <w:spacing w:val="-3"/>
                        <w:sz w:val="18"/>
                      </w:rPr>
                      <w:t> </w:t>
                    </w:r>
                    <w:r>
                      <w:rPr>
                        <w:rFonts w:ascii="Times New Roman"/>
                        <w:sz w:val="18"/>
                      </w:rPr>
                      <w:t>(h)</w:t>
                      <w:tab/>
                      <w:t>Fermentation temperature (   ) determined with the detectors </w:t>
                    </w:r>
                    <w:r>
                      <w:rPr>
                        <w:rFonts w:ascii="Times New Roman"/>
                        <w:spacing w:val="-3"/>
                        <w:sz w:val="18"/>
                      </w:rPr>
                      <w:t>of </w:t>
                    </w:r>
                    <w:r>
                      <w:rPr>
                        <w:rFonts w:ascii="Times New Roman"/>
                        <w:sz w:val="18"/>
                      </w:rPr>
                      <w:t>ANKOM during 72</w:t>
                    </w:r>
                    <w:r>
                      <w:rPr>
                        <w:rFonts w:ascii="Times New Roman"/>
                        <w:spacing w:val="8"/>
                        <w:sz w:val="18"/>
                      </w:rPr>
                      <w:t> </w:t>
                    </w:r>
                    <w:r>
                      <w:rPr>
                        <w:rFonts w:ascii="Times New Roman"/>
                        <w:sz w:val="18"/>
                      </w:rPr>
                      <w:t>h</w:t>
                    </w:r>
                  </w:p>
                </w:txbxContent>
              </v:textbox>
              <w10:wrap type="none"/>
            </v:shape>
          </v:group>
        </w:pict>
      </w:r>
      <w:r>
        <w:rPr>
          <w:rFonts w:ascii="Times New Roman"/>
          <w:sz w:val="20"/>
        </w:rPr>
      </w:r>
    </w:p>
    <w:tbl>
      <w:tblPr>
        <w:tblW w:w="0" w:type="auto"/>
        <w:jc w:val="left"/>
        <w:tblInd w:w="356"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080"/>
        <w:gridCol w:w="1081"/>
        <w:gridCol w:w="1090"/>
        <w:gridCol w:w="1200"/>
        <w:gridCol w:w="1201"/>
        <w:gridCol w:w="1138"/>
        <w:gridCol w:w="987"/>
        <w:gridCol w:w="872"/>
      </w:tblGrid>
      <w:tr>
        <w:trPr>
          <w:trHeight w:val="309" w:hRule="exact"/>
        </w:trPr>
        <w:tc>
          <w:tcPr>
            <w:tcW w:w="1080" w:type="dxa"/>
            <w:tcBorders>
              <w:left w:val="nil"/>
              <w:bottom w:val="nil"/>
              <w:right w:val="nil"/>
            </w:tcBorders>
          </w:tcPr>
          <w:p>
            <w:pPr>
              <w:pStyle w:val="TableParagraph"/>
              <w:spacing w:before="43"/>
              <w:ind w:right="388"/>
              <w:jc w:val="right"/>
              <w:rPr>
                <w:sz w:val="18"/>
              </w:rPr>
            </w:pPr>
            <w:r>
              <w:rPr>
                <w:w w:val="101"/>
                <w:sz w:val="18"/>
              </w:rPr>
              <w:t>0</w:t>
            </w:r>
          </w:p>
        </w:tc>
        <w:tc>
          <w:tcPr>
            <w:tcW w:w="1081" w:type="dxa"/>
            <w:tcBorders>
              <w:left w:val="nil"/>
              <w:bottom w:val="nil"/>
              <w:right w:val="nil"/>
            </w:tcBorders>
          </w:tcPr>
          <w:p>
            <w:pPr>
              <w:pStyle w:val="TableParagraph"/>
              <w:spacing w:before="43"/>
              <w:ind w:right="238"/>
              <w:jc w:val="right"/>
              <w:rPr>
                <w:sz w:val="18"/>
              </w:rPr>
            </w:pPr>
            <w:r>
              <w:rPr>
                <w:sz w:val="18"/>
              </w:rPr>
              <w:t>39.000</w:t>
            </w:r>
          </w:p>
        </w:tc>
        <w:tc>
          <w:tcPr>
            <w:tcW w:w="1090" w:type="dxa"/>
            <w:tcBorders>
              <w:left w:val="nil"/>
              <w:bottom w:val="nil"/>
              <w:right w:val="nil"/>
            </w:tcBorders>
          </w:tcPr>
          <w:p>
            <w:pPr>
              <w:pStyle w:val="TableParagraph"/>
              <w:spacing w:before="43"/>
              <w:ind w:left="240"/>
              <w:rPr>
                <w:sz w:val="18"/>
              </w:rPr>
            </w:pPr>
            <w:r>
              <w:rPr>
                <w:sz w:val="18"/>
              </w:rPr>
              <w:t>39.000</w:t>
            </w:r>
          </w:p>
        </w:tc>
        <w:tc>
          <w:tcPr>
            <w:tcW w:w="1200" w:type="dxa"/>
            <w:tcBorders>
              <w:left w:val="nil"/>
              <w:bottom w:val="nil"/>
              <w:right w:val="nil"/>
            </w:tcBorders>
          </w:tcPr>
          <w:p>
            <w:pPr>
              <w:pStyle w:val="TableParagraph"/>
              <w:spacing w:before="43"/>
              <w:ind w:left="332" w:right="332"/>
              <w:jc w:val="center"/>
              <w:rPr>
                <w:sz w:val="18"/>
              </w:rPr>
            </w:pPr>
            <w:r>
              <w:rPr>
                <w:sz w:val="18"/>
              </w:rPr>
              <w:t>39.052</w:t>
            </w:r>
          </w:p>
        </w:tc>
        <w:tc>
          <w:tcPr>
            <w:tcW w:w="1201" w:type="dxa"/>
            <w:tcBorders>
              <w:left w:val="nil"/>
              <w:bottom w:val="nil"/>
              <w:right w:val="nil"/>
            </w:tcBorders>
          </w:tcPr>
          <w:p>
            <w:pPr>
              <w:pStyle w:val="TableParagraph"/>
              <w:spacing w:before="43"/>
              <w:ind w:left="332" w:right="332"/>
              <w:jc w:val="center"/>
              <w:rPr>
                <w:sz w:val="18"/>
              </w:rPr>
            </w:pPr>
            <w:r>
              <w:rPr>
                <w:sz w:val="18"/>
              </w:rPr>
              <w:t>39.000</w:t>
            </w:r>
          </w:p>
        </w:tc>
        <w:tc>
          <w:tcPr>
            <w:tcW w:w="1138" w:type="dxa"/>
            <w:tcBorders>
              <w:left w:val="nil"/>
              <w:bottom w:val="nil"/>
              <w:right w:val="nil"/>
            </w:tcBorders>
          </w:tcPr>
          <w:p>
            <w:pPr>
              <w:pStyle w:val="TableParagraph"/>
              <w:spacing w:before="43"/>
              <w:ind w:right="286"/>
              <w:jc w:val="right"/>
              <w:rPr>
                <w:sz w:val="18"/>
              </w:rPr>
            </w:pPr>
            <w:r>
              <w:rPr>
                <w:sz w:val="18"/>
              </w:rPr>
              <w:t>39.000</w:t>
            </w:r>
          </w:p>
        </w:tc>
        <w:tc>
          <w:tcPr>
            <w:tcW w:w="987" w:type="dxa"/>
            <w:tcBorders>
              <w:left w:val="nil"/>
              <w:bottom w:val="nil"/>
              <w:right w:val="nil"/>
            </w:tcBorders>
          </w:tcPr>
          <w:p>
            <w:pPr>
              <w:pStyle w:val="TableParagraph"/>
              <w:spacing w:before="43"/>
              <w:ind w:right="197"/>
              <w:jc w:val="right"/>
              <w:rPr>
                <w:sz w:val="18"/>
              </w:rPr>
            </w:pPr>
            <w:r>
              <w:rPr>
                <w:sz w:val="18"/>
              </w:rPr>
              <w:t>39.000</w:t>
            </w:r>
          </w:p>
        </w:tc>
        <w:tc>
          <w:tcPr>
            <w:tcW w:w="872" w:type="dxa"/>
            <w:tcBorders>
              <w:left w:val="nil"/>
              <w:bottom w:val="nil"/>
              <w:right w:val="nil"/>
            </w:tcBorders>
          </w:tcPr>
          <w:p>
            <w:pPr>
              <w:pStyle w:val="TableParagraph"/>
              <w:spacing w:before="43"/>
              <w:ind w:left="199"/>
              <w:rPr>
                <w:sz w:val="18"/>
              </w:rPr>
            </w:pPr>
            <w:r>
              <w:rPr>
                <w:sz w:val="18"/>
              </w:rPr>
              <w:t>39.000</w:t>
            </w:r>
          </w:p>
        </w:tc>
      </w:tr>
      <w:tr>
        <w:trPr>
          <w:trHeight w:val="300" w:hRule="exact"/>
        </w:trPr>
        <w:tc>
          <w:tcPr>
            <w:tcW w:w="1080" w:type="dxa"/>
            <w:tcBorders>
              <w:top w:val="nil"/>
              <w:left w:val="nil"/>
              <w:bottom w:val="nil"/>
              <w:right w:val="nil"/>
            </w:tcBorders>
          </w:tcPr>
          <w:p>
            <w:pPr>
              <w:pStyle w:val="TableParagraph"/>
              <w:spacing w:before="36"/>
              <w:ind w:right="388"/>
              <w:jc w:val="right"/>
              <w:rPr>
                <w:sz w:val="18"/>
              </w:rPr>
            </w:pPr>
            <w:r>
              <w:rPr>
                <w:w w:val="101"/>
                <w:sz w:val="18"/>
              </w:rPr>
              <w:t>2</w:t>
            </w:r>
          </w:p>
        </w:tc>
        <w:tc>
          <w:tcPr>
            <w:tcW w:w="1081" w:type="dxa"/>
            <w:tcBorders>
              <w:top w:val="nil"/>
              <w:left w:val="nil"/>
              <w:bottom w:val="nil"/>
              <w:right w:val="nil"/>
            </w:tcBorders>
          </w:tcPr>
          <w:p>
            <w:pPr>
              <w:pStyle w:val="TableParagraph"/>
              <w:spacing w:before="36"/>
              <w:ind w:right="238"/>
              <w:jc w:val="right"/>
              <w:rPr>
                <w:sz w:val="18"/>
              </w:rPr>
            </w:pPr>
            <w:r>
              <w:rPr>
                <w:sz w:val="18"/>
              </w:rPr>
              <w:t>41.429</w:t>
            </w:r>
          </w:p>
        </w:tc>
        <w:tc>
          <w:tcPr>
            <w:tcW w:w="1090" w:type="dxa"/>
            <w:tcBorders>
              <w:top w:val="nil"/>
              <w:left w:val="nil"/>
              <w:bottom w:val="nil"/>
              <w:right w:val="nil"/>
            </w:tcBorders>
          </w:tcPr>
          <w:p>
            <w:pPr>
              <w:pStyle w:val="TableParagraph"/>
              <w:spacing w:before="36"/>
              <w:ind w:left="240"/>
              <w:rPr>
                <w:sz w:val="18"/>
              </w:rPr>
            </w:pPr>
            <w:r>
              <w:rPr>
                <w:sz w:val="18"/>
              </w:rPr>
              <w:t>42.344</w:t>
            </w:r>
          </w:p>
        </w:tc>
        <w:tc>
          <w:tcPr>
            <w:tcW w:w="1200" w:type="dxa"/>
            <w:tcBorders>
              <w:top w:val="nil"/>
              <w:left w:val="nil"/>
              <w:bottom w:val="nil"/>
              <w:right w:val="nil"/>
            </w:tcBorders>
          </w:tcPr>
          <w:p>
            <w:pPr>
              <w:pStyle w:val="TableParagraph"/>
              <w:spacing w:before="36"/>
              <w:ind w:left="332" w:right="332"/>
              <w:jc w:val="center"/>
              <w:rPr>
                <w:sz w:val="18"/>
              </w:rPr>
            </w:pPr>
            <w:r>
              <w:rPr>
                <w:sz w:val="18"/>
              </w:rPr>
              <w:t>42.709</w:t>
            </w:r>
          </w:p>
        </w:tc>
        <w:tc>
          <w:tcPr>
            <w:tcW w:w="1201" w:type="dxa"/>
            <w:tcBorders>
              <w:top w:val="nil"/>
              <w:left w:val="nil"/>
              <w:bottom w:val="nil"/>
              <w:right w:val="nil"/>
            </w:tcBorders>
          </w:tcPr>
          <w:p>
            <w:pPr>
              <w:pStyle w:val="TableParagraph"/>
              <w:spacing w:before="36"/>
              <w:ind w:left="332" w:right="332"/>
              <w:jc w:val="center"/>
              <w:rPr>
                <w:sz w:val="18"/>
              </w:rPr>
            </w:pPr>
            <w:r>
              <w:rPr>
                <w:sz w:val="18"/>
              </w:rPr>
              <w:t>41.926</w:t>
            </w:r>
          </w:p>
        </w:tc>
        <w:tc>
          <w:tcPr>
            <w:tcW w:w="1138" w:type="dxa"/>
            <w:tcBorders>
              <w:top w:val="nil"/>
              <w:left w:val="nil"/>
              <w:bottom w:val="nil"/>
              <w:right w:val="nil"/>
            </w:tcBorders>
          </w:tcPr>
          <w:p>
            <w:pPr>
              <w:pStyle w:val="TableParagraph"/>
              <w:spacing w:before="36"/>
              <w:ind w:right="286"/>
              <w:jc w:val="right"/>
              <w:rPr>
                <w:sz w:val="18"/>
              </w:rPr>
            </w:pPr>
            <w:r>
              <w:rPr>
                <w:sz w:val="18"/>
              </w:rPr>
              <w:t>41.351</w:t>
            </w:r>
          </w:p>
        </w:tc>
        <w:tc>
          <w:tcPr>
            <w:tcW w:w="987" w:type="dxa"/>
            <w:tcBorders>
              <w:top w:val="nil"/>
              <w:left w:val="nil"/>
              <w:bottom w:val="nil"/>
              <w:right w:val="nil"/>
            </w:tcBorders>
          </w:tcPr>
          <w:p>
            <w:pPr>
              <w:pStyle w:val="TableParagraph"/>
              <w:spacing w:before="36"/>
              <w:ind w:right="197"/>
              <w:jc w:val="right"/>
              <w:rPr>
                <w:sz w:val="18"/>
              </w:rPr>
            </w:pPr>
            <w:r>
              <w:rPr>
                <w:sz w:val="18"/>
              </w:rPr>
              <w:t>41.874</w:t>
            </w:r>
          </w:p>
        </w:tc>
        <w:tc>
          <w:tcPr>
            <w:tcW w:w="872" w:type="dxa"/>
            <w:tcBorders>
              <w:top w:val="nil"/>
              <w:left w:val="nil"/>
              <w:bottom w:val="nil"/>
              <w:right w:val="nil"/>
            </w:tcBorders>
          </w:tcPr>
          <w:p>
            <w:pPr>
              <w:pStyle w:val="TableParagraph"/>
              <w:spacing w:before="36"/>
              <w:ind w:left="199"/>
              <w:rPr>
                <w:sz w:val="18"/>
              </w:rPr>
            </w:pPr>
            <w:r>
              <w:rPr>
                <w:sz w:val="18"/>
              </w:rPr>
              <w:t>41.194</w:t>
            </w:r>
          </w:p>
        </w:tc>
      </w:tr>
      <w:tr>
        <w:trPr>
          <w:trHeight w:val="300" w:hRule="exact"/>
        </w:trPr>
        <w:tc>
          <w:tcPr>
            <w:tcW w:w="1080" w:type="dxa"/>
            <w:tcBorders>
              <w:top w:val="nil"/>
              <w:left w:val="nil"/>
              <w:bottom w:val="nil"/>
              <w:right w:val="nil"/>
            </w:tcBorders>
          </w:tcPr>
          <w:p>
            <w:pPr>
              <w:pStyle w:val="TableParagraph"/>
              <w:spacing w:before="39"/>
              <w:ind w:right="388"/>
              <w:jc w:val="right"/>
              <w:rPr>
                <w:sz w:val="18"/>
              </w:rPr>
            </w:pPr>
            <w:r>
              <w:rPr>
                <w:w w:val="101"/>
                <w:sz w:val="18"/>
              </w:rPr>
              <w:t>4</w:t>
            </w:r>
          </w:p>
        </w:tc>
        <w:tc>
          <w:tcPr>
            <w:tcW w:w="1081" w:type="dxa"/>
            <w:tcBorders>
              <w:top w:val="nil"/>
              <w:left w:val="nil"/>
              <w:bottom w:val="nil"/>
              <w:right w:val="nil"/>
            </w:tcBorders>
          </w:tcPr>
          <w:p>
            <w:pPr>
              <w:pStyle w:val="TableParagraph"/>
              <w:spacing w:before="39"/>
              <w:ind w:right="238"/>
              <w:jc w:val="right"/>
              <w:rPr>
                <w:sz w:val="18"/>
              </w:rPr>
            </w:pPr>
            <w:r>
              <w:rPr>
                <w:sz w:val="18"/>
              </w:rPr>
              <w:t>41.116</w:t>
            </w:r>
          </w:p>
        </w:tc>
        <w:tc>
          <w:tcPr>
            <w:tcW w:w="1090" w:type="dxa"/>
            <w:tcBorders>
              <w:top w:val="nil"/>
              <w:left w:val="nil"/>
              <w:bottom w:val="nil"/>
              <w:right w:val="nil"/>
            </w:tcBorders>
          </w:tcPr>
          <w:p>
            <w:pPr>
              <w:pStyle w:val="TableParagraph"/>
              <w:spacing w:before="39"/>
              <w:ind w:left="240"/>
              <w:rPr>
                <w:sz w:val="18"/>
              </w:rPr>
            </w:pPr>
            <w:r>
              <w:rPr>
                <w:sz w:val="18"/>
              </w:rPr>
              <w:t>40.933</w:t>
            </w:r>
          </w:p>
        </w:tc>
        <w:tc>
          <w:tcPr>
            <w:tcW w:w="1200" w:type="dxa"/>
            <w:tcBorders>
              <w:top w:val="nil"/>
              <w:left w:val="nil"/>
              <w:bottom w:val="nil"/>
              <w:right w:val="nil"/>
            </w:tcBorders>
          </w:tcPr>
          <w:p>
            <w:pPr>
              <w:pStyle w:val="TableParagraph"/>
              <w:spacing w:before="39"/>
              <w:ind w:left="332" w:right="332"/>
              <w:jc w:val="center"/>
              <w:rPr>
                <w:sz w:val="18"/>
              </w:rPr>
            </w:pPr>
            <w:r>
              <w:rPr>
                <w:sz w:val="18"/>
              </w:rPr>
              <w:t>41.769</w:t>
            </w:r>
          </w:p>
        </w:tc>
        <w:tc>
          <w:tcPr>
            <w:tcW w:w="1201" w:type="dxa"/>
            <w:tcBorders>
              <w:top w:val="nil"/>
              <w:left w:val="nil"/>
              <w:bottom w:val="nil"/>
              <w:right w:val="nil"/>
            </w:tcBorders>
          </w:tcPr>
          <w:p>
            <w:pPr>
              <w:pStyle w:val="TableParagraph"/>
              <w:spacing w:before="39"/>
              <w:ind w:left="332" w:right="332"/>
              <w:jc w:val="center"/>
              <w:rPr>
                <w:sz w:val="18"/>
              </w:rPr>
            </w:pPr>
            <w:r>
              <w:rPr>
                <w:sz w:val="18"/>
              </w:rPr>
              <w:t>41.142</w:t>
            </w:r>
          </w:p>
        </w:tc>
        <w:tc>
          <w:tcPr>
            <w:tcW w:w="1138" w:type="dxa"/>
            <w:tcBorders>
              <w:top w:val="nil"/>
              <w:left w:val="nil"/>
              <w:bottom w:val="nil"/>
              <w:right w:val="nil"/>
            </w:tcBorders>
          </w:tcPr>
          <w:p>
            <w:pPr>
              <w:pStyle w:val="TableParagraph"/>
              <w:spacing w:before="39"/>
              <w:ind w:right="286"/>
              <w:jc w:val="right"/>
              <w:rPr>
                <w:sz w:val="18"/>
              </w:rPr>
            </w:pPr>
            <w:r>
              <w:rPr>
                <w:sz w:val="18"/>
              </w:rPr>
              <w:t>41.247</w:t>
            </w:r>
          </w:p>
        </w:tc>
        <w:tc>
          <w:tcPr>
            <w:tcW w:w="987" w:type="dxa"/>
            <w:tcBorders>
              <w:top w:val="nil"/>
              <w:left w:val="nil"/>
              <w:bottom w:val="nil"/>
              <w:right w:val="nil"/>
            </w:tcBorders>
          </w:tcPr>
          <w:p>
            <w:pPr>
              <w:pStyle w:val="TableParagraph"/>
              <w:spacing w:before="39"/>
              <w:ind w:right="197"/>
              <w:jc w:val="right"/>
              <w:rPr>
                <w:sz w:val="18"/>
              </w:rPr>
            </w:pPr>
            <w:r>
              <w:rPr>
                <w:sz w:val="18"/>
              </w:rPr>
              <w:t>41.978</w:t>
            </w:r>
          </w:p>
        </w:tc>
        <w:tc>
          <w:tcPr>
            <w:tcW w:w="872" w:type="dxa"/>
            <w:tcBorders>
              <w:top w:val="nil"/>
              <w:left w:val="nil"/>
              <w:bottom w:val="nil"/>
              <w:right w:val="nil"/>
            </w:tcBorders>
          </w:tcPr>
          <w:p>
            <w:pPr>
              <w:pStyle w:val="TableParagraph"/>
              <w:spacing w:before="39"/>
              <w:ind w:left="199"/>
              <w:rPr>
                <w:sz w:val="18"/>
              </w:rPr>
            </w:pPr>
            <w:r>
              <w:rPr>
                <w:sz w:val="18"/>
              </w:rPr>
              <w:t>41.273</w:t>
            </w:r>
          </w:p>
        </w:tc>
      </w:tr>
      <w:tr>
        <w:trPr>
          <w:trHeight w:val="300" w:hRule="exact"/>
        </w:trPr>
        <w:tc>
          <w:tcPr>
            <w:tcW w:w="1080" w:type="dxa"/>
            <w:tcBorders>
              <w:top w:val="nil"/>
              <w:left w:val="nil"/>
              <w:bottom w:val="nil"/>
              <w:right w:val="nil"/>
            </w:tcBorders>
          </w:tcPr>
          <w:p>
            <w:pPr>
              <w:pStyle w:val="TableParagraph"/>
              <w:spacing w:before="36"/>
              <w:ind w:right="388"/>
              <w:jc w:val="right"/>
              <w:rPr>
                <w:sz w:val="18"/>
              </w:rPr>
            </w:pPr>
            <w:r>
              <w:rPr>
                <w:w w:val="101"/>
                <w:sz w:val="18"/>
              </w:rPr>
              <w:t>6</w:t>
            </w:r>
          </w:p>
        </w:tc>
        <w:tc>
          <w:tcPr>
            <w:tcW w:w="1081" w:type="dxa"/>
            <w:tcBorders>
              <w:top w:val="nil"/>
              <w:left w:val="nil"/>
              <w:bottom w:val="nil"/>
              <w:right w:val="nil"/>
            </w:tcBorders>
          </w:tcPr>
          <w:p>
            <w:pPr>
              <w:pStyle w:val="TableParagraph"/>
              <w:spacing w:before="36"/>
              <w:ind w:right="238"/>
              <w:jc w:val="right"/>
              <w:rPr>
                <w:sz w:val="18"/>
              </w:rPr>
            </w:pPr>
            <w:r>
              <w:rPr>
                <w:sz w:val="18"/>
              </w:rPr>
              <w:t>41.194</w:t>
            </w:r>
          </w:p>
        </w:tc>
        <w:tc>
          <w:tcPr>
            <w:tcW w:w="1090" w:type="dxa"/>
            <w:tcBorders>
              <w:top w:val="nil"/>
              <w:left w:val="nil"/>
              <w:bottom w:val="nil"/>
              <w:right w:val="nil"/>
            </w:tcBorders>
          </w:tcPr>
          <w:p>
            <w:pPr>
              <w:pStyle w:val="TableParagraph"/>
              <w:spacing w:before="36"/>
              <w:ind w:left="240"/>
              <w:rPr>
                <w:sz w:val="18"/>
              </w:rPr>
            </w:pPr>
            <w:r>
              <w:rPr>
                <w:sz w:val="18"/>
              </w:rPr>
              <w:t>41.351</w:t>
            </w:r>
          </w:p>
        </w:tc>
        <w:tc>
          <w:tcPr>
            <w:tcW w:w="1200" w:type="dxa"/>
            <w:tcBorders>
              <w:top w:val="nil"/>
              <w:left w:val="nil"/>
              <w:bottom w:val="nil"/>
              <w:right w:val="nil"/>
            </w:tcBorders>
          </w:tcPr>
          <w:p>
            <w:pPr>
              <w:pStyle w:val="TableParagraph"/>
              <w:spacing w:before="36"/>
              <w:ind w:left="332" w:right="332"/>
              <w:jc w:val="center"/>
              <w:rPr>
                <w:sz w:val="18"/>
              </w:rPr>
            </w:pPr>
            <w:r>
              <w:rPr>
                <w:sz w:val="18"/>
              </w:rPr>
              <w:t>41.874</w:t>
            </w:r>
          </w:p>
        </w:tc>
        <w:tc>
          <w:tcPr>
            <w:tcW w:w="1201" w:type="dxa"/>
            <w:tcBorders>
              <w:top w:val="nil"/>
              <w:left w:val="nil"/>
              <w:bottom w:val="nil"/>
              <w:right w:val="nil"/>
            </w:tcBorders>
          </w:tcPr>
          <w:p>
            <w:pPr>
              <w:pStyle w:val="TableParagraph"/>
              <w:spacing w:before="36"/>
              <w:ind w:left="332" w:right="332"/>
              <w:jc w:val="center"/>
              <w:rPr>
                <w:sz w:val="18"/>
              </w:rPr>
            </w:pPr>
            <w:r>
              <w:rPr>
                <w:sz w:val="18"/>
              </w:rPr>
              <w:t>41.194</w:t>
            </w:r>
          </w:p>
        </w:tc>
        <w:tc>
          <w:tcPr>
            <w:tcW w:w="1138" w:type="dxa"/>
            <w:tcBorders>
              <w:top w:val="nil"/>
              <w:left w:val="nil"/>
              <w:bottom w:val="nil"/>
              <w:right w:val="nil"/>
            </w:tcBorders>
          </w:tcPr>
          <w:p>
            <w:pPr>
              <w:pStyle w:val="TableParagraph"/>
              <w:spacing w:before="36"/>
              <w:ind w:right="286"/>
              <w:jc w:val="right"/>
              <w:rPr>
                <w:sz w:val="18"/>
              </w:rPr>
            </w:pPr>
            <w:r>
              <w:rPr>
                <w:sz w:val="18"/>
              </w:rPr>
              <w:t>41.090</w:t>
            </w:r>
          </w:p>
        </w:tc>
        <w:tc>
          <w:tcPr>
            <w:tcW w:w="987" w:type="dxa"/>
            <w:tcBorders>
              <w:top w:val="nil"/>
              <w:left w:val="nil"/>
              <w:bottom w:val="nil"/>
              <w:right w:val="nil"/>
            </w:tcBorders>
          </w:tcPr>
          <w:p>
            <w:pPr>
              <w:pStyle w:val="TableParagraph"/>
              <w:spacing w:before="36"/>
              <w:ind w:right="197"/>
              <w:jc w:val="right"/>
              <w:rPr>
                <w:sz w:val="18"/>
              </w:rPr>
            </w:pPr>
            <w:r>
              <w:rPr>
                <w:sz w:val="18"/>
              </w:rPr>
              <w:t>42.030</w:t>
            </w:r>
          </w:p>
        </w:tc>
        <w:tc>
          <w:tcPr>
            <w:tcW w:w="872" w:type="dxa"/>
            <w:tcBorders>
              <w:top w:val="nil"/>
              <w:left w:val="nil"/>
              <w:bottom w:val="nil"/>
              <w:right w:val="nil"/>
            </w:tcBorders>
          </w:tcPr>
          <w:p>
            <w:pPr>
              <w:pStyle w:val="TableParagraph"/>
              <w:spacing w:before="36"/>
              <w:ind w:left="199"/>
              <w:rPr>
                <w:sz w:val="18"/>
              </w:rPr>
            </w:pPr>
            <w:r>
              <w:rPr>
                <w:sz w:val="18"/>
              </w:rPr>
              <w:t>41.038</w:t>
            </w:r>
          </w:p>
        </w:tc>
      </w:tr>
      <w:tr>
        <w:trPr>
          <w:trHeight w:val="300" w:hRule="exact"/>
        </w:trPr>
        <w:tc>
          <w:tcPr>
            <w:tcW w:w="1080" w:type="dxa"/>
            <w:tcBorders>
              <w:top w:val="nil"/>
              <w:left w:val="nil"/>
              <w:bottom w:val="nil"/>
              <w:right w:val="nil"/>
            </w:tcBorders>
          </w:tcPr>
          <w:p>
            <w:pPr>
              <w:pStyle w:val="TableParagraph"/>
              <w:spacing w:before="38"/>
              <w:ind w:right="388"/>
              <w:jc w:val="right"/>
              <w:rPr>
                <w:sz w:val="18"/>
              </w:rPr>
            </w:pPr>
            <w:r>
              <w:rPr>
                <w:w w:val="101"/>
                <w:sz w:val="18"/>
              </w:rPr>
              <w:t>8</w:t>
            </w:r>
          </w:p>
        </w:tc>
        <w:tc>
          <w:tcPr>
            <w:tcW w:w="1081" w:type="dxa"/>
            <w:tcBorders>
              <w:top w:val="nil"/>
              <w:left w:val="nil"/>
              <w:bottom w:val="nil"/>
              <w:right w:val="nil"/>
            </w:tcBorders>
          </w:tcPr>
          <w:p>
            <w:pPr>
              <w:pStyle w:val="TableParagraph"/>
              <w:spacing w:before="38"/>
              <w:ind w:right="238"/>
              <w:jc w:val="right"/>
              <w:rPr>
                <w:sz w:val="18"/>
              </w:rPr>
            </w:pPr>
            <w:r>
              <w:rPr>
                <w:sz w:val="18"/>
              </w:rPr>
              <w:t>41.429</w:t>
            </w:r>
          </w:p>
        </w:tc>
        <w:tc>
          <w:tcPr>
            <w:tcW w:w="1090" w:type="dxa"/>
            <w:tcBorders>
              <w:top w:val="nil"/>
              <w:left w:val="nil"/>
              <w:bottom w:val="nil"/>
              <w:right w:val="nil"/>
            </w:tcBorders>
          </w:tcPr>
          <w:p>
            <w:pPr>
              <w:pStyle w:val="TableParagraph"/>
              <w:spacing w:before="38"/>
              <w:ind w:left="240"/>
              <w:rPr>
                <w:sz w:val="18"/>
              </w:rPr>
            </w:pPr>
            <w:r>
              <w:rPr>
                <w:sz w:val="18"/>
              </w:rPr>
              <w:t>41.717</w:t>
            </w:r>
          </w:p>
        </w:tc>
        <w:tc>
          <w:tcPr>
            <w:tcW w:w="1200" w:type="dxa"/>
            <w:tcBorders>
              <w:top w:val="nil"/>
              <w:left w:val="nil"/>
              <w:bottom w:val="nil"/>
              <w:right w:val="nil"/>
            </w:tcBorders>
          </w:tcPr>
          <w:p>
            <w:pPr>
              <w:pStyle w:val="TableParagraph"/>
              <w:spacing w:before="38"/>
              <w:ind w:left="332" w:right="332"/>
              <w:jc w:val="center"/>
              <w:rPr>
                <w:sz w:val="18"/>
              </w:rPr>
            </w:pPr>
            <w:r>
              <w:rPr>
                <w:sz w:val="18"/>
              </w:rPr>
              <w:t>41.978</w:t>
            </w:r>
          </w:p>
        </w:tc>
        <w:tc>
          <w:tcPr>
            <w:tcW w:w="1201" w:type="dxa"/>
            <w:tcBorders>
              <w:top w:val="nil"/>
              <w:left w:val="nil"/>
              <w:bottom w:val="nil"/>
              <w:right w:val="nil"/>
            </w:tcBorders>
          </w:tcPr>
          <w:p>
            <w:pPr>
              <w:pStyle w:val="TableParagraph"/>
              <w:spacing w:before="38"/>
              <w:ind w:left="332" w:right="332"/>
              <w:jc w:val="center"/>
              <w:rPr>
                <w:sz w:val="18"/>
              </w:rPr>
            </w:pPr>
            <w:r>
              <w:rPr>
                <w:sz w:val="18"/>
              </w:rPr>
              <w:t>41.299</w:t>
            </w:r>
          </w:p>
        </w:tc>
        <w:tc>
          <w:tcPr>
            <w:tcW w:w="1138" w:type="dxa"/>
            <w:tcBorders>
              <w:top w:val="nil"/>
              <w:left w:val="nil"/>
              <w:bottom w:val="nil"/>
              <w:right w:val="nil"/>
            </w:tcBorders>
          </w:tcPr>
          <w:p>
            <w:pPr>
              <w:pStyle w:val="TableParagraph"/>
              <w:spacing w:before="38"/>
              <w:ind w:right="286"/>
              <w:jc w:val="right"/>
              <w:rPr>
                <w:sz w:val="18"/>
              </w:rPr>
            </w:pPr>
            <w:r>
              <w:rPr>
                <w:sz w:val="18"/>
              </w:rPr>
              <w:t>40.933</w:t>
            </w:r>
          </w:p>
        </w:tc>
        <w:tc>
          <w:tcPr>
            <w:tcW w:w="987" w:type="dxa"/>
            <w:tcBorders>
              <w:top w:val="nil"/>
              <w:left w:val="nil"/>
              <w:bottom w:val="nil"/>
              <w:right w:val="nil"/>
            </w:tcBorders>
          </w:tcPr>
          <w:p>
            <w:pPr>
              <w:pStyle w:val="TableParagraph"/>
              <w:spacing w:before="38"/>
              <w:ind w:right="197"/>
              <w:jc w:val="right"/>
              <w:rPr>
                <w:sz w:val="18"/>
              </w:rPr>
            </w:pPr>
            <w:r>
              <w:rPr>
                <w:sz w:val="18"/>
              </w:rPr>
              <w:t>42.083</w:t>
            </w:r>
          </w:p>
        </w:tc>
        <w:tc>
          <w:tcPr>
            <w:tcW w:w="872" w:type="dxa"/>
            <w:tcBorders>
              <w:top w:val="nil"/>
              <w:left w:val="nil"/>
              <w:bottom w:val="nil"/>
              <w:right w:val="nil"/>
            </w:tcBorders>
          </w:tcPr>
          <w:p>
            <w:pPr>
              <w:pStyle w:val="TableParagraph"/>
              <w:spacing w:before="38"/>
              <w:ind w:left="199"/>
              <w:rPr>
                <w:sz w:val="18"/>
              </w:rPr>
            </w:pPr>
            <w:r>
              <w:rPr>
                <w:sz w:val="18"/>
              </w:rPr>
              <w:t>41.038</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12</w:t>
            </w:r>
          </w:p>
        </w:tc>
        <w:tc>
          <w:tcPr>
            <w:tcW w:w="1081" w:type="dxa"/>
            <w:tcBorders>
              <w:top w:val="nil"/>
              <w:left w:val="nil"/>
              <w:bottom w:val="nil"/>
              <w:right w:val="nil"/>
            </w:tcBorders>
          </w:tcPr>
          <w:p>
            <w:pPr>
              <w:pStyle w:val="TableParagraph"/>
              <w:spacing w:before="36"/>
              <w:ind w:right="238"/>
              <w:jc w:val="right"/>
              <w:rPr>
                <w:sz w:val="18"/>
              </w:rPr>
            </w:pPr>
            <w:r>
              <w:rPr>
                <w:sz w:val="18"/>
              </w:rPr>
              <w:t>41.586</w:t>
            </w:r>
          </w:p>
        </w:tc>
        <w:tc>
          <w:tcPr>
            <w:tcW w:w="1090" w:type="dxa"/>
            <w:tcBorders>
              <w:top w:val="nil"/>
              <w:left w:val="nil"/>
              <w:bottom w:val="nil"/>
              <w:right w:val="nil"/>
            </w:tcBorders>
          </w:tcPr>
          <w:p>
            <w:pPr>
              <w:pStyle w:val="TableParagraph"/>
              <w:spacing w:before="36"/>
              <w:ind w:left="240"/>
              <w:rPr>
                <w:sz w:val="18"/>
              </w:rPr>
            </w:pPr>
            <w:r>
              <w:rPr>
                <w:sz w:val="18"/>
              </w:rPr>
              <w:t>41.926</w:t>
            </w:r>
          </w:p>
        </w:tc>
        <w:tc>
          <w:tcPr>
            <w:tcW w:w="1200" w:type="dxa"/>
            <w:tcBorders>
              <w:top w:val="nil"/>
              <w:left w:val="nil"/>
              <w:bottom w:val="nil"/>
              <w:right w:val="nil"/>
            </w:tcBorders>
          </w:tcPr>
          <w:p>
            <w:pPr>
              <w:pStyle w:val="TableParagraph"/>
              <w:spacing w:before="36"/>
              <w:ind w:left="332" w:right="332"/>
              <w:jc w:val="center"/>
              <w:rPr>
                <w:sz w:val="18"/>
              </w:rPr>
            </w:pPr>
            <w:r>
              <w:rPr>
                <w:sz w:val="18"/>
              </w:rPr>
              <w:t>42.187</w:t>
            </w:r>
          </w:p>
        </w:tc>
        <w:tc>
          <w:tcPr>
            <w:tcW w:w="1201" w:type="dxa"/>
            <w:tcBorders>
              <w:top w:val="nil"/>
              <w:left w:val="nil"/>
              <w:bottom w:val="nil"/>
              <w:right w:val="nil"/>
            </w:tcBorders>
          </w:tcPr>
          <w:p>
            <w:pPr>
              <w:pStyle w:val="TableParagraph"/>
              <w:spacing w:before="36"/>
              <w:ind w:left="332" w:right="332"/>
              <w:jc w:val="center"/>
              <w:rPr>
                <w:sz w:val="18"/>
              </w:rPr>
            </w:pPr>
            <w:r>
              <w:rPr>
                <w:sz w:val="18"/>
              </w:rPr>
              <w:t>41.612</w:t>
            </w:r>
          </w:p>
        </w:tc>
        <w:tc>
          <w:tcPr>
            <w:tcW w:w="1138" w:type="dxa"/>
            <w:tcBorders>
              <w:top w:val="nil"/>
              <w:left w:val="nil"/>
              <w:bottom w:val="nil"/>
              <w:right w:val="nil"/>
            </w:tcBorders>
          </w:tcPr>
          <w:p>
            <w:pPr>
              <w:pStyle w:val="TableParagraph"/>
              <w:spacing w:before="36"/>
              <w:ind w:right="286"/>
              <w:jc w:val="right"/>
              <w:rPr>
                <w:sz w:val="18"/>
              </w:rPr>
            </w:pPr>
            <w:r>
              <w:rPr>
                <w:sz w:val="18"/>
              </w:rPr>
              <w:t>41.456</w:t>
            </w:r>
          </w:p>
        </w:tc>
        <w:tc>
          <w:tcPr>
            <w:tcW w:w="987" w:type="dxa"/>
            <w:tcBorders>
              <w:top w:val="nil"/>
              <w:left w:val="nil"/>
              <w:bottom w:val="nil"/>
              <w:right w:val="nil"/>
            </w:tcBorders>
          </w:tcPr>
          <w:p>
            <w:pPr>
              <w:pStyle w:val="TableParagraph"/>
              <w:spacing w:before="36"/>
              <w:ind w:right="197"/>
              <w:jc w:val="right"/>
              <w:rPr>
                <w:sz w:val="18"/>
              </w:rPr>
            </w:pPr>
            <w:r>
              <w:rPr>
                <w:sz w:val="18"/>
              </w:rPr>
              <w:t>42.396</w:t>
            </w:r>
          </w:p>
        </w:tc>
        <w:tc>
          <w:tcPr>
            <w:tcW w:w="872" w:type="dxa"/>
            <w:tcBorders>
              <w:top w:val="nil"/>
              <w:left w:val="nil"/>
              <w:bottom w:val="nil"/>
              <w:right w:val="nil"/>
            </w:tcBorders>
          </w:tcPr>
          <w:p>
            <w:pPr>
              <w:pStyle w:val="TableParagraph"/>
              <w:spacing w:before="36"/>
              <w:ind w:left="199"/>
              <w:rPr>
                <w:sz w:val="18"/>
              </w:rPr>
            </w:pPr>
            <w:r>
              <w:rPr>
                <w:sz w:val="18"/>
              </w:rPr>
              <w:t>41.273</w:t>
            </w:r>
          </w:p>
        </w:tc>
      </w:tr>
      <w:tr>
        <w:trPr>
          <w:trHeight w:val="300" w:hRule="exact"/>
        </w:trPr>
        <w:tc>
          <w:tcPr>
            <w:tcW w:w="1080" w:type="dxa"/>
            <w:tcBorders>
              <w:top w:val="nil"/>
              <w:left w:val="nil"/>
              <w:bottom w:val="nil"/>
              <w:right w:val="nil"/>
            </w:tcBorders>
          </w:tcPr>
          <w:p>
            <w:pPr>
              <w:pStyle w:val="TableParagraph"/>
              <w:spacing w:before="38"/>
              <w:ind w:right="340"/>
              <w:jc w:val="right"/>
              <w:rPr>
                <w:sz w:val="18"/>
              </w:rPr>
            </w:pPr>
            <w:r>
              <w:rPr>
                <w:sz w:val="18"/>
              </w:rPr>
              <w:t>16</w:t>
            </w:r>
          </w:p>
        </w:tc>
        <w:tc>
          <w:tcPr>
            <w:tcW w:w="1081" w:type="dxa"/>
            <w:tcBorders>
              <w:top w:val="nil"/>
              <w:left w:val="nil"/>
              <w:bottom w:val="nil"/>
              <w:right w:val="nil"/>
            </w:tcBorders>
          </w:tcPr>
          <w:p>
            <w:pPr>
              <w:pStyle w:val="TableParagraph"/>
              <w:spacing w:before="38"/>
              <w:ind w:right="238"/>
              <w:jc w:val="right"/>
              <w:rPr>
                <w:sz w:val="18"/>
              </w:rPr>
            </w:pPr>
            <w:r>
              <w:rPr>
                <w:sz w:val="18"/>
              </w:rPr>
              <w:t>41.743</w:t>
            </w:r>
          </w:p>
        </w:tc>
        <w:tc>
          <w:tcPr>
            <w:tcW w:w="1090" w:type="dxa"/>
            <w:tcBorders>
              <w:top w:val="nil"/>
              <w:left w:val="nil"/>
              <w:bottom w:val="nil"/>
              <w:right w:val="nil"/>
            </w:tcBorders>
          </w:tcPr>
          <w:p>
            <w:pPr>
              <w:pStyle w:val="TableParagraph"/>
              <w:spacing w:before="38"/>
              <w:ind w:left="240"/>
              <w:rPr>
                <w:sz w:val="18"/>
              </w:rPr>
            </w:pPr>
            <w:r>
              <w:rPr>
                <w:sz w:val="18"/>
              </w:rPr>
              <w:t>41.978</w:t>
            </w:r>
          </w:p>
        </w:tc>
        <w:tc>
          <w:tcPr>
            <w:tcW w:w="1200" w:type="dxa"/>
            <w:tcBorders>
              <w:top w:val="nil"/>
              <w:left w:val="nil"/>
              <w:bottom w:val="nil"/>
              <w:right w:val="nil"/>
            </w:tcBorders>
          </w:tcPr>
          <w:p>
            <w:pPr>
              <w:pStyle w:val="TableParagraph"/>
              <w:spacing w:before="38"/>
              <w:ind w:left="332" w:right="332"/>
              <w:jc w:val="center"/>
              <w:rPr>
                <w:sz w:val="18"/>
              </w:rPr>
            </w:pPr>
            <w:r>
              <w:rPr>
                <w:sz w:val="18"/>
              </w:rPr>
              <w:t>42.135</w:t>
            </w:r>
          </w:p>
        </w:tc>
        <w:tc>
          <w:tcPr>
            <w:tcW w:w="1201" w:type="dxa"/>
            <w:tcBorders>
              <w:top w:val="nil"/>
              <w:left w:val="nil"/>
              <w:bottom w:val="nil"/>
              <w:right w:val="nil"/>
            </w:tcBorders>
          </w:tcPr>
          <w:p>
            <w:pPr>
              <w:pStyle w:val="TableParagraph"/>
              <w:spacing w:before="38"/>
              <w:ind w:left="332" w:right="332"/>
              <w:jc w:val="center"/>
              <w:rPr>
                <w:sz w:val="18"/>
              </w:rPr>
            </w:pPr>
            <w:r>
              <w:rPr>
                <w:sz w:val="18"/>
              </w:rPr>
              <w:t>41.665</w:t>
            </w:r>
          </w:p>
        </w:tc>
        <w:tc>
          <w:tcPr>
            <w:tcW w:w="1138" w:type="dxa"/>
            <w:tcBorders>
              <w:top w:val="nil"/>
              <w:left w:val="nil"/>
              <w:bottom w:val="nil"/>
              <w:right w:val="nil"/>
            </w:tcBorders>
          </w:tcPr>
          <w:p>
            <w:pPr>
              <w:pStyle w:val="TableParagraph"/>
              <w:spacing w:before="38"/>
              <w:ind w:right="286"/>
              <w:jc w:val="right"/>
              <w:rPr>
                <w:sz w:val="18"/>
              </w:rPr>
            </w:pPr>
            <w:r>
              <w:rPr>
                <w:sz w:val="18"/>
              </w:rPr>
              <w:t>41.665</w:t>
            </w:r>
          </w:p>
        </w:tc>
        <w:tc>
          <w:tcPr>
            <w:tcW w:w="987" w:type="dxa"/>
            <w:tcBorders>
              <w:top w:val="nil"/>
              <w:left w:val="nil"/>
              <w:bottom w:val="nil"/>
              <w:right w:val="nil"/>
            </w:tcBorders>
          </w:tcPr>
          <w:p>
            <w:pPr>
              <w:pStyle w:val="TableParagraph"/>
              <w:spacing w:before="38"/>
              <w:ind w:right="197"/>
              <w:jc w:val="right"/>
              <w:rPr>
                <w:sz w:val="18"/>
              </w:rPr>
            </w:pPr>
            <w:r>
              <w:rPr>
                <w:sz w:val="18"/>
              </w:rPr>
              <w:t>42.448</w:t>
            </w:r>
          </w:p>
        </w:tc>
        <w:tc>
          <w:tcPr>
            <w:tcW w:w="872" w:type="dxa"/>
            <w:tcBorders>
              <w:top w:val="nil"/>
              <w:left w:val="nil"/>
              <w:bottom w:val="nil"/>
              <w:right w:val="nil"/>
            </w:tcBorders>
          </w:tcPr>
          <w:p>
            <w:pPr>
              <w:pStyle w:val="TableParagraph"/>
              <w:spacing w:before="38"/>
              <w:ind w:left="199"/>
              <w:rPr>
                <w:sz w:val="18"/>
              </w:rPr>
            </w:pPr>
            <w:r>
              <w:rPr>
                <w:sz w:val="18"/>
              </w:rPr>
              <w:t>41.351</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20</w:t>
            </w:r>
          </w:p>
        </w:tc>
        <w:tc>
          <w:tcPr>
            <w:tcW w:w="1081" w:type="dxa"/>
            <w:tcBorders>
              <w:top w:val="nil"/>
              <w:left w:val="nil"/>
              <w:bottom w:val="nil"/>
              <w:right w:val="nil"/>
            </w:tcBorders>
          </w:tcPr>
          <w:p>
            <w:pPr>
              <w:pStyle w:val="TableParagraph"/>
              <w:spacing w:before="36"/>
              <w:ind w:right="238"/>
              <w:jc w:val="right"/>
              <w:rPr>
                <w:sz w:val="18"/>
              </w:rPr>
            </w:pPr>
            <w:r>
              <w:rPr>
                <w:sz w:val="18"/>
              </w:rPr>
              <w:t>41.429</w:t>
            </w:r>
          </w:p>
        </w:tc>
        <w:tc>
          <w:tcPr>
            <w:tcW w:w="1090" w:type="dxa"/>
            <w:tcBorders>
              <w:top w:val="nil"/>
              <w:left w:val="nil"/>
              <w:bottom w:val="nil"/>
              <w:right w:val="nil"/>
            </w:tcBorders>
          </w:tcPr>
          <w:p>
            <w:pPr>
              <w:pStyle w:val="TableParagraph"/>
              <w:spacing w:before="36"/>
              <w:ind w:left="240"/>
              <w:rPr>
                <w:sz w:val="18"/>
              </w:rPr>
            </w:pPr>
            <w:r>
              <w:rPr>
                <w:sz w:val="18"/>
              </w:rPr>
              <w:t>41.717</w:t>
            </w:r>
          </w:p>
        </w:tc>
        <w:tc>
          <w:tcPr>
            <w:tcW w:w="1200" w:type="dxa"/>
            <w:tcBorders>
              <w:top w:val="nil"/>
              <w:left w:val="nil"/>
              <w:bottom w:val="nil"/>
              <w:right w:val="nil"/>
            </w:tcBorders>
          </w:tcPr>
          <w:p>
            <w:pPr>
              <w:pStyle w:val="TableParagraph"/>
              <w:spacing w:before="36"/>
              <w:ind w:left="332" w:right="332"/>
              <w:jc w:val="center"/>
              <w:rPr>
                <w:sz w:val="18"/>
              </w:rPr>
            </w:pPr>
            <w:r>
              <w:rPr>
                <w:sz w:val="18"/>
              </w:rPr>
              <w:t>41.821</w:t>
            </w:r>
          </w:p>
        </w:tc>
        <w:tc>
          <w:tcPr>
            <w:tcW w:w="1201" w:type="dxa"/>
            <w:tcBorders>
              <w:top w:val="nil"/>
              <w:left w:val="nil"/>
              <w:bottom w:val="nil"/>
              <w:right w:val="nil"/>
            </w:tcBorders>
          </w:tcPr>
          <w:p>
            <w:pPr>
              <w:pStyle w:val="TableParagraph"/>
              <w:spacing w:before="36"/>
              <w:ind w:left="332" w:right="332"/>
              <w:jc w:val="center"/>
              <w:rPr>
                <w:sz w:val="18"/>
              </w:rPr>
            </w:pPr>
            <w:r>
              <w:rPr>
                <w:sz w:val="18"/>
              </w:rPr>
              <w:t>41.247</w:t>
            </w:r>
          </w:p>
        </w:tc>
        <w:tc>
          <w:tcPr>
            <w:tcW w:w="1138" w:type="dxa"/>
            <w:tcBorders>
              <w:top w:val="nil"/>
              <w:left w:val="nil"/>
              <w:bottom w:val="nil"/>
              <w:right w:val="nil"/>
            </w:tcBorders>
          </w:tcPr>
          <w:p>
            <w:pPr>
              <w:pStyle w:val="TableParagraph"/>
              <w:spacing w:before="36"/>
              <w:ind w:right="286"/>
              <w:jc w:val="right"/>
              <w:rPr>
                <w:sz w:val="18"/>
              </w:rPr>
            </w:pPr>
            <w:r>
              <w:rPr>
                <w:sz w:val="18"/>
              </w:rPr>
              <w:t>41.299</w:t>
            </w:r>
          </w:p>
        </w:tc>
        <w:tc>
          <w:tcPr>
            <w:tcW w:w="987" w:type="dxa"/>
            <w:tcBorders>
              <w:top w:val="nil"/>
              <w:left w:val="nil"/>
              <w:bottom w:val="nil"/>
              <w:right w:val="nil"/>
            </w:tcBorders>
          </w:tcPr>
          <w:p>
            <w:pPr>
              <w:pStyle w:val="TableParagraph"/>
              <w:spacing w:before="36"/>
              <w:ind w:right="197"/>
              <w:jc w:val="right"/>
              <w:rPr>
                <w:sz w:val="18"/>
              </w:rPr>
            </w:pPr>
            <w:r>
              <w:rPr>
                <w:sz w:val="18"/>
              </w:rPr>
              <w:t>42.135</w:t>
            </w:r>
          </w:p>
        </w:tc>
        <w:tc>
          <w:tcPr>
            <w:tcW w:w="872" w:type="dxa"/>
            <w:tcBorders>
              <w:top w:val="nil"/>
              <w:left w:val="nil"/>
              <w:bottom w:val="nil"/>
              <w:right w:val="nil"/>
            </w:tcBorders>
          </w:tcPr>
          <w:p>
            <w:pPr>
              <w:pStyle w:val="TableParagraph"/>
              <w:spacing w:before="36"/>
              <w:ind w:left="199"/>
              <w:rPr>
                <w:sz w:val="18"/>
              </w:rPr>
            </w:pPr>
            <w:r>
              <w:rPr>
                <w:sz w:val="18"/>
              </w:rPr>
              <w:t>41.038</w:t>
            </w:r>
          </w:p>
        </w:tc>
      </w:tr>
      <w:tr>
        <w:trPr>
          <w:trHeight w:val="300" w:hRule="exact"/>
        </w:trPr>
        <w:tc>
          <w:tcPr>
            <w:tcW w:w="1080" w:type="dxa"/>
            <w:tcBorders>
              <w:top w:val="nil"/>
              <w:left w:val="nil"/>
              <w:bottom w:val="nil"/>
              <w:right w:val="nil"/>
            </w:tcBorders>
          </w:tcPr>
          <w:p>
            <w:pPr>
              <w:pStyle w:val="TableParagraph"/>
              <w:spacing w:before="38"/>
              <w:ind w:right="340"/>
              <w:jc w:val="right"/>
              <w:rPr>
                <w:sz w:val="18"/>
              </w:rPr>
            </w:pPr>
            <w:r>
              <w:rPr>
                <w:sz w:val="18"/>
              </w:rPr>
              <w:t>24</w:t>
            </w:r>
          </w:p>
        </w:tc>
        <w:tc>
          <w:tcPr>
            <w:tcW w:w="1081" w:type="dxa"/>
            <w:tcBorders>
              <w:top w:val="nil"/>
              <w:left w:val="nil"/>
              <w:bottom w:val="nil"/>
              <w:right w:val="nil"/>
            </w:tcBorders>
          </w:tcPr>
          <w:p>
            <w:pPr>
              <w:pStyle w:val="TableParagraph"/>
              <w:spacing w:before="38"/>
              <w:ind w:right="238"/>
              <w:jc w:val="right"/>
              <w:rPr>
                <w:sz w:val="18"/>
              </w:rPr>
            </w:pPr>
            <w:r>
              <w:rPr>
                <w:sz w:val="18"/>
              </w:rPr>
              <w:t>40.489</w:t>
            </w:r>
          </w:p>
        </w:tc>
        <w:tc>
          <w:tcPr>
            <w:tcW w:w="1090" w:type="dxa"/>
            <w:tcBorders>
              <w:top w:val="nil"/>
              <w:left w:val="nil"/>
              <w:bottom w:val="nil"/>
              <w:right w:val="nil"/>
            </w:tcBorders>
          </w:tcPr>
          <w:p>
            <w:pPr>
              <w:pStyle w:val="TableParagraph"/>
              <w:spacing w:before="38"/>
              <w:ind w:left="240"/>
              <w:rPr>
                <w:sz w:val="18"/>
              </w:rPr>
            </w:pPr>
            <w:r>
              <w:rPr>
                <w:sz w:val="18"/>
              </w:rPr>
              <w:t>40.776</w:t>
            </w:r>
          </w:p>
        </w:tc>
        <w:tc>
          <w:tcPr>
            <w:tcW w:w="1200" w:type="dxa"/>
            <w:tcBorders>
              <w:top w:val="nil"/>
              <w:left w:val="nil"/>
              <w:bottom w:val="nil"/>
              <w:right w:val="nil"/>
            </w:tcBorders>
          </w:tcPr>
          <w:p>
            <w:pPr>
              <w:pStyle w:val="TableParagraph"/>
              <w:spacing w:before="38"/>
              <w:ind w:left="332" w:right="332"/>
              <w:jc w:val="center"/>
              <w:rPr>
                <w:sz w:val="18"/>
              </w:rPr>
            </w:pPr>
            <w:r>
              <w:rPr>
                <w:sz w:val="18"/>
              </w:rPr>
              <w:t>41.247</w:t>
            </w:r>
          </w:p>
        </w:tc>
        <w:tc>
          <w:tcPr>
            <w:tcW w:w="1201" w:type="dxa"/>
            <w:tcBorders>
              <w:top w:val="nil"/>
              <w:left w:val="nil"/>
              <w:bottom w:val="nil"/>
              <w:right w:val="nil"/>
            </w:tcBorders>
          </w:tcPr>
          <w:p>
            <w:pPr>
              <w:pStyle w:val="TableParagraph"/>
              <w:spacing w:before="38"/>
              <w:ind w:left="332" w:right="332"/>
              <w:jc w:val="center"/>
              <w:rPr>
                <w:sz w:val="18"/>
              </w:rPr>
            </w:pPr>
            <w:r>
              <w:rPr>
                <w:sz w:val="18"/>
              </w:rPr>
              <w:t>40.776</w:t>
            </w:r>
          </w:p>
        </w:tc>
        <w:tc>
          <w:tcPr>
            <w:tcW w:w="1138" w:type="dxa"/>
            <w:tcBorders>
              <w:top w:val="nil"/>
              <w:left w:val="nil"/>
              <w:bottom w:val="nil"/>
              <w:right w:val="nil"/>
            </w:tcBorders>
          </w:tcPr>
          <w:p>
            <w:pPr>
              <w:pStyle w:val="TableParagraph"/>
              <w:spacing w:before="38"/>
              <w:ind w:right="286"/>
              <w:jc w:val="right"/>
              <w:rPr>
                <w:sz w:val="18"/>
              </w:rPr>
            </w:pPr>
            <w:r>
              <w:rPr>
                <w:sz w:val="18"/>
              </w:rPr>
              <w:t>40.829</w:t>
            </w:r>
          </w:p>
        </w:tc>
        <w:tc>
          <w:tcPr>
            <w:tcW w:w="987" w:type="dxa"/>
            <w:tcBorders>
              <w:top w:val="nil"/>
              <w:left w:val="nil"/>
              <w:bottom w:val="nil"/>
              <w:right w:val="nil"/>
            </w:tcBorders>
          </w:tcPr>
          <w:p>
            <w:pPr>
              <w:pStyle w:val="TableParagraph"/>
              <w:spacing w:before="38"/>
              <w:ind w:right="197"/>
              <w:jc w:val="right"/>
              <w:rPr>
                <w:sz w:val="18"/>
              </w:rPr>
            </w:pPr>
            <w:r>
              <w:rPr>
                <w:sz w:val="18"/>
              </w:rPr>
              <w:t>41.456</w:t>
            </w:r>
          </w:p>
        </w:tc>
        <w:tc>
          <w:tcPr>
            <w:tcW w:w="872" w:type="dxa"/>
            <w:tcBorders>
              <w:top w:val="nil"/>
              <w:left w:val="nil"/>
              <w:bottom w:val="nil"/>
              <w:right w:val="nil"/>
            </w:tcBorders>
          </w:tcPr>
          <w:p>
            <w:pPr>
              <w:pStyle w:val="TableParagraph"/>
              <w:spacing w:before="38"/>
              <w:ind w:left="199"/>
              <w:rPr>
                <w:sz w:val="18"/>
              </w:rPr>
            </w:pPr>
            <w:r>
              <w:rPr>
                <w:sz w:val="18"/>
              </w:rPr>
              <w:t>40.646</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30</w:t>
            </w:r>
          </w:p>
        </w:tc>
        <w:tc>
          <w:tcPr>
            <w:tcW w:w="1081" w:type="dxa"/>
            <w:tcBorders>
              <w:top w:val="nil"/>
              <w:left w:val="nil"/>
              <w:bottom w:val="nil"/>
              <w:right w:val="nil"/>
            </w:tcBorders>
          </w:tcPr>
          <w:p>
            <w:pPr>
              <w:pStyle w:val="TableParagraph"/>
              <w:spacing w:before="36"/>
              <w:ind w:right="238"/>
              <w:jc w:val="right"/>
              <w:rPr>
                <w:sz w:val="18"/>
              </w:rPr>
            </w:pPr>
            <w:r>
              <w:rPr>
                <w:sz w:val="18"/>
              </w:rPr>
              <w:t>40.567</w:t>
            </w:r>
          </w:p>
        </w:tc>
        <w:tc>
          <w:tcPr>
            <w:tcW w:w="1090" w:type="dxa"/>
            <w:tcBorders>
              <w:top w:val="nil"/>
              <w:left w:val="nil"/>
              <w:bottom w:val="nil"/>
              <w:right w:val="nil"/>
            </w:tcBorders>
          </w:tcPr>
          <w:p>
            <w:pPr>
              <w:pStyle w:val="TableParagraph"/>
              <w:spacing w:before="36"/>
              <w:ind w:left="240"/>
              <w:rPr>
                <w:sz w:val="18"/>
              </w:rPr>
            </w:pPr>
            <w:r>
              <w:rPr>
                <w:sz w:val="18"/>
              </w:rPr>
              <w:t>40.567</w:t>
            </w:r>
          </w:p>
        </w:tc>
        <w:tc>
          <w:tcPr>
            <w:tcW w:w="1200" w:type="dxa"/>
            <w:tcBorders>
              <w:top w:val="nil"/>
              <w:left w:val="nil"/>
              <w:bottom w:val="nil"/>
              <w:right w:val="nil"/>
            </w:tcBorders>
          </w:tcPr>
          <w:p>
            <w:pPr>
              <w:pStyle w:val="TableParagraph"/>
              <w:spacing w:before="36"/>
              <w:ind w:left="332" w:right="332"/>
              <w:jc w:val="center"/>
              <w:rPr>
                <w:sz w:val="18"/>
              </w:rPr>
            </w:pPr>
            <w:r>
              <w:rPr>
                <w:sz w:val="18"/>
              </w:rPr>
              <w:t>40.933</w:t>
            </w:r>
          </w:p>
        </w:tc>
        <w:tc>
          <w:tcPr>
            <w:tcW w:w="1201" w:type="dxa"/>
            <w:tcBorders>
              <w:top w:val="nil"/>
              <w:left w:val="nil"/>
              <w:bottom w:val="nil"/>
              <w:right w:val="nil"/>
            </w:tcBorders>
          </w:tcPr>
          <w:p>
            <w:pPr>
              <w:pStyle w:val="TableParagraph"/>
              <w:spacing w:before="36"/>
              <w:ind w:left="332" w:right="332"/>
              <w:jc w:val="center"/>
              <w:rPr>
                <w:sz w:val="18"/>
              </w:rPr>
            </w:pPr>
            <w:r>
              <w:rPr>
                <w:sz w:val="18"/>
              </w:rPr>
              <w:t>40.202</w:t>
            </w:r>
          </w:p>
        </w:tc>
        <w:tc>
          <w:tcPr>
            <w:tcW w:w="1138" w:type="dxa"/>
            <w:tcBorders>
              <w:top w:val="nil"/>
              <w:left w:val="nil"/>
              <w:bottom w:val="nil"/>
              <w:right w:val="nil"/>
            </w:tcBorders>
          </w:tcPr>
          <w:p>
            <w:pPr>
              <w:pStyle w:val="TableParagraph"/>
              <w:spacing w:before="36"/>
              <w:ind w:right="286"/>
              <w:jc w:val="right"/>
              <w:rPr>
                <w:sz w:val="18"/>
              </w:rPr>
            </w:pPr>
            <w:r>
              <w:rPr>
                <w:sz w:val="18"/>
              </w:rPr>
              <w:t>40.567</w:t>
            </w:r>
          </w:p>
        </w:tc>
        <w:tc>
          <w:tcPr>
            <w:tcW w:w="987" w:type="dxa"/>
            <w:tcBorders>
              <w:top w:val="nil"/>
              <w:left w:val="nil"/>
              <w:bottom w:val="nil"/>
              <w:right w:val="nil"/>
            </w:tcBorders>
          </w:tcPr>
          <w:p>
            <w:pPr>
              <w:pStyle w:val="TableParagraph"/>
              <w:spacing w:before="36"/>
              <w:ind w:right="197"/>
              <w:jc w:val="right"/>
              <w:rPr>
                <w:sz w:val="18"/>
              </w:rPr>
            </w:pPr>
            <w:r>
              <w:rPr>
                <w:sz w:val="18"/>
              </w:rPr>
              <w:t>40.985</w:t>
            </w:r>
          </w:p>
        </w:tc>
        <w:tc>
          <w:tcPr>
            <w:tcW w:w="872" w:type="dxa"/>
            <w:tcBorders>
              <w:top w:val="nil"/>
              <w:left w:val="nil"/>
              <w:bottom w:val="nil"/>
              <w:right w:val="nil"/>
            </w:tcBorders>
          </w:tcPr>
          <w:p>
            <w:pPr>
              <w:pStyle w:val="TableParagraph"/>
              <w:spacing w:before="36"/>
              <w:ind w:left="199"/>
              <w:rPr>
                <w:sz w:val="18"/>
              </w:rPr>
            </w:pPr>
            <w:r>
              <w:rPr>
                <w:sz w:val="18"/>
              </w:rPr>
              <w:t>40.019</w:t>
            </w:r>
          </w:p>
        </w:tc>
      </w:tr>
      <w:tr>
        <w:trPr>
          <w:trHeight w:val="300" w:hRule="exact"/>
        </w:trPr>
        <w:tc>
          <w:tcPr>
            <w:tcW w:w="1080" w:type="dxa"/>
            <w:tcBorders>
              <w:top w:val="nil"/>
              <w:left w:val="nil"/>
              <w:bottom w:val="nil"/>
              <w:right w:val="nil"/>
            </w:tcBorders>
          </w:tcPr>
          <w:p>
            <w:pPr>
              <w:pStyle w:val="TableParagraph"/>
              <w:spacing w:before="38"/>
              <w:ind w:right="340"/>
              <w:jc w:val="right"/>
              <w:rPr>
                <w:sz w:val="18"/>
              </w:rPr>
            </w:pPr>
            <w:r>
              <w:rPr>
                <w:sz w:val="18"/>
              </w:rPr>
              <w:t>36</w:t>
            </w:r>
          </w:p>
        </w:tc>
        <w:tc>
          <w:tcPr>
            <w:tcW w:w="1081" w:type="dxa"/>
            <w:tcBorders>
              <w:top w:val="nil"/>
              <w:left w:val="nil"/>
              <w:bottom w:val="nil"/>
              <w:right w:val="nil"/>
            </w:tcBorders>
          </w:tcPr>
          <w:p>
            <w:pPr>
              <w:pStyle w:val="TableParagraph"/>
              <w:spacing w:before="38"/>
              <w:ind w:right="238"/>
              <w:jc w:val="right"/>
              <w:rPr>
                <w:sz w:val="18"/>
              </w:rPr>
            </w:pPr>
            <w:r>
              <w:rPr>
                <w:sz w:val="18"/>
              </w:rPr>
              <w:t>40.411</w:t>
            </w:r>
          </w:p>
        </w:tc>
        <w:tc>
          <w:tcPr>
            <w:tcW w:w="1090" w:type="dxa"/>
            <w:tcBorders>
              <w:top w:val="nil"/>
              <w:left w:val="nil"/>
              <w:bottom w:val="nil"/>
              <w:right w:val="nil"/>
            </w:tcBorders>
          </w:tcPr>
          <w:p>
            <w:pPr>
              <w:pStyle w:val="TableParagraph"/>
              <w:spacing w:before="38"/>
              <w:ind w:left="240"/>
              <w:rPr>
                <w:sz w:val="18"/>
              </w:rPr>
            </w:pPr>
            <w:r>
              <w:rPr>
                <w:sz w:val="18"/>
              </w:rPr>
              <w:t>40.411</w:t>
            </w:r>
          </w:p>
        </w:tc>
        <w:tc>
          <w:tcPr>
            <w:tcW w:w="1200" w:type="dxa"/>
            <w:tcBorders>
              <w:top w:val="nil"/>
              <w:left w:val="nil"/>
              <w:bottom w:val="nil"/>
              <w:right w:val="nil"/>
            </w:tcBorders>
          </w:tcPr>
          <w:p>
            <w:pPr>
              <w:pStyle w:val="TableParagraph"/>
              <w:spacing w:before="38"/>
              <w:ind w:left="332" w:right="332"/>
              <w:jc w:val="center"/>
              <w:rPr>
                <w:sz w:val="18"/>
              </w:rPr>
            </w:pPr>
            <w:r>
              <w:rPr>
                <w:sz w:val="18"/>
              </w:rPr>
              <w:t>40.463</w:t>
            </w:r>
          </w:p>
        </w:tc>
        <w:tc>
          <w:tcPr>
            <w:tcW w:w="1201" w:type="dxa"/>
            <w:tcBorders>
              <w:top w:val="nil"/>
              <w:left w:val="nil"/>
              <w:bottom w:val="nil"/>
              <w:right w:val="nil"/>
            </w:tcBorders>
          </w:tcPr>
          <w:p>
            <w:pPr>
              <w:pStyle w:val="TableParagraph"/>
              <w:spacing w:before="38"/>
              <w:ind w:left="332" w:right="332"/>
              <w:jc w:val="center"/>
              <w:rPr>
                <w:sz w:val="18"/>
              </w:rPr>
            </w:pPr>
            <w:r>
              <w:rPr>
                <w:sz w:val="18"/>
              </w:rPr>
              <w:t>39.731</w:t>
            </w:r>
          </w:p>
        </w:tc>
        <w:tc>
          <w:tcPr>
            <w:tcW w:w="1138" w:type="dxa"/>
            <w:tcBorders>
              <w:top w:val="nil"/>
              <w:left w:val="nil"/>
              <w:bottom w:val="nil"/>
              <w:right w:val="nil"/>
            </w:tcBorders>
          </w:tcPr>
          <w:p>
            <w:pPr>
              <w:pStyle w:val="TableParagraph"/>
              <w:spacing w:before="38"/>
              <w:ind w:right="286"/>
              <w:jc w:val="right"/>
              <w:rPr>
                <w:sz w:val="18"/>
              </w:rPr>
            </w:pPr>
            <w:r>
              <w:rPr>
                <w:sz w:val="18"/>
              </w:rPr>
              <w:t>40.202</w:t>
            </w:r>
          </w:p>
        </w:tc>
        <w:tc>
          <w:tcPr>
            <w:tcW w:w="987" w:type="dxa"/>
            <w:tcBorders>
              <w:top w:val="nil"/>
              <w:left w:val="nil"/>
              <w:bottom w:val="nil"/>
              <w:right w:val="nil"/>
            </w:tcBorders>
          </w:tcPr>
          <w:p>
            <w:pPr>
              <w:pStyle w:val="TableParagraph"/>
              <w:spacing w:before="38"/>
              <w:ind w:right="197"/>
              <w:jc w:val="right"/>
              <w:rPr>
                <w:sz w:val="18"/>
              </w:rPr>
            </w:pPr>
            <w:r>
              <w:rPr>
                <w:sz w:val="18"/>
              </w:rPr>
              <w:t>40.672</w:t>
            </w:r>
          </w:p>
        </w:tc>
        <w:tc>
          <w:tcPr>
            <w:tcW w:w="872" w:type="dxa"/>
            <w:tcBorders>
              <w:top w:val="nil"/>
              <w:left w:val="nil"/>
              <w:bottom w:val="nil"/>
              <w:right w:val="nil"/>
            </w:tcBorders>
          </w:tcPr>
          <w:p>
            <w:pPr>
              <w:pStyle w:val="TableParagraph"/>
              <w:spacing w:before="38"/>
              <w:ind w:left="199"/>
              <w:rPr>
                <w:sz w:val="18"/>
              </w:rPr>
            </w:pPr>
            <w:r>
              <w:rPr>
                <w:sz w:val="18"/>
              </w:rPr>
              <w:t>39.549</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42</w:t>
            </w:r>
          </w:p>
        </w:tc>
        <w:tc>
          <w:tcPr>
            <w:tcW w:w="1081" w:type="dxa"/>
            <w:tcBorders>
              <w:top w:val="nil"/>
              <w:left w:val="nil"/>
              <w:bottom w:val="nil"/>
              <w:right w:val="nil"/>
            </w:tcBorders>
          </w:tcPr>
          <w:p>
            <w:pPr>
              <w:pStyle w:val="TableParagraph"/>
              <w:spacing w:before="36"/>
              <w:ind w:right="238"/>
              <w:jc w:val="right"/>
              <w:rPr>
                <w:sz w:val="18"/>
              </w:rPr>
            </w:pPr>
            <w:r>
              <w:rPr>
                <w:sz w:val="18"/>
              </w:rPr>
              <w:t>39.862</w:t>
            </w:r>
          </w:p>
        </w:tc>
        <w:tc>
          <w:tcPr>
            <w:tcW w:w="1090" w:type="dxa"/>
            <w:tcBorders>
              <w:top w:val="nil"/>
              <w:left w:val="nil"/>
              <w:bottom w:val="nil"/>
              <w:right w:val="nil"/>
            </w:tcBorders>
          </w:tcPr>
          <w:p>
            <w:pPr>
              <w:pStyle w:val="TableParagraph"/>
              <w:spacing w:before="36"/>
              <w:ind w:left="240"/>
              <w:rPr>
                <w:sz w:val="18"/>
              </w:rPr>
            </w:pPr>
            <w:r>
              <w:rPr>
                <w:sz w:val="18"/>
              </w:rPr>
              <w:t>40.515</w:t>
            </w:r>
          </w:p>
        </w:tc>
        <w:tc>
          <w:tcPr>
            <w:tcW w:w="1200" w:type="dxa"/>
            <w:tcBorders>
              <w:top w:val="nil"/>
              <w:left w:val="nil"/>
              <w:bottom w:val="nil"/>
              <w:right w:val="nil"/>
            </w:tcBorders>
          </w:tcPr>
          <w:p>
            <w:pPr>
              <w:pStyle w:val="TableParagraph"/>
              <w:spacing w:before="36"/>
              <w:ind w:left="332" w:right="332"/>
              <w:jc w:val="center"/>
              <w:rPr>
                <w:sz w:val="18"/>
              </w:rPr>
            </w:pPr>
            <w:r>
              <w:rPr>
                <w:sz w:val="18"/>
              </w:rPr>
              <w:t>40.567</w:t>
            </w:r>
          </w:p>
        </w:tc>
        <w:tc>
          <w:tcPr>
            <w:tcW w:w="1201" w:type="dxa"/>
            <w:tcBorders>
              <w:top w:val="nil"/>
              <w:left w:val="nil"/>
              <w:bottom w:val="nil"/>
              <w:right w:val="nil"/>
            </w:tcBorders>
          </w:tcPr>
          <w:p>
            <w:pPr>
              <w:pStyle w:val="TableParagraph"/>
              <w:spacing w:before="36"/>
              <w:ind w:left="332" w:right="332"/>
              <w:jc w:val="center"/>
              <w:rPr>
                <w:sz w:val="18"/>
              </w:rPr>
            </w:pPr>
            <w:r>
              <w:rPr>
                <w:sz w:val="18"/>
              </w:rPr>
              <w:t>39.888</w:t>
            </w:r>
          </w:p>
        </w:tc>
        <w:tc>
          <w:tcPr>
            <w:tcW w:w="1138" w:type="dxa"/>
            <w:tcBorders>
              <w:top w:val="nil"/>
              <w:left w:val="nil"/>
              <w:bottom w:val="nil"/>
              <w:right w:val="nil"/>
            </w:tcBorders>
          </w:tcPr>
          <w:p>
            <w:pPr>
              <w:pStyle w:val="TableParagraph"/>
              <w:spacing w:before="36"/>
              <w:ind w:right="286"/>
              <w:jc w:val="right"/>
              <w:rPr>
                <w:sz w:val="18"/>
              </w:rPr>
            </w:pPr>
            <w:r>
              <w:rPr>
                <w:sz w:val="18"/>
              </w:rPr>
              <w:t>39.888</w:t>
            </w:r>
          </w:p>
        </w:tc>
        <w:tc>
          <w:tcPr>
            <w:tcW w:w="987" w:type="dxa"/>
            <w:tcBorders>
              <w:top w:val="nil"/>
              <w:left w:val="nil"/>
              <w:bottom w:val="nil"/>
              <w:right w:val="nil"/>
            </w:tcBorders>
          </w:tcPr>
          <w:p>
            <w:pPr>
              <w:pStyle w:val="TableParagraph"/>
              <w:spacing w:before="36"/>
              <w:ind w:right="197"/>
              <w:jc w:val="right"/>
              <w:rPr>
                <w:sz w:val="18"/>
              </w:rPr>
            </w:pPr>
            <w:r>
              <w:rPr>
                <w:sz w:val="18"/>
              </w:rPr>
              <w:t>40.254</w:t>
            </w:r>
          </w:p>
        </w:tc>
        <w:tc>
          <w:tcPr>
            <w:tcW w:w="872" w:type="dxa"/>
            <w:tcBorders>
              <w:top w:val="nil"/>
              <w:left w:val="nil"/>
              <w:bottom w:val="nil"/>
              <w:right w:val="nil"/>
            </w:tcBorders>
          </w:tcPr>
          <w:p>
            <w:pPr>
              <w:pStyle w:val="TableParagraph"/>
              <w:spacing w:before="36"/>
              <w:ind w:left="199"/>
              <w:rPr>
                <w:sz w:val="18"/>
              </w:rPr>
            </w:pPr>
            <w:r>
              <w:rPr>
                <w:sz w:val="18"/>
              </w:rPr>
              <w:t>39.313</w:t>
            </w:r>
          </w:p>
        </w:tc>
      </w:tr>
      <w:tr>
        <w:trPr>
          <w:trHeight w:val="300" w:hRule="exact"/>
        </w:trPr>
        <w:tc>
          <w:tcPr>
            <w:tcW w:w="1080" w:type="dxa"/>
            <w:tcBorders>
              <w:top w:val="nil"/>
              <w:left w:val="nil"/>
              <w:bottom w:val="nil"/>
              <w:right w:val="nil"/>
            </w:tcBorders>
          </w:tcPr>
          <w:p>
            <w:pPr>
              <w:pStyle w:val="TableParagraph"/>
              <w:spacing w:before="38"/>
              <w:ind w:right="340"/>
              <w:jc w:val="right"/>
              <w:rPr>
                <w:sz w:val="18"/>
              </w:rPr>
            </w:pPr>
            <w:r>
              <w:rPr>
                <w:sz w:val="18"/>
              </w:rPr>
              <w:t>48</w:t>
            </w:r>
          </w:p>
        </w:tc>
        <w:tc>
          <w:tcPr>
            <w:tcW w:w="1081" w:type="dxa"/>
            <w:tcBorders>
              <w:top w:val="nil"/>
              <w:left w:val="nil"/>
              <w:bottom w:val="nil"/>
              <w:right w:val="nil"/>
            </w:tcBorders>
          </w:tcPr>
          <w:p>
            <w:pPr>
              <w:pStyle w:val="TableParagraph"/>
              <w:spacing w:before="38"/>
              <w:ind w:right="238"/>
              <w:jc w:val="right"/>
              <w:rPr>
                <w:sz w:val="18"/>
              </w:rPr>
            </w:pPr>
            <w:r>
              <w:rPr>
                <w:sz w:val="18"/>
              </w:rPr>
              <w:t>40.019</w:t>
            </w:r>
          </w:p>
        </w:tc>
        <w:tc>
          <w:tcPr>
            <w:tcW w:w="1090" w:type="dxa"/>
            <w:tcBorders>
              <w:top w:val="nil"/>
              <w:left w:val="nil"/>
              <w:bottom w:val="nil"/>
              <w:right w:val="nil"/>
            </w:tcBorders>
          </w:tcPr>
          <w:p>
            <w:pPr>
              <w:pStyle w:val="TableParagraph"/>
              <w:spacing w:before="38"/>
              <w:ind w:left="240"/>
              <w:rPr>
                <w:sz w:val="18"/>
              </w:rPr>
            </w:pPr>
            <w:r>
              <w:rPr>
                <w:sz w:val="18"/>
              </w:rPr>
              <w:t>40.202</w:t>
            </w:r>
          </w:p>
        </w:tc>
        <w:tc>
          <w:tcPr>
            <w:tcW w:w="1200" w:type="dxa"/>
            <w:tcBorders>
              <w:top w:val="nil"/>
              <w:left w:val="nil"/>
              <w:bottom w:val="nil"/>
              <w:right w:val="nil"/>
            </w:tcBorders>
          </w:tcPr>
          <w:p>
            <w:pPr>
              <w:pStyle w:val="TableParagraph"/>
              <w:spacing w:before="38"/>
              <w:ind w:left="332" w:right="332"/>
              <w:jc w:val="center"/>
              <w:rPr>
                <w:sz w:val="18"/>
              </w:rPr>
            </w:pPr>
            <w:r>
              <w:rPr>
                <w:sz w:val="18"/>
              </w:rPr>
              <w:t>40.149</w:t>
            </w:r>
          </w:p>
        </w:tc>
        <w:tc>
          <w:tcPr>
            <w:tcW w:w="1201" w:type="dxa"/>
            <w:tcBorders>
              <w:top w:val="nil"/>
              <w:left w:val="nil"/>
              <w:bottom w:val="nil"/>
              <w:right w:val="nil"/>
            </w:tcBorders>
          </w:tcPr>
          <w:p>
            <w:pPr>
              <w:pStyle w:val="TableParagraph"/>
              <w:spacing w:before="38"/>
              <w:ind w:left="332" w:right="332"/>
              <w:jc w:val="center"/>
              <w:rPr>
                <w:sz w:val="18"/>
              </w:rPr>
            </w:pPr>
            <w:r>
              <w:rPr>
                <w:sz w:val="18"/>
              </w:rPr>
              <w:t>39.470</w:t>
            </w:r>
          </w:p>
        </w:tc>
        <w:tc>
          <w:tcPr>
            <w:tcW w:w="1138" w:type="dxa"/>
            <w:tcBorders>
              <w:top w:val="nil"/>
              <w:left w:val="nil"/>
              <w:bottom w:val="nil"/>
              <w:right w:val="nil"/>
            </w:tcBorders>
          </w:tcPr>
          <w:p>
            <w:pPr>
              <w:pStyle w:val="TableParagraph"/>
              <w:spacing w:before="38"/>
              <w:ind w:right="286"/>
              <w:jc w:val="right"/>
              <w:rPr>
                <w:sz w:val="18"/>
              </w:rPr>
            </w:pPr>
            <w:r>
              <w:rPr>
                <w:sz w:val="18"/>
              </w:rPr>
              <w:t>39.784</w:t>
            </w:r>
          </w:p>
        </w:tc>
        <w:tc>
          <w:tcPr>
            <w:tcW w:w="987" w:type="dxa"/>
            <w:tcBorders>
              <w:top w:val="nil"/>
              <w:left w:val="nil"/>
              <w:bottom w:val="nil"/>
              <w:right w:val="nil"/>
            </w:tcBorders>
          </w:tcPr>
          <w:p>
            <w:pPr>
              <w:pStyle w:val="TableParagraph"/>
              <w:spacing w:before="38"/>
              <w:ind w:right="197"/>
              <w:jc w:val="right"/>
              <w:rPr>
                <w:sz w:val="18"/>
              </w:rPr>
            </w:pPr>
            <w:r>
              <w:rPr>
                <w:sz w:val="18"/>
              </w:rPr>
              <w:t>40.515</w:t>
            </w:r>
          </w:p>
        </w:tc>
        <w:tc>
          <w:tcPr>
            <w:tcW w:w="872" w:type="dxa"/>
            <w:tcBorders>
              <w:top w:val="nil"/>
              <w:left w:val="nil"/>
              <w:bottom w:val="nil"/>
              <w:right w:val="nil"/>
            </w:tcBorders>
          </w:tcPr>
          <w:p>
            <w:pPr>
              <w:pStyle w:val="TableParagraph"/>
              <w:spacing w:before="38"/>
              <w:ind w:left="199"/>
              <w:rPr>
                <w:sz w:val="18"/>
              </w:rPr>
            </w:pPr>
            <w:r>
              <w:rPr>
                <w:sz w:val="18"/>
              </w:rPr>
              <w:t>39.549</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54</w:t>
            </w:r>
          </w:p>
        </w:tc>
        <w:tc>
          <w:tcPr>
            <w:tcW w:w="1081" w:type="dxa"/>
            <w:tcBorders>
              <w:top w:val="nil"/>
              <w:left w:val="nil"/>
              <w:bottom w:val="nil"/>
              <w:right w:val="nil"/>
            </w:tcBorders>
          </w:tcPr>
          <w:p>
            <w:pPr>
              <w:pStyle w:val="TableParagraph"/>
              <w:spacing w:before="36"/>
              <w:ind w:right="238"/>
              <w:jc w:val="right"/>
              <w:rPr>
                <w:sz w:val="18"/>
              </w:rPr>
            </w:pPr>
            <w:r>
              <w:rPr>
                <w:sz w:val="18"/>
              </w:rPr>
              <w:t>39.862</w:t>
            </w:r>
          </w:p>
        </w:tc>
        <w:tc>
          <w:tcPr>
            <w:tcW w:w="1090" w:type="dxa"/>
            <w:tcBorders>
              <w:top w:val="nil"/>
              <w:left w:val="nil"/>
              <w:bottom w:val="nil"/>
              <w:right w:val="nil"/>
            </w:tcBorders>
          </w:tcPr>
          <w:p>
            <w:pPr>
              <w:pStyle w:val="TableParagraph"/>
              <w:spacing w:before="36"/>
              <w:ind w:left="240"/>
              <w:rPr>
                <w:sz w:val="18"/>
              </w:rPr>
            </w:pPr>
            <w:r>
              <w:rPr>
                <w:sz w:val="18"/>
              </w:rPr>
              <w:t>40.202</w:t>
            </w:r>
          </w:p>
        </w:tc>
        <w:tc>
          <w:tcPr>
            <w:tcW w:w="1200" w:type="dxa"/>
            <w:tcBorders>
              <w:top w:val="nil"/>
              <w:left w:val="nil"/>
              <w:bottom w:val="nil"/>
              <w:right w:val="nil"/>
            </w:tcBorders>
          </w:tcPr>
          <w:p>
            <w:pPr>
              <w:pStyle w:val="TableParagraph"/>
              <w:spacing w:before="36"/>
              <w:ind w:left="332" w:right="332"/>
              <w:jc w:val="center"/>
              <w:rPr>
                <w:sz w:val="18"/>
              </w:rPr>
            </w:pPr>
            <w:r>
              <w:rPr>
                <w:sz w:val="18"/>
              </w:rPr>
              <w:t>40.149</w:t>
            </w:r>
          </w:p>
        </w:tc>
        <w:tc>
          <w:tcPr>
            <w:tcW w:w="1201" w:type="dxa"/>
            <w:tcBorders>
              <w:top w:val="nil"/>
              <w:left w:val="nil"/>
              <w:bottom w:val="nil"/>
              <w:right w:val="nil"/>
            </w:tcBorders>
          </w:tcPr>
          <w:p>
            <w:pPr>
              <w:pStyle w:val="TableParagraph"/>
              <w:spacing w:before="36"/>
              <w:ind w:left="332" w:right="332"/>
              <w:jc w:val="center"/>
              <w:rPr>
                <w:sz w:val="18"/>
              </w:rPr>
            </w:pPr>
            <w:r>
              <w:rPr>
                <w:sz w:val="18"/>
              </w:rPr>
              <w:t>39.261</w:t>
            </w:r>
          </w:p>
        </w:tc>
        <w:tc>
          <w:tcPr>
            <w:tcW w:w="1138" w:type="dxa"/>
            <w:tcBorders>
              <w:top w:val="nil"/>
              <w:left w:val="nil"/>
              <w:bottom w:val="nil"/>
              <w:right w:val="nil"/>
            </w:tcBorders>
          </w:tcPr>
          <w:p>
            <w:pPr>
              <w:pStyle w:val="TableParagraph"/>
              <w:spacing w:before="36"/>
              <w:ind w:right="286"/>
              <w:jc w:val="right"/>
              <w:rPr>
                <w:sz w:val="18"/>
              </w:rPr>
            </w:pPr>
            <w:r>
              <w:rPr>
                <w:sz w:val="18"/>
              </w:rPr>
              <w:t>39.575</w:t>
            </w:r>
          </w:p>
        </w:tc>
        <w:tc>
          <w:tcPr>
            <w:tcW w:w="987" w:type="dxa"/>
            <w:tcBorders>
              <w:top w:val="nil"/>
              <w:left w:val="nil"/>
              <w:bottom w:val="nil"/>
              <w:right w:val="nil"/>
            </w:tcBorders>
          </w:tcPr>
          <w:p>
            <w:pPr>
              <w:pStyle w:val="TableParagraph"/>
              <w:spacing w:before="36"/>
              <w:ind w:right="197"/>
              <w:jc w:val="right"/>
              <w:rPr>
                <w:sz w:val="18"/>
              </w:rPr>
            </w:pPr>
            <w:r>
              <w:rPr>
                <w:sz w:val="18"/>
              </w:rPr>
              <w:t>40.463</w:t>
            </w:r>
          </w:p>
        </w:tc>
        <w:tc>
          <w:tcPr>
            <w:tcW w:w="872" w:type="dxa"/>
            <w:tcBorders>
              <w:top w:val="nil"/>
              <w:left w:val="nil"/>
              <w:bottom w:val="nil"/>
              <w:right w:val="nil"/>
            </w:tcBorders>
          </w:tcPr>
          <w:p>
            <w:pPr>
              <w:pStyle w:val="TableParagraph"/>
              <w:spacing w:before="36"/>
              <w:ind w:left="199"/>
              <w:rPr>
                <w:sz w:val="18"/>
              </w:rPr>
            </w:pPr>
            <w:r>
              <w:rPr>
                <w:sz w:val="18"/>
              </w:rPr>
              <w:t>39.392</w:t>
            </w:r>
          </w:p>
        </w:tc>
      </w:tr>
      <w:tr>
        <w:trPr>
          <w:trHeight w:val="300" w:hRule="exact"/>
        </w:trPr>
        <w:tc>
          <w:tcPr>
            <w:tcW w:w="1080" w:type="dxa"/>
            <w:tcBorders>
              <w:top w:val="nil"/>
              <w:left w:val="nil"/>
              <w:bottom w:val="nil"/>
              <w:right w:val="nil"/>
            </w:tcBorders>
          </w:tcPr>
          <w:p>
            <w:pPr>
              <w:pStyle w:val="TableParagraph"/>
              <w:spacing w:before="38"/>
              <w:ind w:right="340"/>
              <w:jc w:val="right"/>
              <w:rPr>
                <w:sz w:val="18"/>
              </w:rPr>
            </w:pPr>
            <w:r>
              <w:rPr>
                <w:sz w:val="18"/>
              </w:rPr>
              <w:t>60</w:t>
            </w:r>
          </w:p>
        </w:tc>
        <w:tc>
          <w:tcPr>
            <w:tcW w:w="1081" w:type="dxa"/>
            <w:tcBorders>
              <w:top w:val="nil"/>
              <w:left w:val="nil"/>
              <w:bottom w:val="nil"/>
              <w:right w:val="nil"/>
            </w:tcBorders>
          </w:tcPr>
          <w:p>
            <w:pPr>
              <w:pStyle w:val="TableParagraph"/>
              <w:spacing w:before="38"/>
              <w:ind w:right="238"/>
              <w:jc w:val="right"/>
              <w:rPr>
                <w:sz w:val="18"/>
              </w:rPr>
            </w:pPr>
            <w:r>
              <w:rPr>
                <w:sz w:val="18"/>
              </w:rPr>
              <w:t>39.549</w:t>
            </w:r>
          </w:p>
        </w:tc>
        <w:tc>
          <w:tcPr>
            <w:tcW w:w="1090" w:type="dxa"/>
            <w:tcBorders>
              <w:top w:val="nil"/>
              <w:left w:val="nil"/>
              <w:bottom w:val="nil"/>
              <w:right w:val="nil"/>
            </w:tcBorders>
          </w:tcPr>
          <w:p>
            <w:pPr>
              <w:pStyle w:val="TableParagraph"/>
              <w:spacing w:before="38"/>
              <w:ind w:left="240"/>
              <w:rPr>
                <w:sz w:val="18"/>
              </w:rPr>
            </w:pPr>
            <w:r>
              <w:rPr>
                <w:sz w:val="18"/>
              </w:rPr>
              <w:t>39.940</w:t>
            </w:r>
          </w:p>
        </w:tc>
        <w:tc>
          <w:tcPr>
            <w:tcW w:w="1200" w:type="dxa"/>
            <w:tcBorders>
              <w:top w:val="nil"/>
              <w:left w:val="nil"/>
              <w:bottom w:val="nil"/>
              <w:right w:val="nil"/>
            </w:tcBorders>
          </w:tcPr>
          <w:p>
            <w:pPr>
              <w:pStyle w:val="TableParagraph"/>
              <w:spacing w:before="38"/>
              <w:ind w:left="332" w:right="332"/>
              <w:jc w:val="center"/>
              <w:rPr>
                <w:sz w:val="18"/>
              </w:rPr>
            </w:pPr>
            <w:r>
              <w:rPr>
                <w:sz w:val="18"/>
              </w:rPr>
              <w:t>39.993</w:t>
            </w:r>
          </w:p>
        </w:tc>
        <w:tc>
          <w:tcPr>
            <w:tcW w:w="1201" w:type="dxa"/>
            <w:tcBorders>
              <w:top w:val="nil"/>
              <w:left w:val="nil"/>
              <w:bottom w:val="nil"/>
              <w:right w:val="nil"/>
            </w:tcBorders>
          </w:tcPr>
          <w:p>
            <w:pPr>
              <w:pStyle w:val="TableParagraph"/>
              <w:spacing w:before="38"/>
              <w:ind w:left="332" w:right="332"/>
              <w:jc w:val="center"/>
              <w:rPr>
                <w:sz w:val="18"/>
              </w:rPr>
            </w:pPr>
            <w:r>
              <w:rPr>
                <w:sz w:val="18"/>
              </w:rPr>
              <w:t>39.261</w:t>
            </w:r>
          </w:p>
        </w:tc>
        <w:tc>
          <w:tcPr>
            <w:tcW w:w="1138" w:type="dxa"/>
            <w:tcBorders>
              <w:top w:val="nil"/>
              <w:left w:val="nil"/>
              <w:bottom w:val="nil"/>
              <w:right w:val="nil"/>
            </w:tcBorders>
          </w:tcPr>
          <w:p>
            <w:pPr>
              <w:pStyle w:val="TableParagraph"/>
              <w:spacing w:before="38"/>
              <w:ind w:right="286"/>
              <w:jc w:val="right"/>
              <w:rPr>
                <w:sz w:val="18"/>
              </w:rPr>
            </w:pPr>
            <w:r>
              <w:rPr>
                <w:sz w:val="18"/>
              </w:rPr>
              <w:t>39.104</w:t>
            </w:r>
          </w:p>
        </w:tc>
        <w:tc>
          <w:tcPr>
            <w:tcW w:w="987" w:type="dxa"/>
            <w:tcBorders>
              <w:top w:val="nil"/>
              <w:left w:val="nil"/>
              <w:bottom w:val="nil"/>
              <w:right w:val="nil"/>
            </w:tcBorders>
          </w:tcPr>
          <w:p>
            <w:pPr>
              <w:pStyle w:val="TableParagraph"/>
              <w:spacing w:before="38"/>
              <w:ind w:right="197"/>
              <w:jc w:val="right"/>
              <w:rPr>
                <w:sz w:val="18"/>
              </w:rPr>
            </w:pPr>
            <w:r>
              <w:rPr>
                <w:sz w:val="18"/>
              </w:rPr>
              <w:t>39.888</w:t>
            </w:r>
          </w:p>
        </w:tc>
        <w:tc>
          <w:tcPr>
            <w:tcW w:w="872" w:type="dxa"/>
            <w:tcBorders>
              <w:top w:val="nil"/>
              <w:left w:val="nil"/>
              <w:bottom w:val="nil"/>
              <w:right w:val="nil"/>
            </w:tcBorders>
          </w:tcPr>
          <w:p>
            <w:pPr>
              <w:pStyle w:val="TableParagraph"/>
              <w:spacing w:before="38"/>
              <w:ind w:left="199"/>
              <w:rPr>
                <w:sz w:val="18"/>
              </w:rPr>
            </w:pPr>
            <w:r>
              <w:rPr>
                <w:sz w:val="18"/>
              </w:rPr>
              <w:t>39.000</w:t>
            </w:r>
          </w:p>
        </w:tc>
      </w:tr>
      <w:tr>
        <w:trPr>
          <w:trHeight w:val="300" w:hRule="exact"/>
        </w:trPr>
        <w:tc>
          <w:tcPr>
            <w:tcW w:w="1080" w:type="dxa"/>
            <w:tcBorders>
              <w:top w:val="nil"/>
              <w:left w:val="nil"/>
              <w:bottom w:val="nil"/>
              <w:right w:val="nil"/>
            </w:tcBorders>
          </w:tcPr>
          <w:p>
            <w:pPr>
              <w:pStyle w:val="TableParagraph"/>
              <w:spacing w:before="36"/>
              <w:ind w:right="340"/>
              <w:jc w:val="right"/>
              <w:rPr>
                <w:sz w:val="18"/>
              </w:rPr>
            </w:pPr>
            <w:r>
              <w:rPr>
                <w:sz w:val="18"/>
              </w:rPr>
              <w:t>66</w:t>
            </w:r>
          </w:p>
        </w:tc>
        <w:tc>
          <w:tcPr>
            <w:tcW w:w="1081" w:type="dxa"/>
            <w:tcBorders>
              <w:top w:val="nil"/>
              <w:left w:val="nil"/>
              <w:bottom w:val="nil"/>
              <w:right w:val="nil"/>
            </w:tcBorders>
          </w:tcPr>
          <w:p>
            <w:pPr>
              <w:pStyle w:val="TableParagraph"/>
              <w:spacing w:before="36"/>
              <w:ind w:right="238"/>
              <w:jc w:val="right"/>
              <w:rPr>
                <w:sz w:val="18"/>
              </w:rPr>
            </w:pPr>
            <w:r>
              <w:rPr>
                <w:sz w:val="18"/>
              </w:rPr>
              <w:t>39.313</w:t>
            </w:r>
          </w:p>
        </w:tc>
        <w:tc>
          <w:tcPr>
            <w:tcW w:w="1090" w:type="dxa"/>
            <w:tcBorders>
              <w:top w:val="nil"/>
              <w:left w:val="nil"/>
              <w:bottom w:val="nil"/>
              <w:right w:val="nil"/>
            </w:tcBorders>
          </w:tcPr>
          <w:p>
            <w:pPr>
              <w:pStyle w:val="TableParagraph"/>
              <w:spacing w:before="36"/>
              <w:ind w:left="240"/>
              <w:rPr>
                <w:sz w:val="18"/>
              </w:rPr>
            </w:pPr>
            <w:r>
              <w:rPr>
                <w:sz w:val="18"/>
              </w:rPr>
              <w:t>39.470</w:t>
            </w:r>
          </w:p>
        </w:tc>
        <w:tc>
          <w:tcPr>
            <w:tcW w:w="1200" w:type="dxa"/>
            <w:tcBorders>
              <w:top w:val="nil"/>
              <w:left w:val="nil"/>
              <w:bottom w:val="nil"/>
              <w:right w:val="nil"/>
            </w:tcBorders>
          </w:tcPr>
          <w:p>
            <w:pPr>
              <w:pStyle w:val="TableParagraph"/>
              <w:spacing w:before="36"/>
              <w:ind w:left="332" w:right="332"/>
              <w:jc w:val="center"/>
              <w:rPr>
                <w:sz w:val="18"/>
              </w:rPr>
            </w:pPr>
            <w:r>
              <w:rPr>
                <w:sz w:val="18"/>
              </w:rPr>
              <w:t>39.679</w:t>
            </w:r>
          </w:p>
        </w:tc>
        <w:tc>
          <w:tcPr>
            <w:tcW w:w="1201" w:type="dxa"/>
            <w:tcBorders>
              <w:top w:val="nil"/>
              <w:left w:val="nil"/>
              <w:bottom w:val="nil"/>
              <w:right w:val="nil"/>
            </w:tcBorders>
          </w:tcPr>
          <w:p>
            <w:pPr>
              <w:pStyle w:val="TableParagraph"/>
              <w:spacing w:before="36"/>
              <w:ind w:left="332" w:right="332"/>
              <w:jc w:val="center"/>
              <w:rPr>
                <w:sz w:val="18"/>
              </w:rPr>
            </w:pPr>
            <w:r>
              <w:rPr>
                <w:sz w:val="18"/>
              </w:rPr>
              <w:t>38.582</w:t>
            </w:r>
          </w:p>
        </w:tc>
        <w:tc>
          <w:tcPr>
            <w:tcW w:w="1138" w:type="dxa"/>
            <w:tcBorders>
              <w:top w:val="nil"/>
              <w:left w:val="nil"/>
              <w:bottom w:val="nil"/>
              <w:right w:val="nil"/>
            </w:tcBorders>
          </w:tcPr>
          <w:p>
            <w:pPr>
              <w:pStyle w:val="TableParagraph"/>
              <w:spacing w:before="36"/>
              <w:ind w:right="286"/>
              <w:jc w:val="right"/>
              <w:rPr>
                <w:sz w:val="18"/>
              </w:rPr>
            </w:pPr>
            <w:r>
              <w:rPr>
                <w:sz w:val="18"/>
              </w:rPr>
              <w:t>38.425</w:t>
            </w:r>
          </w:p>
        </w:tc>
        <w:tc>
          <w:tcPr>
            <w:tcW w:w="987" w:type="dxa"/>
            <w:tcBorders>
              <w:top w:val="nil"/>
              <w:left w:val="nil"/>
              <w:bottom w:val="nil"/>
              <w:right w:val="nil"/>
            </w:tcBorders>
          </w:tcPr>
          <w:p>
            <w:pPr>
              <w:pStyle w:val="TableParagraph"/>
              <w:spacing w:before="36"/>
              <w:ind w:right="197"/>
              <w:jc w:val="right"/>
              <w:rPr>
                <w:sz w:val="18"/>
              </w:rPr>
            </w:pPr>
            <w:r>
              <w:rPr>
                <w:sz w:val="18"/>
              </w:rPr>
              <w:t>39.313</w:t>
            </w:r>
          </w:p>
        </w:tc>
        <w:tc>
          <w:tcPr>
            <w:tcW w:w="872" w:type="dxa"/>
            <w:tcBorders>
              <w:top w:val="nil"/>
              <w:left w:val="nil"/>
              <w:bottom w:val="nil"/>
              <w:right w:val="nil"/>
            </w:tcBorders>
          </w:tcPr>
          <w:p>
            <w:pPr>
              <w:pStyle w:val="TableParagraph"/>
              <w:spacing w:before="36"/>
              <w:ind w:left="199"/>
              <w:rPr>
                <w:sz w:val="18"/>
              </w:rPr>
            </w:pPr>
            <w:r>
              <w:rPr>
                <w:sz w:val="18"/>
              </w:rPr>
              <w:t>38.373</w:t>
            </w:r>
          </w:p>
        </w:tc>
      </w:tr>
      <w:tr>
        <w:trPr>
          <w:trHeight w:val="312" w:hRule="exact"/>
        </w:trPr>
        <w:tc>
          <w:tcPr>
            <w:tcW w:w="1080" w:type="dxa"/>
            <w:tcBorders>
              <w:top w:val="nil"/>
              <w:left w:val="nil"/>
              <w:bottom w:val="single" w:sz="12" w:space="0" w:color="000000"/>
              <w:right w:val="nil"/>
            </w:tcBorders>
          </w:tcPr>
          <w:p>
            <w:pPr>
              <w:pStyle w:val="TableParagraph"/>
              <w:spacing w:before="38"/>
              <w:ind w:right="340"/>
              <w:jc w:val="right"/>
              <w:rPr>
                <w:sz w:val="18"/>
              </w:rPr>
            </w:pPr>
            <w:r>
              <w:rPr>
                <w:sz w:val="18"/>
              </w:rPr>
              <w:t>72</w:t>
            </w:r>
          </w:p>
        </w:tc>
        <w:tc>
          <w:tcPr>
            <w:tcW w:w="1081" w:type="dxa"/>
            <w:tcBorders>
              <w:top w:val="nil"/>
              <w:left w:val="nil"/>
              <w:bottom w:val="single" w:sz="12" w:space="0" w:color="000000"/>
              <w:right w:val="nil"/>
            </w:tcBorders>
          </w:tcPr>
          <w:p>
            <w:pPr>
              <w:pStyle w:val="TableParagraph"/>
              <w:spacing w:before="38"/>
              <w:ind w:right="238"/>
              <w:jc w:val="right"/>
              <w:rPr>
                <w:sz w:val="18"/>
              </w:rPr>
            </w:pPr>
            <w:r>
              <w:rPr>
                <w:sz w:val="18"/>
              </w:rPr>
              <w:t>38.765</w:t>
            </w:r>
          </w:p>
        </w:tc>
        <w:tc>
          <w:tcPr>
            <w:tcW w:w="1090" w:type="dxa"/>
            <w:tcBorders>
              <w:top w:val="nil"/>
              <w:left w:val="nil"/>
              <w:bottom w:val="single" w:sz="12" w:space="0" w:color="000000"/>
              <w:right w:val="nil"/>
            </w:tcBorders>
          </w:tcPr>
          <w:p>
            <w:pPr>
              <w:pStyle w:val="TableParagraph"/>
              <w:spacing w:before="38"/>
              <w:ind w:left="240"/>
              <w:rPr>
                <w:sz w:val="18"/>
              </w:rPr>
            </w:pPr>
            <w:r>
              <w:rPr>
                <w:sz w:val="18"/>
              </w:rPr>
              <w:t>39.000</w:t>
            </w:r>
          </w:p>
        </w:tc>
        <w:tc>
          <w:tcPr>
            <w:tcW w:w="1200" w:type="dxa"/>
            <w:tcBorders>
              <w:top w:val="nil"/>
              <w:left w:val="nil"/>
              <w:bottom w:val="single" w:sz="12" w:space="0" w:color="000000"/>
              <w:right w:val="nil"/>
            </w:tcBorders>
          </w:tcPr>
          <w:p>
            <w:pPr>
              <w:pStyle w:val="TableParagraph"/>
              <w:spacing w:before="38"/>
              <w:ind w:left="332" w:right="332"/>
              <w:jc w:val="center"/>
              <w:rPr>
                <w:sz w:val="18"/>
              </w:rPr>
            </w:pPr>
            <w:r>
              <w:rPr>
                <w:sz w:val="18"/>
              </w:rPr>
              <w:t>38.791</w:t>
            </w:r>
          </w:p>
        </w:tc>
        <w:tc>
          <w:tcPr>
            <w:tcW w:w="1201" w:type="dxa"/>
            <w:tcBorders>
              <w:top w:val="nil"/>
              <w:left w:val="nil"/>
              <w:bottom w:val="single" w:sz="12" w:space="0" w:color="000000"/>
              <w:right w:val="nil"/>
            </w:tcBorders>
          </w:tcPr>
          <w:p>
            <w:pPr>
              <w:pStyle w:val="TableParagraph"/>
              <w:spacing w:before="38"/>
              <w:ind w:left="332" w:right="332"/>
              <w:jc w:val="center"/>
              <w:rPr>
                <w:sz w:val="18"/>
              </w:rPr>
            </w:pPr>
            <w:r>
              <w:rPr>
                <w:sz w:val="18"/>
              </w:rPr>
              <w:t>38.112</w:t>
            </w:r>
          </w:p>
        </w:tc>
        <w:tc>
          <w:tcPr>
            <w:tcW w:w="1138" w:type="dxa"/>
            <w:tcBorders>
              <w:top w:val="nil"/>
              <w:left w:val="nil"/>
              <w:bottom w:val="single" w:sz="12" w:space="0" w:color="000000"/>
              <w:right w:val="nil"/>
            </w:tcBorders>
          </w:tcPr>
          <w:p>
            <w:pPr>
              <w:pStyle w:val="TableParagraph"/>
              <w:spacing w:before="38"/>
              <w:ind w:right="286"/>
              <w:jc w:val="right"/>
              <w:rPr>
                <w:sz w:val="18"/>
              </w:rPr>
            </w:pPr>
            <w:r>
              <w:rPr>
                <w:sz w:val="18"/>
              </w:rPr>
              <w:t>38.739</w:t>
            </w:r>
          </w:p>
        </w:tc>
        <w:tc>
          <w:tcPr>
            <w:tcW w:w="987" w:type="dxa"/>
            <w:tcBorders>
              <w:top w:val="nil"/>
              <w:left w:val="nil"/>
              <w:bottom w:val="single" w:sz="12" w:space="0" w:color="000000"/>
              <w:right w:val="nil"/>
            </w:tcBorders>
          </w:tcPr>
          <w:p>
            <w:pPr>
              <w:pStyle w:val="TableParagraph"/>
              <w:spacing w:before="38"/>
              <w:ind w:right="197"/>
              <w:jc w:val="right"/>
              <w:rPr>
                <w:sz w:val="18"/>
              </w:rPr>
            </w:pPr>
            <w:r>
              <w:rPr>
                <w:sz w:val="18"/>
              </w:rPr>
              <w:t>39.366</w:t>
            </w:r>
          </w:p>
        </w:tc>
        <w:tc>
          <w:tcPr>
            <w:tcW w:w="872" w:type="dxa"/>
            <w:tcBorders>
              <w:top w:val="nil"/>
              <w:left w:val="nil"/>
              <w:bottom w:val="single" w:sz="12" w:space="0" w:color="000000"/>
              <w:right w:val="nil"/>
            </w:tcBorders>
          </w:tcPr>
          <w:p>
            <w:pPr>
              <w:pStyle w:val="TableParagraph"/>
              <w:spacing w:before="38"/>
              <w:ind w:left="199"/>
              <w:rPr>
                <w:sz w:val="18"/>
              </w:rPr>
            </w:pPr>
            <w:r>
              <w:rPr>
                <w:sz w:val="18"/>
              </w:rPr>
              <w:t>38.530</w:t>
            </w:r>
          </w:p>
        </w:tc>
      </w:tr>
    </w:tbl>
    <w:p>
      <w:pPr>
        <w:spacing w:before="12"/>
        <w:ind w:left="259" w:right="288" w:firstLine="0"/>
        <w:jc w:val="left"/>
        <w:rPr>
          <w:rFonts w:ascii="Times New Roman"/>
          <w:sz w:val="18"/>
        </w:rPr>
      </w:pPr>
      <w:r>
        <w:rPr/>
        <w:drawing>
          <wp:anchor distT="0" distB="0" distL="0" distR="0" allowOverlap="1" layoutInCell="1" locked="0" behindDoc="1" simplePos="0" relativeHeight="268108223">
            <wp:simplePos x="0" y="0"/>
            <wp:positionH relativeFrom="page">
              <wp:posOffset>3567684</wp:posOffset>
            </wp:positionH>
            <wp:positionV relativeFrom="paragraph">
              <wp:posOffset>-1363</wp:posOffset>
            </wp:positionV>
            <wp:extent cx="100326" cy="140331"/>
            <wp:effectExtent l="0" t="0" r="0" b="0"/>
            <wp:wrapNone/>
            <wp:docPr id="157" name="image96.png" descr=""/>
            <wp:cNvGraphicFramePr>
              <a:graphicFrameLocks noChangeAspect="1"/>
            </wp:cNvGraphicFramePr>
            <a:graphic>
              <a:graphicData uri="http://schemas.openxmlformats.org/drawingml/2006/picture">
                <pic:pic>
                  <pic:nvPicPr>
                    <pic:cNvPr id="158" name="image96.png"/>
                    <pic:cNvPicPr/>
                  </pic:nvPicPr>
                  <pic:blipFill>
                    <a:blip r:embed="rId178" cstate="print"/>
                    <a:stretch>
                      <a:fillRect/>
                    </a:stretch>
                  </pic:blipFill>
                  <pic:spPr>
                    <a:xfrm>
                      <a:off x="0" y="0"/>
                      <a:ext cx="100326" cy="140331"/>
                    </a:xfrm>
                    <a:prstGeom prst="rect">
                      <a:avLst/>
                    </a:prstGeom>
                  </pic:spPr>
                </pic:pic>
              </a:graphicData>
            </a:graphic>
          </wp:anchor>
        </w:drawing>
      </w:r>
      <w:r>
        <w:rPr>
          <w:rFonts w:ascii="Times New Roman"/>
          <w:sz w:val="18"/>
        </w:rPr>
        <w:t>The gas pressure (psi) and fermentation temperature ( ) was presented a </w:t>
      </w:r>
      <w:r>
        <w:rPr>
          <w:rFonts w:ascii="Times New Roman"/>
          <w:spacing w:val="-3"/>
          <w:sz w:val="18"/>
        </w:rPr>
        <w:t>part of </w:t>
      </w:r>
      <w:r>
        <w:rPr>
          <w:rFonts w:ascii="Times New Roman"/>
          <w:sz w:val="18"/>
        </w:rPr>
        <w:t>all the dataset obtained in this table, the  full details </w:t>
      </w:r>
      <w:r>
        <w:rPr>
          <w:rFonts w:ascii="Times New Roman"/>
          <w:spacing w:val="-3"/>
          <w:sz w:val="18"/>
        </w:rPr>
        <w:t>of </w:t>
      </w:r>
      <w:r>
        <w:rPr>
          <w:rFonts w:ascii="Times New Roman"/>
          <w:sz w:val="18"/>
        </w:rPr>
        <w:t>these fermentation parameters were shown in</w:t>
      </w:r>
      <w:r>
        <w:rPr>
          <w:rFonts w:ascii="Times New Roman"/>
          <w:spacing w:val="-28"/>
          <w:sz w:val="18"/>
        </w:rPr>
        <w:t> </w:t>
      </w:r>
      <w:hyperlink r:id="rId179">
        <w:r>
          <w:rPr>
            <w:rFonts w:ascii="Times New Roman"/>
            <w:sz w:val="18"/>
          </w:rPr>
          <w:t>http://dx.doi.org/10.6084/m9.figshare.1428561.</w:t>
        </w:r>
      </w:hyperlink>
    </w:p>
    <w:p>
      <w:pPr>
        <w:pStyle w:val="BodyText"/>
        <w:rPr>
          <w:rFonts w:ascii="Times New Roman"/>
          <w:sz w:val="18"/>
        </w:rPr>
      </w:pPr>
    </w:p>
    <w:p>
      <w:pPr>
        <w:pStyle w:val="BodyText"/>
        <w:spacing w:before="1" w:after="6"/>
        <w:ind w:left="1450"/>
        <w:rPr>
          <w:rFonts w:ascii="Times New Roman"/>
        </w:rPr>
      </w:pPr>
      <w:r>
        <w:rPr>
          <w:rFonts w:ascii="Times New Roman"/>
          <w:b/>
        </w:rPr>
        <w:t>Table 6</w:t>
      </w:r>
      <w:r>
        <w:rPr>
          <w:rFonts w:ascii="Times New Roman"/>
        </w:rPr>
        <w:t>. All input variables for developing a new RT-LFER model</w:t>
      </w:r>
    </w:p>
    <w:tbl>
      <w:tblPr>
        <w:tblW w:w="0" w:type="auto"/>
        <w:jc w:val="left"/>
        <w:tblInd w:w="45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59"/>
        <w:gridCol w:w="7045"/>
      </w:tblGrid>
      <w:tr>
        <w:trPr>
          <w:trHeight w:val="403" w:hRule="exact"/>
        </w:trPr>
        <w:tc>
          <w:tcPr>
            <w:tcW w:w="1359" w:type="dxa"/>
            <w:tcBorders>
              <w:left w:val="nil"/>
              <w:bottom w:val="single" w:sz="4" w:space="0" w:color="000000"/>
              <w:right w:val="single" w:sz="4" w:space="0" w:color="000000"/>
            </w:tcBorders>
          </w:tcPr>
          <w:p>
            <w:pPr>
              <w:pStyle w:val="TableParagraph"/>
              <w:spacing w:before="91"/>
              <w:ind w:left="86"/>
              <w:rPr>
                <w:b/>
                <w:sz w:val="18"/>
              </w:rPr>
            </w:pPr>
            <w:r>
              <w:rPr>
                <w:b/>
                <w:sz w:val="18"/>
              </w:rPr>
              <w:t>Symbols</w:t>
            </w:r>
          </w:p>
        </w:tc>
        <w:tc>
          <w:tcPr>
            <w:tcW w:w="7045" w:type="dxa"/>
            <w:tcBorders>
              <w:left w:val="single" w:sz="4" w:space="0" w:color="000000"/>
              <w:bottom w:val="single" w:sz="4" w:space="0" w:color="000000"/>
              <w:right w:val="nil"/>
            </w:tcBorders>
          </w:tcPr>
          <w:p>
            <w:pPr>
              <w:pStyle w:val="TableParagraph"/>
              <w:spacing w:before="82"/>
              <w:ind w:left="67"/>
              <w:rPr>
                <w:sz w:val="12"/>
              </w:rPr>
            </w:pPr>
            <w:r>
              <w:rPr>
                <w:b/>
                <w:sz w:val="18"/>
              </w:rPr>
              <w:t>The details of input variables for new RT-LFER model </w:t>
            </w:r>
            <w:r>
              <w:rPr>
                <w:position w:val="6"/>
                <w:sz w:val="12"/>
              </w:rPr>
              <w:t>b</w:t>
            </w:r>
          </w:p>
        </w:tc>
      </w:tr>
      <w:tr>
        <w:trPr>
          <w:trHeight w:val="389" w:hRule="exact"/>
        </w:trPr>
        <w:tc>
          <w:tcPr>
            <w:tcW w:w="1359" w:type="dxa"/>
            <w:tcBorders>
              <w:top w:val="single" w:sz="4" w:space="0" w:color="000000"/>
              <w:left w:val="nil"/>
              <w:bottom w:val="single" w:sz="4" w:space="0" w:color="000000"/>
              <w:right w:val="single" w:sz="4" w:space="0" w:color="000000"/>
            </w:tcBorders>
          </w:tcPr>
          <w:p>
            <w:pPr>
              <w:pStyle w:val="TableParagraph"/>
              <w:spacing w:before="81"/>
              <w:ind w:left="86"/>
              <w:rPr>
                <w:sz w:val="12"/>
              </w:rPr>
            </w:pPr>
            <w:r>
              <w:rPr>
                <w:position w:val="1"/>
                <w:sz w:val="18"/>
              </w:rPr>
              <w:t>ɛ</w:t>
            </w:r>
            <w:r>
              <w:rPr>
                <w:sz w:val="12"/>
              </w:rPr>
              <w:t>ij</w:t>
            </w:r>
          </w:p>
        </w:tc>
        <w:tc>
          <w:tcPr>
            <w:tcW w:w="7045" w:type="dxa"/>
            <w:tcBorders>
              <w:top w:val="single" w:sz="4" w:space="0" w:color="000000"/>
              <w:left w:val="single" w:sz="4" w:space="0" w:color="000000"/>
              <w:bottom w:val="single" w:sz="4" w:space="0" w:color="000000"/>
              <w:right w:val="nil"/>
            </w:tcBorders>
          </w:tcPr>
          <w:p>
            <w:pPr>
              <w:pStyle w:val="TableParagraph"/>
              <w:spacing w:before="81"/>
              <w:ind w:left="67"/>
              <w:rPr>
                <w:sz w:val="12"/>
              </w:rPr>
            </w:pPr>
            <w:r>
              <w:rPr>
                <w:position w:val="1"/>
                <w:sz w:val="18"/>
              </w:rPr>
              <w:t>IPA (%)</w:t>
            </w:r>
            <w:r>
              <w:rPr>
                <w:sz w:val="12"/>
              </w:rPr>
              <w:t>new</w:t>
            </w:r>
            <w:r>
              <w:rPr>
                <w:position w:val="1"/>
                <w:sz w:val="18"/>
              </w:rPr>
              <w:t>, IPA (%)</w:t>
            </w:r>
            <w:r>
              <w:rPr>
                <w:sz w:val="12"/>
              </w:rPr>
              <w:t>ref</w:t>
            </w:r>
          </w:p>
        </w:tc>
      </w:tr>
      <w:tr>
        <w:trPr>
          <w:trHeight w:val="394" w:hRule="exact"/>
        </w:trPr>
        <w:tc>
          <w:tcPr>
            <w:tcW w:w="1359" w:type="dxa"/>
            <w:tcBorders>
              <w:top w:val="single" w:sz="4" w:space="0" w:color="000000"/>
              <w:left w:val="nil"/>
              <w:bottom w:val="single" w:sz="4" w:space="0" w:color="000000"/>
              <w:right w:val="single" w:sz="4" w:space="0" w:color="000000"/>
            </w:tcBorders>
          </w:tcPr>
          <w:p>
            <w:pPr>
              <w:pStyle w:val="TableParagraph"/>
              <w:spacing w:before="77"/>
              <w:ind w:left="86"/>
              <w:rPr>
                <w:sz w:val="12"/>
              </w:rPr>
            </w:pPr>
            <w:r>
              <w:rPr>
                <w:position w:val="1"/>
                <w:sz w:val="18"/>
              </w:rPr>
              <w:t>&lt;ɛ</w:t>
            </w:r>
            <w:r>
              <w:rPr>
                <w:sz w:val="12"/>
              </w:rPr>
              <w:t>ij</w:t>
            </w:r>
            <w:r>
              <w:rPr>
                <w:position w:val="1"/>
                <w:sz w:val="18"/>
              </w:rPr>
              <w:t>&gt; </w:t>
            </w:r>
            <w:r>
              <w:rPr>
                <w:position w:val="7"/>
                <w:sz w:val="12"/>
              </w:rPr>
              <w:t>a</w:t>
            </w:r>
          </w:p>
        </w:tc>
        <w:tc>
          <w:tcPr>
            <w:tcW w:w="7045" w:type="dxa"/>
            <w:tcBorders>
              <w:top w:val="single" w:sz="4" w:space="0" w:color="000000"/>
              <w:left w:val="single" w:sz="4" w:space="0" w:color="000000"/>
              <w:bottom w:val="single" w:sz="4" w:space="0" w:color="000000"/>
              <w:right w:val="nil"/>
            </w:tcBorders>
          </w:tcPr>
          <w:p>
            <w:pPr>
              <w:pStyle w:val="TableParagraph"/>
              <w:spacing w:before="81"/>
              <w:ind w:left="67"/>
              <w:rPr>
                <w:sz w:val="18"/>
              </w:rPr>
            </w:pPr>
            <w:r>
              <w:rPr>
                <w:position w:val="1"/>
                <w:sz w:val="18"/>
              </w:rPr>
              <w:t>&lt;IPA(%)</w:t>
            </w:r>
            <w:r>
              <w:rPr>
                <w:sz w:val="12"/>
              </w:rPr>
              <w:t>new</w:t>
            </w:r>
            <w:r>
              <w:rPr>
                <w:position w:val="1"/>
                <w:sz w:val="18"/>
              </w:rPr>
              <w:t>&gt;, &lt;IPA(%)</w:t>
            </w:r>
            <w:r>
              <w:rPr>
                <w:sz w:val="12"/>
              </w:rPr>
              <w:t>ref</w:t>
            </w:r>
            <w:r>
              <w:rPr>
                <w:position w:val="1"/>
                <w:sz w:val="18"/>
              </w:rPr>
              <w:t>&gt;</w:t>
            </w:r>
          </w:p>
        </w:tc>
      </w:tr>
      <w:tr>
        <w:trPr>
          <w:trHeight w:val="389" w:hRule="exact"/>
        </w:trPr>
        <w:tc>
          <w:tcPr>
            <w:tcW w:w="1359" w:type="dxa"/>
            <w:tcBorders>
              <w:top w:val="single" w:sz="4" w:space="0" w:color="000000"/>
              <w:left w:val="nil"/>
              <w:bottom w:val="dotted" w:sz="4" w:space="0" w:color="000000"/>
              <w:right w:val="single" w:sz="4" w:space="0" w:color="000000"/>
            </w:tcBorders>
          </w:tcPr>
          <w:p>
            <w:pPr>
              <w:pStyle w:val="TableParagraph"/>
              <w:spacing w:before="81"/>
              <w:ind w:left="86"/>
              <w:rPr>
                <w:sz w:val="18"/>
              </w:rPr>
            </w:pPr>
            <w:r>
              <w:rPr>
                <w:w w:val="101"/>
                <w:sz w:val="18"/>
              </w:rPr>
              <w:t>Ω</w:t>
            </w:r>
          </w:p>
        </w:tc>
        <w:tc>
          <w:tcPr>
            <w:tcW w:w="7045" w:type="dxa"/>
            <w:tcBorders>
              <w:top w:val="single" w:sz="4" w:space="0" w:color="000000"/>
              <w:left w:val="single" w:sz="4" w:space="0" w:color="000000"/>
              <w:bottom w:val="dotted" w:sz="4" w:space="0" w:color="000000"/>
              <w:right w:val="nil"/>
            </w:tcBorders>
          </w:tcPr>
          <w:p>
            <w:pPr>
              <w:pStyle w:val="TableParagraph"/>
              <w:spacing w:before="81"/>
              <w:ind w:left="67"/>
              <w:rPr>
                <w:sz w:val="18"/>
              </w:rPr>
            </w:pPr>
            <w:r>
              <w:rPr>
                <w:position w:val="1"/>
                <w:sz w:val="18"/>
              </w:rPr>
              <w:t>P(psi), pH(72h), CH</w:t>
            </w:r>
            <w:r>
              <w:rPr>
                <w:sz w:val="12"/>
              </w:rPr>
              <w:t>4</w:t>
            </w:r>
            <w:r>
              <w:rPr>
                <w:position w:val="1"/>
                <w:sz w:val="18"/>
              </w:rPr>
              <w:t>, T, t, ω-6, ω-3</w:t>
            </w:r>
          </w:p>
        </w:tc>
      </w:tr>
      <w:tr>
        <w:trPr>
          <w:trHeight w:val="394" w:hRule="exact"/>
        </w:trPr>
        <w:tc>
          <w:tcPr>
            <w:tcW w:w="1359" w:type="dxa"/>
            <w:tcBorders>
              <w:top w:val="dotted" w:sz="4" w:space="0" w:color="000000"/>
              <w:left w:val="nil"/>
              <w:bottom w:val="dotted" w:sz="4" w:space="0" w:color="000000"/>
              <w:right w:val="single" w:sz="4" w:space="0" w:color="000000"/>
            </w:tcBorders>
          </w:tcPr>
          <w:p>
            <w:pPr>
              <w:pStyle w:val="TableParagraph"/>
              <w:spacing w:before="81"/>
              <w:ind w:left="86"/>
              <w:rPr>
                <w:sz w:val="18"/>
              </w:rPr>
            </w:pPr>
            <w:r>
              <w:rPr>
                <w:sz w:val="18"/>
              </w:rPr>
              <w:t>∆Ω</w:t>
            </w:r>
          </w:p>
        </w:tc>
        <w:tc>
          <w:tcPr>
            <w:tcW w:w="7045" w:type="dxa"/>
            <w:tcBorders>
              <w:top w:val="dotted" w:sz="4" w:space="0" w:color="000000"/>
              <w:left w:val="single" w:sz="4" w:space="0" w:color="000000"/>
              <w:bottom w:val="dotted" w:sz="4" w:space="0" w:color="000000"/>
              <w:right w:val="nil"/>
            </w:tcBorders>
          </w:tcPr>
          <w:p>
            <w:pPr>
              <w:pStyle w:val="TableParagraph"/>
              <w:spacing w:before="81"/>
              <w:ind w:left="67"/>
              <w:rPr>
                <w:sz w:val="18"/>
              </w:rPr>
            </w:pPr>
            <w:r>
              <w:rPr>
                <w:position w:val="1"/>
                <w:sz w:val="18"/>
              </w:rPr>
              <w:t>∆P(psi), ∆pH(72h), ∆CH</w:t>
            </w:r>
            <w:r>
              <w:rPr>
                <w:sz w:val="12"/>
              </w:rPr>
              <w:t>4</w:t>
            </w:r>
            <w:r>
              <w:rPr>
                <w:position w:val="1"/>
                <w:sz w:val="18"/>
              </w:rPr>
              <w:t>, ∆T, ∆t, ∆ω-6, ∆ω-3</w:t>
            </w:r>
          </w:p>
        </w:tc>
      </w:tr>
      <w:tr>
        <w:trPr>
          <w:trHeight w:val="389" w:hRule="exact"/>
        </w:trPr>
        <w:tc>
          <w:tcPr>
            <w:tcW w:w="1359" w:type="dxa"/>
            <w:tcBorders>
              <w:top w:val="dotted" w:sz="4" w:space="0" w:color="000000"/>
              <w:left w:val="nil"/>
              <w:bottom w:val="dotted" w:sz="4" w:space="0" w:color="000000"/>
              <w:right w:val="single" w:sz="4" w:space="0" w:color="000000"/>
            </w:tcBorders>
          </w:tcPr>
          <w:p>
            <w:pPr>
              <w:pStyle w:val="TableParagraph"/>
              <w:spacing w:before="81"/>
              <w:ind w:left="86"/>
              <w:rPr>
                <w:sz w:val="18"/>
              </w:rPr>
            </w:pPr>
            <w:r>
              <w:rPr>
                <w:sz w:val="18"/>
              </w:rPr>
              <w:t>log(|∆Ω|)</w:t>
            </w:r>
          </w:p>
        </w:tc>
        <w:tc>
          <w:tcPr>
            <w:tcW w:w="7045" w:type="dxa"/>
            <w:tcBorders>
              <w:top w:val="dotted" w:sz="4" w:space="0" w:color="000000"/>
              <w:left w:val="single" w:sz="4" w:space="0" w:color="000000"/>
              <w:bottom w:val="dotted" w:sz="4" w:space="0" w:color="000000"/>
              <w:right w:val="nil"/>
            </w:tcBorders>
          </w:tcPr>
          <w:p>
            <w:pPr>
              <w:pStyle w:val="TableParagraph"/>
              <w:spacing w:before="81"/>
              <w:ind w:left="67"/>
              <w:rPr>
                <w:sz w:val="18"/>
              </w:rPr>
            </w:pPr>
            <w:r>
              <w:rPr>
                <w:position w:val="1"/>
                <w:sz w:val="18"/>
              </w:rPr>
              <w:t>log(|∆P(psi)|), log(|∆pH(72h)|), log(|∆CH</w:t>
            </w:r>
            <w:r>
              <w:rPr>
                <w:sz w:val="12"/>
              </w:rPr>
              <w:t>4</w:t>
            </w:r>
            <w:r>
              <w:rPr>
                <w:position w:val="1"/>
                <w:sz w:val="18"/>
              </w:rPr>
              <w:t>|), log(|∆T|), log(|∆t|)</w:t>
            </w:r>
          </w:p>
        </w:tc>
      </w:tr>
      <w:tr>
        <w:trPr>
          <w:trHeight w:val="394" w:hRule="exact"/>
        </w:trPr>
        <w:tc>
          <w:tcPr>
            <w:tcW w:w="1359" w:type="dxa"/>
            <w:tcBorders>
              <w:top w:val="dotted" w:sz="4" w:space="0" w:color="000000"/>
              <w:left w:val="nil"/>
              <w:bottom w:val="dotted" w:sz="4" w:space="0" w:color="000000"/>
              <w:right w:val="single" w:sz="4" w:space="0" w:color="000000"/>
            </w:tcBorders>
          </w:tcPr>
          <w:p>
            <w:pPr>
              <w:pStyle w:val="TableParagraph"/>
              <w:spacing w:before="77"/>
              <w:ind w:left="86"/>
              <w:rPr>
                <w:sz w:val="12"/>
              </w:rPr>
            </w:pPr>
            <w:r>
              <w:rPr>
                <w:position w:val="7"/>
                <w:sz w:val="12"/>
              </w:rPr>
              <w:t>i</w:t>
            </w:r>
            <w:r>
              <w:rPr>
                <w:position w:val="1"/>
                <w:sz w:val="18"/>
              </w:rPr>
              <w:t>V</w:t>
            </w:r>
            <w:r>
              <w:rPr>
                <w:sz w:val="12"/>
              </w:rPr>
              <w:t>k</w:t>
            </w:r>
          </w:p>
        </w:tc>
        <w:tc>
          <w:tcPr>
            <w:tcW w:w="7045" w:type="dxa"/>
            <w:tcBorders>
              <w:top w:val="dotted" w:sz="4" w:space="0" w:color="000000"/>
              <w:left w:val="single" w:sz="4" w:space="0" w:color="000000"/>
              <w:bottom w:val="dotted" w:sz="4" w:space="0" w:color="000000"/>
              <w:right w:val="nil"/>
            </w:tcBorders>
          </w:tcPr>
          <w:p>
            <w:pPr>
              <w:pStyle w:val="TableParagraph"/>
              <w:spacing w:before="77"/>
              <w:ind w:left="67"/>
              <w:rPr>
                <w:sz w:val="12"/>
              </w:rPr>
            </w:pPr>
            <w:r>
              <w:rPr>
                <w:position w:val="1"/>
                <w:sz w:val="18"/>
              </w:rPr>
              <w:t>(</w:t>
            </w:r>
            <w:r>
              <w:rPr>
                <w:position w:val="7"/>
                <w:sz w:val="12"/>
              </w:rPr>
              <w:t>i</w:t>
            </w:r>
            <w:r>
              <w:rPr>
                <w:position w:val="1"/>
                <w:sz w:val="18"/>
              </w:rPr>
              <w:t>V</w:t>
            </w:r>
            <w:r>
              <w:rPr>
                <w:sz w:val="12"/>
              </w:rPr>
              <w:t>1</w:t>
            </w:r>
            <w:r>
              <w:rPr>
                <w:position w:val="1"/>
                <w:sz w:val="18"/>
              </w:rPr>
              <w:t>, </w:t>
            </w:r>
            <w:r>
              <w:rPr>
                <w:position w:val="7"/>
                <w:sz w:val="12"/>
              </w:rPr>
              <w:t>i</w:t>
            </w:r>
            <w:r>
              <w:rPr>
                <w:position w:val="1"/>
                <w:sz w:val="18"/>
              </w:rPr>
              <w:t>V</w:t>
            </w:r>
            <w:r>
              <w:rPr>
                <w:sz w:val="12"/>
              </w:rPr>
              <w:t>2</w:t>
            </w:r>
            <w:r>
              <w:rPr>
                <w:position w:val="1"/>
                <w:sz w:val="18"/>
              </w:rPr>
              <w:t>, </w:t>
            </w:r>
            <w:r>
              <w:rPr>
                <w:position w:val="7"/>
                <w:sz w:val="12"/>
              </w:rPr>
              <w:t>i</w:t>
            </w:r>
            <w:r>
              <w:rPr>
                <w:position w:val="1"/>
                <w:sz w:val="18"/>
              </w:rPr>
              <w:t>V</w:t>
            </w:r>
            <w:r>
              <w:rPr>
                <w:sz w:val="12"/>
              </w:rPr>
              <w:t>3</w:t>
            </w:r>
            <w:r>
              <w:rPr>
                <w:position w:val="1"/>
                <w:sz w:val="18"/>
              </w:rPr>
              <w:t>, </w:t>
            </w:r>
            <w:r>
              <w:rPr>
                <w:position w:val="7"/>
                <w:sz w:val="12"/>
              </w:rPr>
              <w:t>i</w:t>
            </w:r>
            <w:r>
              <w:rPr>
                <w:position w:val="1"/>
                <w:sz w:val="18"/>
              </w:rPr>
              <w:t>V</w:t>
            </w:r>
            <w:r>
              <w:rPr>
                <w:sz w:val="12"/>
              </w:rPr>
              <w:t>4</w:t>
            </w:r>
            <w:r>
              <w:rPr>
                <w:position w:val="1"/>
                <w:sz w:val="18"/>
              </w:rPr>
              <w:t>, </w:t>
            </w:r>
            <w:r>
              <w:rPr>
                <w:position w:val="7"/>
                <w:sz w:val="12"/>
              </w:rPr>
              <w:t>i</w:t>
            </w:r>
            <w:r>
              <w:rPr>
                <w:position w:val="1"/>
                <w:sz w:val="18"/>
              </w:rPr>
              <w:t>V</w:t>
            </w:r>
            <w:r>
              <w:rPr>
                <w:sz w:val="12"/>
              </w:rPr>
              <w:t>5</w:t>
            </w:r>
            <w:r>
              <w:rPr>
                <w:position w:val="1"/>
                <w:sz w:val="18"/>
              </w:rPr>
              <w:t>, </w:t>
            </w:r>
            <w:r>
              <w:rPr>
                <w:position w:val="7"/>
                <w:sz w:val="12"/>
              </w:rPr>
              <w:t>i</w:t>
            </w:r>
            <w:r>
              <w:rPr>
                <w:position w:val="1"/>
                <w:sz w:val="18"/>
              </w:rPr>
              <w:t>V</w:t>
            </w:r>
            <w:r>
              <w:rPr>
                <w:sz w:val="12"/>
              </w:rPr>
              <w:t>6</w:t>
            </w:r>
            <w:r>
              <w:rPr>
                <w:position w:val="1"/>
                <w:sz w:val="18"/>
              </w:rPr>
              <w:t>)</w:t>
            </w:r>
            <w:r>
              <w:rPr>
                <w:sz w:val="12"/>
              </w:rPr>
              <w:t>new</w:t>
            </w:r>
            <w:r>
              <w:rPr>
                <w:position w:val="1"/>
                <w:sz w:val="18"/>
              </w:rPr>
              <w:t>, (</w:t>
            </w:r>
            <w:r>
              <w:rPr>
                <w:position w:val="7"/>
                <w:sz w:val="12"/>
              </w:rPr>
              <w:t>i</w:t>
            </w:r>
            <w:r>
              <w:rPr>
                <w:position w:val="1"/>
                <w:sz w:val="18"/>
              </w:rPr>
              <w:t>V</w:t>
            </w:r>
            <w:r>
              <w:rPr>
                <w:sz w:val="12"/>
              </w:rPr>
              <w:t>1</w:t>
            </w:r>
            <w:r>
              <w:rPr>
                <w:position w:val="1"/>
                <w:sz w:val="18"/>
              </w:rPr>
              <w:t>, </w:t>
            </w:r>
            <w:r>
              <w:rPr>
                <w:position w:val="7"/>
                <w:sz w:val="12"/>
              </w:rPr>
              <w:t>i</w:t>
            </w:r>
            <w:r>
              <w:rPr>
                <w:position w:val="1"/>
                <w:sz w:val="18"/>
              </w:rPr>
              <w:t>V</w:t>
            </w:r>
            <w:r>
              <w:rPr>
                <w:sz w:val="12"/>
              </w:rPr>
              <w:t>2</w:t>
            </w:r>
            <w:r>
              <w:rPr>
                <w:position w:val="1"/>
                <w:sz w:val="18"/>
              </w:rPr>
              <w:t>, </w:t>
            </w:r>
            <w:r>
              <w:rPr>
                <w:position w:val="7"/>
                <w:sz w:val="12"/>
              </w:rPr>
              <w:t>i</w:t>
            </w:r>
            <w:r>
              <w:rPr>
                <w:position w:val="1"/>
                <w:sz w:val="18"/>
              </w:rPr>
              <w:t>V</w:t>
            </w:r>
            <w:r>
              <w:rPr>
                <w:sz w:val="12"/>
              </w:rPr>
              <w:t>3</w:t>
            </w:r>
            <w:r>
              <w:rPr>
                <w:position w:val="1"/>
                <w:sz w:val="18"/>
              </w:rPr>
              <w:t>, </w:t>
            </w:r>
            <w:r>
              <w:rPr>
                <w:position w:val="7"/>
                <w:sz w:val="12"/>
              </w:rPr>
              <w:t>i</w:t>
            </w:r>
            <w:r>
              <w:rPr>
                <w:position w:val="1"/>
                <w:sz w:val="18"/>
              </w:rPr>
              <w:t>V</w:t>
            </w:r>
            <w:r>
              <w:rPr>
                <w:sz w:val="12"/>
              </w:rPr>
              <w:t>4</w:t>
            </w:r>
            <w:r>
              <w:rPr>
                <w:position w:val="1"/>
                <w:sz w:val="18"/>
              </w:rPr>
              <w:t>, </w:t>
            </w:r>
            <w:r>
              <w:rPr>
                <w:position w:val="7"/>
                <w:sz w:val="12"/>
              </w:rPr>
              <w:t>i</w:t>
            </w:r>
            <w:r>
              <w:rPr>
                <w:position w:val="1"/>
                <w:sz w:val="18"/>
              </w:rPr>
              <w:t>V</w:t>
            </w:r>
            <w:r>
              <w:rPr>
                <w:sz w:val="12"/>
              </w:rPr>
              <w:t>5</w:t>
            </w:r>
            <w:r>
              <w:rPr>
                <w:position w:val="1"/>
                <w:sz w:val="18"/>
              </w:rPr>
              <w:t>,  </w:t>
            </w:r>
            <w:r>
              <w:rPr>
                <w:position w:val="7"/>
                <w:sz w:val="12"/>
              </w:rPr>
              <w:t>i</w:t>
            </w:r>
            <w:r>
              <w:rPr>
                <w:position w:val="1"/>
                <w:sz w:val="18"/>
              </w:rPr>
              <w:t>V</w:t>
            </w:r>
            <w:r>
              <w:rPr>
                <w:sz w:val="12"/>
              </w:rPr>
              <w:t>6</w:t>
            </w:r>
            <w:r>
              <w:rPr>
                <w:position w:val="1"/>
                <w:sz w:val="18"/>
              </w:rPr>
              <w:t>)</w:t>
            </w:r>
            <w:r>
              <w:rPr>
                <w:sz w:val="12"/>
              </w:rPr>
              <w:t>ref</w:t>
            </w:r>
          </w:p>
        </w:tc>
      </w:tr>
      <w:tr>
        <w:trPr>
          <w:trHeight w:val="389" w:hRule="exact"/>
        </w:trPr>
        <w:tc>
          <w:tcPr>
            <w:tcW w:w="1359" w:type="dxa"/>
            <w:tcBorders>
              <w:top w:val="dotted" w:sz="4" w:space="0" w:color="000000"/>
              <w:left w:val="nil"/>
              <w:bottom w:val="dotted" w:sz="4" w:space="0" w:color="000000"/>
              <w:right w:val="single" w:sz="4" w:space="0" w:color="000000"/>
            </w:tcBorders>
          </w:tcPr>
          <w:p>
            <w:pPr>
              <w:pStyle w:val="TableParagraph"/>
              <w:spacing w:before="77"/>
              <w:ind w:left="86"/>
              <w:rPr>
                <w:sz w:val="12"/>
              </w:rPr>
            </w:pPr>
            <w:r>
              <w:rPr>
                <w:position w:val="1"/>
                <w:sz w:val="18"/>
              </w:rPr>
              <w:t>∆</w:t>
            </w:r>
            <w:r>
              <w:rPr>
                <w:position w:val="7"/>
                <w:sz w:val="12"/>
              </w:rPr>
              <w:t>i</w:t>
            </w:r>
            <w:r>
              <w:rPr>
                <w:position w:val="1"/>
                <w:sz w:val="18"/>
              </w:rPr>
              <w:t>V</w:t>
            </w:r>
            <w:r>
              <w:rPr>
                <w:sz w:val="12"/>
              </w:rPr>
              <w:t>k</w:t>
            </w:r>
          </w:p>
        </w:tc>
        <w:tc>
          <w:tcPr>
            <w:tcW w:w="7045" w:type="dxa"/>
            <w:tcBorders>
              <w:top w:val="dotted" w:sz="4" w:space="0" w:color="000000"/>
              <w:left w:val="single" w:sz="4" w:space="0" w:color="000000"/>
              <w:bottom w:val="dotted" w:sz="4" w:space="0" w:color="000000"/>
              <w:right w:val="nil"/>
            </w:tcBorders>
          </w:tcPr>
          <w:p>
            <w:pPr>
              <w:pStyle w:val="TableParagraph"/>
              <w:spacing w:before="77"/>
              <w:ind w:left="67"/>
              <w:rPr>
                <w:sz w:val="12"/>
              </w:rPr>
            </w:pPr>
            <w:r>
              <w:rPr>
                <w:position w:val="1"/>
                <w:sz w:val="18"/>
              </w:rPr>
              <w:t>∆</w:t>
            </w:r>
            <w:r>
              <w:rPr>
                <w:position w:val="7"/>
                <w:sz w:val="12"/>
              </w:rPr>
              <w:t>i</w:t>
            </w:r>
            <w:r>
              <w:rPr>
                <w:position w:val="1"/>
                <w:sz w:val="18"/>
              </w:rPr>
              <w:t>V</w:t>
            </w:r>
            <w:r>
              <w:rPr>
                <w:sz w:val="12"/>
              </w:rPr>
              <w:t>1</w:t>
            </w:r>
            <w:r>
              <w:rPr>
                <w:position w:val="1"/>
                <w:sz w:val="18"/>
              </w:rPr>
              <w:t>, ∆</w:t>
            </w:r>
            <w:r>
              <w:rPr>
                <w:position w:val="7"/>
                <w:sz w:val="12"/>
              </w:rPr>
              <w:t>i</w:t>
            </w:r>
            <w:r>
              <w:rPr>
                <w:position w:val="1"/>
                <w:sz w:val="18"/>
              </w:rPr>
              <w:t>V</w:t>
            </w:r>
            <w:r>
              <w:rPr>
                <w:sz w:val="12"/>
              </w:rPr>
              <w:t>2</w:t>
            </w:r>
            <w:r>
              <w:rPr>
                <w:position w:val="1"/>
                <w:sz w:val="18"/>
              </w:rPr>
              <w:t>, ∆</w:t>
            </w:r>
            <w:r>
              <w:rPr>
                <w:position w:val="7"/>
                <w:sz w:val="12"/>
              </w:rPr>
              <w:t>i</w:t>
            </w:r>
            <w:r>
              <w:rPr>
                <w:position w:val="1"/>
                <w:sz w:val="18"/>
              </w:rPr>
              <w:t>V</w:t>
            </w:r>
            <w:r>
              <w:rPr>
                <w:sz w:val="12"/>
              </w:rPr>
              <w:t>3</w:t>
            </w:r>
            <w:r>
              <w:rPr>
                <w:position w:val="1"/>
                <w:sz w:val="18"/>
              </w:rPr>
              <w:t>, ∆</w:t>
            </w:r>
            <w:r>
              <w:rPr>
                <w:position w:val="7"/>
                <w:sz w:val="12"/>
              </w:rPr>
              <w:t>i</w:t>
            </w:r>
            <w:r>
              <w:rPr>
                <w:position w:val="1"/>
                <w:sz w:val="18"/>
              </w:rPr>
              <w:t>V</w:t>
            </w:r>
            <w:r>
              <w:rPr>
                <w:sz w:val="12"/>
              </w:rPr>
              <w:t>4</w:t>
            </w:r>
            <w:r>
              <w:rPr>
                <w:position w:val="1"/>
                <w:sz w:val="18"/>
              </w:rPr>
              <w:t>, ∆</w:t>
            </w:r>
            <w:r>
              <w:rPr>
                <w:position w:val="7"/>
                <w:sz w:val="12"/>
              </w:rPr>
              <w:t>i</w:t>
            </w:r>
            <w:r>
              <w:rPr>
                <w:position w:val="1"/>
                <w:sz w:val="18"/>
              </w:rPr>
              <w:t>V</w:t>
            </w:r>
            <w:r>
              <w:rPr>
                <w:sz w:val="12"/>
              </w:rPr>
              <w:t>5</w:t>
            </w:r>
            <w:r>
              <w:rPr>
                <w:position w:val="1"/>
                <w:sz w:val="18"/>
              </w:rPr>
              <w:t>,  ∆</w:t>
            </w:r>
            <w:r>
              <w:rPr>
                <w:position w:val="7"/>
                <w:sz w:val="12"/>
              </w:rPr>
              <w:t>i</w:t>
            </w:r>
            <w:r>
              <w:rPr>
                <w:position w:val="1"/>
                <w:sz w:val="18"/>
              </w:rPr>
              <w:t>V</w:t>
            </w:r>
            <w:r>
              <w:rPr>
                <w:sz w:val="12"/>
              </w:rPr>
              <w:t>6</w:t>
            </w:r>
          </w:p>
        </w:tc>
      </w:tr>
      <w:tr>
        <w:trPr>
          <w:trHeight w:val="2348" w:hRule="exact"/>
        </w:trPr>
        <w:tc>
          <w:tcPr>
            <w:tcW w:w="1359" w:type="dxa"/>
            <w:tcBorders>
              <w:top w:val="dotted" w:sz="4" w:space="0" w:color="000000"/>
              <w:left w:val="nil"/>
              <w:bottom w:val="dotted" w:sz="4" w:space="0" w:color="000000"/>
              <w:right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9"/>
              </w:rPr>
            </w:pPr>
          </w:p>
          <w:p>
            <w:pPr>
              <w:pStyle w:val="TableParagraph"/>
              <w:spacing w:before="1"/>
              <w:ind w:left="86"/>
              <w:rPr>
                <w:sz w:val="18"/>
              </w:rPr>
            </w:pPr>
            <w:r>
              <w:rPr>
                <w:position w:val="1"/>
                <w:sz w:val="18"/>
              </w:rPr>
              <w:t>∆∆</w:t>
            </w:r>
            <w:r>
              <w:rPr>
                <w:position w:val="7"/>
                <w:sz w:val="12"/>
              </w:rPr>
              <w:t>i</w:t>
            </w:r>
            <w:r>
              <w:rPr>
                <w:position w:val="1"/>
                <w:sz w:val="18"/>
              </w:rPr>
              <w:t>V</w:t>
            </w:r>
            <w:r>
              <w:rPr>
                <w:sz w:val="12"/>
              </w:rPr>
              <w:t>k</w:t>
            </w:r>
            <w:r>
              <w:rPr>
                <w:position w:val="1"/>
                <w:sz w:val="18"/>
              </w:rPr>
              <w:t>(c</w:t>
            </w:r>
            <w:r>
              <w:rPr>
                <w:sz w:val="12"/>
              </w:rPr>
              <w:t>j</w:t>
            </w:r>
            <w:r>
              <w:rPr>
                <w:position w:val="1"/>
                <w:sz w:val="18"/>
              </w:rPr>
              <w:t>)</w:t>
            </w:r>
          </w:p>
        </w:tc>
        <w:tc>
          <w:tcPr>
            <w:tcW w:w="7045" w:type="dxa"/>
            <w:tcBorders>
              <w:top w:val="dotted" w:sz="4" w:space="0" w:color="000000"/>
              <w:left w:val="single" w:sz="4" w:space="0" w:color="000000"/>
              <w:bottom w:val="dotted" w:sz="4" w:space="0" w:color="000000"/>
              <w:right w:val="nil"/>
            </w:tcBorders>
          </w:tcPr>
          <w:p>
            <w:pPr>
              <w:pStyle w:val="TableParagraph"/>
              <w:spacing w:before="77"/>
              <w:ind w:left="67"/>
              <w:rPr>
                <w:sz w:val="18"/>
              </w:rPr>
            </w:pPr>
            <w:r>
              <w:rPr>
                <w:position w:val="1"/>
                <w:sz w:val="18"/>
              </w:rPr>
              <w:t>∆∆</w:t>
            </w:r>
            <w:r>
              <w:rPr>
                <w:position w:val="7"/>
                <w:sz w:val="12"/>
              </w:rPr>
              <w:t>i</w:t>
            </w:r>
            <w:r>
              <w:rPr>
                <w:position w:val="1"/>
                <w:sz w:val="18"/>
              </w:rPr>
              <w:t>V</w:t>
            </w:r>
            <w:r>
              <w:rPr>
                <w:sz w:val="12"/>
              </w:rPr>
              <w:t>1</w:t>
            </w:r>
            <w:r>
              <w:rPr>
                <w:position w:val="1"/>
                <w:sz w:val="18"/>
              </w:rPr>
              <w:t>(c</w:t>
            </w:r>
            <w:r>
              <w:rPr>
                <w:sz w:val="12"/>
              </w:rPr>
              <w:t>1</w:t>
            </w:r>
            <w:r>
              <w:rPr>
                <w:position w:val="1"/>
                <w:sz w:val="18"/>
              </w:rPr>
              <w:t>), ∆∆</w:t>
            </w:r>
            <w:r>
              <w:rPr>
                <w:position w:val="7"/>
                <w:sz w:val="12"/>
              </w:rPr>
              <w:t>i</w:t>
            </w:r>
            <w:r>
              <w:rPr>
                <w:position w:val="1"/>
                <w:sz w:val="18"/>
              </w:rPr>
              <w:t>V</w:t>
            </w:r>
            <w:r>
              <w:rPr>
                <w:sz w:val="12"/>
              </w:rPr>
              <w:t>1</w:t>
            </w:r>
            <w:r>
              <w:rPr>
                <w:position w:val="1"/>
                <w:sz w:val="18"/>
              </w:rPr>
              <w:t>(c</w:t>
            </w:r>
            <w:r>
              <w:rPr>
                <w:sz w:val="12"/>
              </w:rPr>
              <w:t>2</w:t>
            </w:r>
            <w:r>
              <w:rPr>
                <w:position w:val="1"/>
                <w:sz w:val="18"/>
              </w:rPr>
              <w:t>), ∆∆</w:t>
            </w:r>
            <w:r>
              <w:rPr>
                <w:position w:val="7"/>
                <w:sz w:val="12"/>
              </w:rPr>
              <w:t>i</w:t>
            </w:r>
            <w:r>
              <w:rPr>
                <w:position w:val="1"/>
                <w:sz w:val="18"/>
              </w:rPr>
              <w:t>V</w:t>
            </w:r>
            <w:r>
              <w:rPr>
                <w:sz w:val="12"/>
              </w:rPr>
              <w:t>1</w:t>
            </w:r>
            <w:r>
              <w:rPr>
                <w:position w:val="1"/>
                <w:sz w:val="18"/>
              </w:rPr>
              <w:t>(c</w:t>
            </w:r>
            <w:r>
              <w:rPr>
                <w:sz w:val="12"/>
              </w:rPr>
              <w:t>3</w:t>
            </w:r>
            <w:r>
              <w:rPr>
                <w:position w:val="1"/>
                <w:sz w:val="18"/>
              </w:rPr>
              <w:t>), ∆∆</w:t>
            </w:r>
            <w:r>
              <w:rPr>
                <w:position w:val="7"/>
                <w:sz w:val="12"/>
              </w:rPr>
              <w:t>i</w:t>
            </w:r>
            <w:r>
              <w:rPr>
                <w:position w:val="1"/>
                <w:sz w:val="18"/>
              </w:rPr>
              <w:t>V</w:t>
            </w:r>
            <w:r>
              <w:rPr>
                <w:sz w:val="12"/>
              </w:rPr>
              <w:t>1</w:t>
            </w:r>
            <w:r>
              <w:rPr>
                <w:position w:val="1"/>
                <w:sz w:val="18"/>
              </w:rPr>
              <w:t>(c</w:t>
            </w:r>
            <w:r>
              <w:rPr>
                <w:sz w:val="12"/>
              </w:rPr>
              <w:t>4</w:t>
            </w:r>
            <w:r>
              <w:rPr>
                <w:position w:val="1"/>
                <w:sz w:val="18"/>
              </w:rPr>
              <w:t>), ∆∆</w:t>
            </w:r>
            <w:r>
              <w:rPr>
                <w:position w:val="7"/>
                <w:sz w:val="12"/>
              </w:rPr>
              <w:t>i</w:t>
            </w:r>
            <w:r>
              <w:rPr>
                <w:position w:val="1"/>
                <w:sz w:val="18"/>
              </w:rPr>
              <w:t>V</w:t>
            </w:r>
            <w:r>
              <w:rPr>
                <w:sz w:val="12"/>
              </w:rPr>
              <w:t>1</w:t>
            </w:r>
            <w:r>
              <w:rPr>
                <w:position w:val="1"/>
                <w:sz w:val="18"/>
              </w:rPr>
              <w:t>(c</w:t>
            </w:r>
            <w:r>
              <w:rPr>
                <w:sz w:val="12"/>
              </w:rPr>
              <w:t>5</w:t>
            </w:r>
            <w:r>
              <w:rPr>
                <w:position w:val="1"/>
                <w:sz w:val="18"/>
              </w:rPr>
              <w:t>), ∆∆</w:t>
            </w:r>
            <w:r>
              <w:rPr>
                <w:position w:val="7"/>
                <w:sz w:val="12"/>
              </w:rPr>
              <w:t>i</w:t>
            </w:r>
            <w:r>
              <w:rPr>
                <w:position w:val="1"/>
                <w:sz w:val="18"/>
              </w:rPr>
              <w:t>V</w:t>
            </w:r>
            <w:r>
              <w:rPr>
                <w:sz w:val="12"/>
              </w:rPr>
              <w:t>1</w:t>
            </w:r>
            <w:r>
              <w:rPr>
                <w:position w:val="1"/>
                <w:sz w:val="18"/>
              </w:rPr>
              <w:t>(c</w:t>
            </w:r>
            <w:r>
              <w:rPr>
                <w:sz w:val="12"/>
              </w:rPr>
              <w:t>6</w:t>
            </w:r>
            <w:r>
              <w:rPr>
                <w:position w:val="1"/>
                <w:sz w:val="18"/>
              </w:rPr>
              <w:t>);</w:t>
            </w:r>
          </w:p>
          <w:p>
            <w:pPr>
              <w:pStyle w:val="TableParagraph"/>
              <w:spacing w:before="10"/>
              <w:rPr>
                <w:sz w:val="15"/>
              </w:rPr>
            </w:pPr>
          </w:p>
          <w:p>
            <w:pPr>
              <w:pStyle w:val="TableParagraph"/>
              <w:ind w:left="67"/>
              <w:rPr>
                <w:sz w:val="18"/>
              </w:rPr>
            </w:pPr>
            <w:r>
              <w:rPr>
                <w:position w:val="1"/>
                <w:sz w:val="18"/>
              </w:rPr>
              <w:t>∆∆</w:t>
            </w:r>
            <w:r>
              <w:rPr>
                <w:position w:val="7"/>
                <w:sz w:val="12"/>
              </w:rPr>
              <w:t>i</w:t>
            </w:r>
            <w:r>
              <w:rPr>
                <w:position w:val="1"/>
                <w:sz w:val="18"/>
              </w:rPr>
              <w:t>V</w:t>
            </w:r>
            <w:r>
              <w:rPr>
                <w:sz w:val="12"/>
              </w:rPr>
              <w:t>2</w:t>
            </w:r>
            <w:r>
              <w:rPr>
                <w:position w:val="1"/>
                <w:sz w:val="18"/>
              </w:rPr>
              <w:t>(c</w:t>
            </w:r>
            <w:r>
              <w:rPr>
                <w:sz w:val="12"/>
              </w:rPr>
              <w:t>1</w:t>
            </w:r>
            <w:r>
              <w:rPr>
                <w:position w:val="1"/>
                <w:sz w:val="18"/>
              </w:rPr>
              <w:t>), ∆∆</w:t>
            </w:r>
            <w:r>
              <w:rPr>
                <w:position w:val="7"/>
                <w:sz w:val="12"/>
              </w:rPr>
              <w:t>i</w:t>
            </w:r>
            <w:r>
              <w:rPr>
                <w:position w:val="1"/>
                <w:sz w:val="18"/>
              </w:rPr>
              <w:t>V</w:t>
            </w:r>
            <w:r>
              <w:rPr>
                <w:sz w:val="12"/>
              </w:rPr>
              <w:t>2</w:t>
            </w:r>
            <w:r>
              <w:rPr>
                <w:position w:val="1"/>
                <w:sz w:val="18"/>
              </w:rPr>
              <w:t>(c</w:t>
            </w:r>
            <w:r>
              <w:rPr>
                <w:sz w:val="12"/>
              </w:rPr>
              <w:t>2</w:t>
            </w:r>
            <w:r>
              <w:rPr>
                <w:position w:val="1"/>
                <w:sz w:val="18"/>
              </w:rPr>
              <w:t>), ∆∆</w:t>
            </w:r>
            <w:r>
              <w:rPr>
                <w:position w:val="7"/>
                <w:sz w:val="12"/>
              </w:rPr>
              <w:t>i</w:t>
            </w:r>
            <w:r>
              <w:rPr>
                <w:position w:val="1"/>
                <w:sz w:val="18"/>
              </w:rPr>
              <w:t>V</w:t>
            </w:r>
            <w:r>
              <w:rPr>
                <w:sz w:val="12"/>
              </w:rPr>
              <w:t>2</w:t>
            </w:r>
            <w:r>
              <w:rPr>
                <w:position w:val="1"/>
                <w:sz w:val="18"/>
              </w:rPr>
              <w:t>(c</w:t>
            </w:r>
            <w:r>
              <w:rPr>
                <w:sz w:val="12"/>
              </w:rPr>
              <w:t>3</w:t>
            </w:r>
            <w:r>
              <w:rPr>
                <w:position w:val="1"/>
                <w:sz w:val="18"/>
              </w:rPr>
              <w:t>), ∆∆</w:t>
            </w:r>
            <w:r>
              <w:rPr>
                <w:position w:val="7"/>
                <w:sz w:val="12"/>
              </w:rPr>
              <w:t>i</w:t>
            </w:r>
            <w:r>
              <w:rPr>
                <w:position w:val="1"/>
                <w:sz w:val="18"/>
              </w:rPr>
              <w:t>V</w:t>
            </w:r>
            <w:r>
              <w:rPr>
                <w:sz w:val="12"/>
              </w:rPr>
              <w:t>2</w:t>
            </w:r>
            <w:r>
              <w:rPr>
                <w:position w:val="1"/>
                <w:sz w:val="18"/>
              </w:rPr>
              <w:t>(c</w:t>
            </w:r>
            <w:r>
              <w:rPr>
                <w:sz w:val="12"/>
              </w:rPr>
              <w:t>4</w:t>
            </w:r>
            <w:r>
              <w:rPr>
                <w:position w:val="1"/>
                <w:sz w:val="18"/>
              </w:rPr>
              <w:t>), ∆∆</w:t>
            </w:r>
            <w:r>
              <w:rPr>
                <w:position w:val="7"/>
                <w:sz w:val="12"/>
              </w:rPr>
              <w:t>i</w:t>
            </w:r>
            <w:r>
              <w:rPr>
                <w:position w:val="1"/>
                <w:sz w:val="18"/>
              </w:rPr>
              <w:t>V</w:t>
            </w:r>
            <w:r>
              <w:rPr>
                <w:sz w:val="12"/>
              </w:rPr>
              <w:t>2</w:t>
            </w:r>
            <w:r>
              <w:rPr>
                <w:position w:val="1"/>
                <w:sz w:val="18"/>
              </w:rPr>
              <w:t>(c</w:t>
            </w:r>
            <w:r>
              <w:rPr>
                <w:sz w:val="12"/>
              </w:rPr>
              <w:t>5</w:t>
            </w:r>
            <w:r>
              <w:rPr>
                <w:position w:val="1"/>
                <w:sz w:val="18"/>
              </w:rPr>
              <w:t>), ∆∆</w:t>
            </w:r>
            <w:r>
              <w:rPr>
                <w:position w:val="7"/>
                <w:sz w:val="12"/>
              </w:rPr>
              <w:t>i</w:t>
            </w:r>
            <w:r>
              <w:rPr>
                <w:position w:val="1"/>
                <w:sz w:val="18"/>
              </w:rPr>
              <w:t>V</w:t>
            </w:r>
            <w:r>
              <w:rPr>
                <w:sz w:val="12"/>
              </w:rPr>
              <w:t>2</w:t>
            </w:r>
            <w:r>
              <w:rPr>
                <w:position w:val="1"/>
                <w:sz w:val="18"/>
              </w:rPr>
              <w:t>(c</w:t>
            </w:r>
            <w:r>
              <w:rPr>
                <w:sz w:val="12"/>
              </w:rPr>
              <w:t>6</w:t>
            </w:r>
            <w:r>
              <w:rPr>
                <w:position w:val="1"/>
                <w:sz w:val="18"/>
              </w:rPr>
              <w:t>);</w:t>
            </w:r>
          </w:p>
          <w:p>
            <w:pPr>
              <w:pStyle w:val="TableParagraph"/>
              <w:spacing w:before="5"/>
              <w:rPr>
                <w:sz w:val="15"/>
              </w:rPr>
            </w:pPr>
          </w:p>
          <w:p>
            <w:pPr>
              <w:pStyle w:val="TableParagraph"/>
              <w:ind w:left="67"/>
              <w:rPr>
                <w:sz w:val="18"/>
              </w:rPr>
            </w:pPr>
            <w:r>
              <w:rPr>
                <w:position w:val="1"/>
                <w:sz w:val="18"/>
              </w:rPr>
              <w:t>∆∆</w:t>
            </w:r>
            <w:r>
              <w:rPr>
                <w:position w:val="7"/>
                <w:sz w:val="12"/>
              </w:rPr>
              <w:t>i</w:t>
            </w:r>
            <w:r>
              <w:rPr>
                <w:position w:val="1"/>
                <w:sz w:val="18"/>
              </w:rPr>
              <w:t>V</w:t>
            </w:r>
            <w:r>
              <w:rPr>
                <w:sz w:val="12"/>
              </w:rPr>
              <w:t>3</w:t>
            </w:r>
            <w:r>
              <w:rPr>
                <w:position w:val="1"/>
                <w:sz w:val="18"/>
              </w:rPr>
              <w:t>(c</w:t>
            </w:r>
            <w:r>
              <w:rPr>
                <w:sz w:val="12"/>
              </w:rPr>
              <w:t>1</w:t>
            </w:r>
            <w:r>
              <w:rPr>
                <w:position w:val="1"/>
                <w:sz w:val="18"/>
              </w:rPr>
              <w:t>), ∆∆</w:t>
            </w:r>
            <w:r>
              <w:rPr>
                <w:position w:val="7"/>
                <w:sz w:val="12"/>
              </w:rPr>
              <w:t>i</w:t>
            </w:r>
            <w:r>
              <w:rPr>
                <w:position w:val="1"/>
                <w:sz w:val="18"/>
              </w:rPr>
              <w:t>V</w:t>
            </w:r>
            <w:r>
              <w:rPr>
                <w:sz w:val="12"/>
              </w:rPr>
              <w:t>3</w:t>
            </w:r>
            <w:r>
              <w:rPr>
                <w:position w:val="1"/>
                <w:sz w:val="18"/>
              </w:rPr>
              <w:t>(c</w:t>
            </w:r>
            <w:r>
              <w:rPr>
                <w:sz w:val="12"/>
              </w:rPr>
              <w:t>2</w:t>
            </w:r>
            <w:r>
              <w:rPr>
                <w:position w:val="1"/>
                <w:sz w:val="18"/>
              </w:rPr>
              <w:t>), ∆∆</w:t>
            </w:r>
            <w:r>
              <w:rPr>
                <w:position w:val="7"/>
                <w:sz w:val="12"/>
              </w:rPr>
              <w:t>i</w:t>
            </w:r>
            <w:r>
              <w:rPr>
                <w:position w:val="1"/>
                <w:sz w:val="18"/>
              </w:rPr>
              <w:t>V</w:t>
            </w:r>
            <w:r>
              <w:rPr>
                <w:sz w:val="12"/>
              </w:rPr>
              <w:t>3</w:t>
            </w:r>
            <w:r>
              <w:rPr>
                <w:position w:val="1"/>
                <w:sz w:val="18"/>
              </w:rPr>
              <w:t>(c</w:t>
            </w:r>
            <w:r>
              <w:rPr>
                <w:sz w:val="12"/>
              </w:rPr>
              <w:t>3</w:t>
            </w:r>
            <w:r>
              <w:rPr>
                <w:position w:val="1"/>
                <w:sz w:val="18"/>
              </w:rPr>
              <w:t>), ∆∆</w:t>
            </w:r>
            <w:r>
              <w:rPr>
                <w:position w:val="7"/>
                <w:sz w:val="12"/>
              </w:rPr>
              <w:t>i</w:t>
            </w:r>
            <w:r>
              <w:rPr>
                <w:position w:val="1"/>
                <w:sz w:val="18"/>
              </w:rPr>
              <w:t>V</w:t>
            </w:r>
            <w:r>
              <w:rPr>
                <w:sz w:val="12"/>
              </w:rPr>
              <w:t>3</w:t>
            </w:r>
            <w:r>
              <w:rPr>
                <w:position w:val="1"/>
                <w:sz w:val="18"/>
              </w:rPr>
              <w:t>(c</w:t>
            </w:r>
            <w:r>
              <w:rPr>
                <w:sz w:val="12"/>
              </w:rPr>
              <w:t>4</w:t>
            </w:r>
            <w:r>
              <w:rPr>
                <w:position w:val="1"/>
                <w:sz w:val="18"/>
              </w:rPr>
              <w:t>), ∆∆</w:t>
            </w:r>
            <w:r>
              <w:rPr>
                <w:position w:val="7"/>
                <w:sz w:val="12"/>
              </w:rPr>
              <w:t>i</w:t>
            </w:r>
            <w:r>
              <w:rPr>
                <w:position w:val="1"/>
                <w:sz w:val="18"/>
              </w:rPr>
              <w:t>V</w:t>
            </w:r>
            <w:r>
              <w:rPr>
                <w:sz w:val="12"/>
              </w:rPr>
              <w:t>3</w:t>
            </w:r>
            <w:r>
              <w:rPr>
                <w:position w:val="1"/>
                <w:sz w:val="18"/>
              </w:rPr>
              <w:t>(c</w:t>
            </w:r>
            <w:r>
              <w:rPr>
                <w:sz w:val="12"/>
              </w:rPr>
              <w:t>5</w:t>
            </w:r>
            <w:r>
              <w:rPr>
                <w:position w:val="1"/>
                <w:sz w:val="18"/>
              </w:rPr>
              <w:t>), ∆∆</w:t>
            </w:r>
            <w:r>
              <w:rPr>
                <w:position w:val="7"/>
                <w:sz w:val="12"/>
              </w:rPr>
              <w:t>i</w:t>
            </w:r>
            <w:r>
              <w:rPr>
                <w:position w:val="1"/>
                <w:sz w:val="18"/>
              </w:rPr>
              <w:t>V</w:t>
            </w:r>
            <w:r>
              <w:rPr>
                <w:sz w:val="12"/>
              </w:rPr>
              <w:t>3</w:t>
            </w:r>
            <w:r>
              <w:rPr>
                <w:position w:val="1"/>
                <w:sz w:val="18"/>
              </w:rPr>
              <w:t>(c</w:t>
            </w:r>
            <w:r>
              <w:rPr>
                <w:sz w:val="12"/>
              </w:rPr>
              <w:t>6</w:t>
            </w:r>
            <w:r>
              <w:rPr>
                <w:position w:val="1"/>
                <w:sz w:val="18"/>
              </w:rPr>
              <w:t>);</w:t>
            </w:r>
          </w:p>
          <w:p>
            <w:pPr>
              <w:pStyle w:val="TableParagraph"/>
              <w:spacing w:before="10"/>
              <w:rPr>
                <w:sz w:val="15"/>
              </w:rPr>
            </w:pPr>
          </w:p>
          <w:p>
            <w:pPr>
              <w:pStyle w:val="TableParagraph"/>
              <w:ind w:left="67"/>
              <w:rPr>
                <w:sz w:val="18"/>
              </w:rPr>
            </w:pPr>
            <w:r>
              <w:rPr>
                <w:position w:val="1"/>
                <w:sz w:val="18"/>
              </w:rPr>
              <w:t>∆∆</w:t>
            </w:r>
            <w:r>
              <w:rPr>
                <w:position w:val="7"/>
                <w:sz w:val="12"/>
              </w:rPr>
              <w:t>i</w:t>
            </w:r>
            <w:r>
              <w:rPr>
                <w:position w:val="1"/>
                <w:sz w:val="18"/>
              </w:rPr>
              <w:t>V</w:t>
            </w:r>
            <w:r>
              <w:rPr>
                <w:sz w:val="12"/>
              </w:rPr>
              <w:t>4</w:t>
            </w:r>
            <w:r>
              <w:rPr>
                <w:position w:val="1"/>
                <w:sz w:val="18"/>
              </w:rPr>
              <w:t>(c</w:t>
            </w:r>
            <w:r>
              <w:rPr>
                <w:sz w:val="12"/>
              </w:rPr>
              <w:t>1</w:t>
            </w:r>
            <w:r>
              <w:rPr>
                <w:position w:val="1"/>
                <w:sz w:val="18"/>
              </w:rPr>
              <w:t>), ∆∆</w:t>
            </w:r>
            <w:r>
              <w:rPr>
                <w:position w:val="7"/>
                <w:sz w:val="12"/>
              </w:rPr>
              <w:t>i</w:t>
            </w:r>
            <w:r>
              <w:rPr>
                <w:position w:val="1"/>
                <w:sz w:val="18"/>
              </w:rPr>
              <w:t>V</w:t>
            </w:r>
            <w:r>
              <w:rPr>
                <w:sz w:val="12"/>
              </w:rPr>
              <w:t>4</w:t>
            </w:r>
            <w:r>
              <w:rPr>
                <w:position w:val="1"/>
                <w:sz w:val="18"/>
              </w:rPr>
              <w:t>(c</w:t>
            </w:r>
            <w:r>
              <w:rPr>
                <w:sz w:val="12"/>
              </w:rPr>
              <w:t>2</w:t>
            </w:r>
            <w:r>
              <w:rPr>
                <w:position w:val="1"/>
                <w:sz w:val="18"/>
              </w:rPr>
              <w:t>), ∆∆</w:t>
            </w:r>
            <w:r>
              <w:rPr>
                <w:position w:val="7"/>
                <w:sz w:val="12"/>
              </w:rPr>
              <w:t>i</w:t>
            </w:r>
            <w:r>
              <w:rPr>
                <w:position w:val="1"/>
                <w:sz w:val="18"/>
              </w:rPr>
              <w:t>V</w:t>
            </w:r>
            <w:r>
              <w:rPr>
                <w:sz w:val="12"/>
              </w:rPr>
              <w:t>4</w:t>
            </w:r>
            <w:r>
              <w:rPr>
                <w:position w:val="1"/>
                <w:sz w:val="18"/>
              </w:rPr>
              <w:t>(c</w:t>
            </w:r>
            <w:r>
              <w:rPr>
                <w:sz w:val="12"/>
              </w:rPr>
              <w:t>3</w:t>
            </w:r>
            <w:r>
              <w:rPr>
                <w:position w:val="1"/>
                <w:sz w:val="18"/>
              </w:rPr>
              <w:t>), ∆∆</w:t>
            </w:r>
            <w:r>
              <w:rPr>
                <w:position w:val="7"/>
                <w:sz w:val="12"/>
              </w:rPr>
              <w:t>i</w:t>
            </w:r>
            <w:r>
              <w:rPr>
                <w:position w:val="1"/>
                <w:sz w:val="18"/>
              </w:rPr>
              <w:t>V</w:t>
            </w:r>
            <w:r>
              <w:rPr>
                <w:sz w:val="12"/>
              </w:rPr>
              <w:t>4</w:t>
            </w:r>
            <w:r>
              <w:rPr>
                <w:position w:val="1"/>
                <w:sz w:val="18"/>
              </w:rPr>
              <w:t>(c</w:t>
            </w:r>
            <w:r>
              <w:rPr>
                <w:sz w:val="12"/>
              </w:rPr>
              <w:t>4</w:t>
            </w:r>
            <w:r>
              <w:rPr>
                <w:position w:val="1"/>
                <w:sz w:val="18"/>
              </w:rPr>
              <w:t>), ∆∆</w:t>
            </w:r>
            <w:r>
              <w:rPr>
                <w:position w:val="7"/>
                <w:sz w:val="12"/>
              </w:rPr>
              <w:t>i</w:t>
            </w:r>
            <w:r>
              <w:rPr>
                <w:position w:val="1"/>
                <w:sz w:val="18"/>
              </w:rPr>
              <w:t>V</w:t>
            </w:r>
            <w:r>
              <w:rPr>
                <w:sz w:val="12"/>
              </w:rPr>
              <w:t>4</w:t>
            </w:r>
            <w:r>
              <w:rPr>
                <w:position w:val="1"/>
                <w:sz w:val="18"/>
              </w:rPr>
              <w:t>(c</w:t>
            </w:r>
            <w:r>
              <w:rPr>
                <w:sz w:val="12"/>
              </w:rPr>
              <w:t>5</w:t>
            </w:r>
            <w:r>
              <w:rPr>
                <w:position w:val="1"/>
                <w:sz w:val="18"/>
              </w:rPr>
              <w:t>), ∆∆</w:t>
            </w:r>
            <w:r>
              <w:rPr>
                <w:position w:val="7"/>
                <w:sz w:val="12"/>
              </w:rPr>
              <w:t>i</w:t>
            </w:r>
            <w:r>
              <w:rPr>
                <w:position w:val="1"/>
                <w:sz w:val="18"/>
              </w:rPr>
              <w:t>V</w:t>
            </w:r>
            <w:r>
              <w:rPr>
                <w:sz w:val="12"/>
              </w:rPr>
              <w:t>4</w:t>
            </w:r>
            <w:r>
              <w:rPr>
                <w:position w:val="1"/>
                <w:sz w:val="18"/>
              </w:rPr>
              <w:t>(c</w:t>
            </w:r>
            <w:r>
              <w:rPr>
                <w:sz w:val="12"/>
              </w:rPr>
              <w:t>6</w:t>
            </w:r>
            <w:r>
              <w:rPr>
                <w:position w:val="1"/>
                <w:sz w:val="18"/>
              </w:rPr>
              <w:t>);</w:t>
            </w:r>
          </w:p>
          <w:p>
            <w:pPr>
              <w:pStyle w:val="TableParagraph"/>
              <w:spacing w:before="5"/>
              <w:rPr>
                <w:sz w:val="15"/>
              </w:rPr>
            </w:pPr>
          </w:p>
          <w:p>
            <w:pPr>
              <w:pStyle w:val="TableParagraph"/>
              <w:ind w:left="67"/>
              <w:rPr>
                <w:sz w:val="18"/>
              </w:rPr>
            </w:pPr>
            <w:r>
              <w:rPr>
                <w:position w:val="1"/>
                <w:sz w:val="18"/>
              </w:rPr>
              <w:t>∆∆</w:t>
            </w:r>
            <w:r>
              <w:rPr>
                <w:position w:val="7"/>
                <w:sz w:val="12"/>
              </w:rPr>
              <w:t>i</w:t>
            </w:r>
            <w:r>
              <w:rPr>
                <w:position w:val="1"/>
                <w:sz w:val="18"/>
              </w:rPr>
              <w:t>V</w:t>
            </w:r>
            <w:r>
              <w:rPr>
                <w:sz w:val="12"/>
              </w:rPr>
              <w:t>5</w:t>
            </w:r>
            <w:r>
              <w:rPr>
                <w:position w:val="1"/>
                <w:sz w:val="18"/>
              </w:rPr>
              <w:t>(c</w:t>
            </w:r>
            <w:r>
              <w:rPr>
                <w:sz w:val="12"/>
              </w:rPr>
              <w:t>1</w:t>
            </w:r>
            <w:r>
              <w:rPr>
                <w:position w:val="1"/>
                <w:sz w:val="18"/>
              </w:rPr>
              <w:t>), ∆∆</w:t>
            </w:r>
            <w:r>
              <w:rPr>
                <w:position w:val="7"/>
                <w:sz w:val="12"/>
              </w:rPr>
              <w:t>i</w:t>
            </w:r>
            <w:r>
              <w:rPr>
                <w:position w:val="1"/>
                <w:sz w:val="18"/>
              </w:rPr>
              <w:t>V</w:t>
            </w:r>
            <w:r>
              <w:rPr>
                <w:sz w:val="12"/>
              </w:rPr>
              <w:t>5</w:t>
            </w:r>
            <w:r>
              <w:rPr>
                <w:position w:val="1"/>
                <w:sz w:val="18"/>
              </w:rPr>
              <w:t>(c</w:t>
            </w:r>
            <w:r>
              <w:rPr>
                <w:sz w:val="12"/>
              </w:rPr>
              <w:t>2</w:t>
            </w:r>
            <w:r>
              <w:rPr>
                <w:position w:val="1"/>
                <w:sz w:val="18"/>
              </w:rPr>
              <w:t>), ∆∆</w:t>
            </w:r>
            <w:r>
              <w:rPr>
                <w:position w:val="7"/>
                <w:sz w:val="12"/>
              </w:rPr>
              <w:t>i</w:t>
            </w:r>
            <w:r>
              <w:rPr>
                <w:position w:val="1"/>
                <w:sz w:val="18"/>
              </w:rPr>
              <w:t>V</w:t>
            </w:r>
            <w:r>
              <w:rPr>
                <w:sz w:val="12"/>
              </w:rPr>
              <w:t>5</w:t>
            </w:r>
            <w:r>
              <w:rPr>
                <w:position w:val="1"/>
                <w:sz w:val="18"/>
              </w:rPr>
              <w:t>(c</w:t>
            </w:r>
            <w:r>
              <w:rPr>
                <w:sz w:val="12"/>
              </w:rPr>
              <w:t>3</w:t>
            </w:r>
            <w:r>
              <w:rPr>
                <w:position w:val="1"/>
                <w:sz w:val="18"/>
              </w:rPr>
              <w:t>), ∆∆</w:t>
            </w:r>
            <w:r>
              <w:rPr>
                <w:position w:val="7"/>
                <w:sz w:val="12"/>
              </w:rPr>
              <w:t>i</w:t>
            </w:r>
            <w:r>
              <w:rPr>
                <w:position w:val="1"/>
                <w:sz w:val="18"/>
              </w:rPr>
              <w:t>V</w:t>
            </w:r>
            <w:r>
              <w:rPr>
                <w:sz w:val="12"/>
              </w:rPr>
              <w:t>5</w:t>
            </w:r>
            <w:r>
              <w:rPr>
                <w:position w:val="1"/>
                <w:sz w:val="18"/>
              </w:rPr>
              <w:t>(c</w:t>
            </w:r>
            <w:r>
              <w:rPr>
                <w:sz w:val="12"/>
              </w:rPr>
              <w:t>4</w:t>
            </w:r>
            <w:r>
              <w:rPr>
                <w:position w:val="1"/>
                <w:sz w:val="18"/>
              </w:rPr>
              <w:t>), ∆∆</w:t>
            </w:r>
            <w:r>
              <w:rPr>
                <w:position w:val="7"/>
                <w:sz w:val="12"/>
              </w:rPr>
              <w:t>i</w:t>
            </w:r>
            <w:r>
              <w:rPr>
                <w:position w:val="1"/>
                <w:sz w:val="18"/>
              </w:rPr>
              <w:t>V</w:t>
            </w:r>
            <w:r>
              <w:rPr>
                <w:sz w:val="12"/>
              </w:rPr>
              <w:t>5</w:t>
            </w:r>
            <w:r>
              <w:rPr>
                <w:position w:val="1"/>
                <w:sz w:val="18"/>
              </w:rPr>
              <w:t>(c</w:t>
            </w:r>
            <w:r>
              <w:rPr>
                <w:sz w:val="12"/>
              </w:rPr>
              <w:t>5</w:t>
            </w:r>
            <w:r>
              <w:rPr>
                <w:position w:val="1"/>
                <w:sz w:val="18"/>
              </w:rPr>
              <w:t>), ∆∆</w:t>
            </w:r>
            <w:r>
              <w:rPr>
                <w:position w:val="7"/>
                <w:sz w:val="12"/>
              </w:rPr>
              <w:t>i</w:t>
            </w:r>
            <w:r>
              <w:rPr>
                <w:position w:val="1"/>
                <w:sz w:val="18"/>
              </w:rPr>
              <w:t>V</w:t>
            </w:r>
            <w:r>
              <w:rPr>
                <w:sz w:val="12"/>
              </w:rPr>
              <w:t>5</w:t>
            </w:r>
            <w:r>
              <w:rPr>
                <w:position w:val="1"/>
                <w:sz w:val="18"/>
              </w:rPr>
              <w:t>(c</w:t>
            </w:r>
            <w:r>
              <w:rPr>
                <w:sz w:val="12"/>
              </w:rPr>
              <w:t>6</w:t>
            </w:r>
            <w:r>
              <w:rPr>
                <w:position w:val="1"/>
                <w:sz w:val="18"/>
              </w:rPr>
              <w:t>);</w:t>
            </w:r>
          </w:p>
          <w:p>
            <w:pPr>
              <w:pStyle w:val="TableParagraph"/>
              <w:spacing w:before="10"/>
              <w:rPr>
                <w:sz w:val="15"/>
              </w:rPr>
            </w:pPr>
          </w:p>
          <w:p>
            <w:pPr>
              <w:pStyle w:val="TableParagraph"/>
              <w:ind w:left="67"/>
              <w:rPr>
                <w:sz w:val="18"/>
              </w:rPr>
            </w:pPr>
            <w:r>
              <w:rPr>
                <w:position w:val="1"/>
                <w:sz w:val="18"/>
              </w:rPr>
              <w:t>∆∆</w:t>
            </w:r>
            <w:r>
              <w:rPr>
                <w:position w:val="7"/>
                <w:sz w:val="12"/>
              </w:rPr>
              <w:t>i</w:t>
            </w:r>
            <w:r>
              <w:rPr>
                <w:position w:val="1"/>
                <w:sz w:val="18"/>
              </w:rPr>
              <w:t>V</w:t>
            </w:r>
            <w:r>
              <w:rPr>
                <w:sz w:val="12"/>
              </w:rPr>
              <w:t>6</w:t>
            </w:r>
            <w:r>
              <w:rPr>
                <w:position w:val="1"/>
                <w:sz w:val="18"/>
              </w:rPr>
              <w:t>(c</w:t>
            </w:r>
            <w:r>
              <w:rPr>
                <w:sz w:val="12"/>
              </w:rPr>
              <w:t>1</w:t>
            </w:r>
            <w:r>
              <w:rPr>
                <w:position w:val="1"/>
                <w:sz w:val="18"/>
              </w:rPr>
              <w:t>), ∆∆</w:t>
            </w:r>
            <w:r>
              <w:rPr>
                <w:position w:val="7"/>
                <w:sz w:val="12"/>
              </w:rPr>
              <w:t>i</w:t>
            </w:r>
            <w:r>
              <w:rPr>
                <w:position w:val="1"/>
                <w:sz w:val="18"/>
              </w:rPr>
              <w:t>V</w:t>
            </w:r>
            <w:r>
              <w:rPr>
                <w:sz w:val="12"/>
              </w:rPr>
              <w:t>6</w:t>
            </w:r>
            <w:r>
              <w:rPr>
                <w:position w:val="1"/>
                <w:sz w:val="18"/>
              </w:rPr>
              <w:t>(c</w:t>
            </w:r>
            <w:r>
              <w:rPr>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3</w:t>
            </w:r>
            <w:r>
              <w:rPr>
                <w:position w:val="1"/>
                <w:sz w:val="18"/>
              </w:rPr>
              <w:t>), ∆∆</w:t>
            </w:r>
            <w:r>
              <w:rPr>
                <w:position w:val="7"/>
                <w:sz w:val="12"/>
              </w:rPr>
              <w:t>i</w:t>
            </w:r>
            <w:r>
              <w:rPr>
                <w:position w:val="1"/>
                <w:sz w:val="18"/>
              </w:rPr>
              <w:t>V</w:t>
            </w:r>
            <w:r>
              <w:rPr>
                <w:sz w:val="12"/>
              </w:rPr>
              <w:t>6</w:t>
            </w:r>
            <w:r>
              <w:rPr>
                <w:position w:val="1"/>
                <w:sz w:val="18"/>
              </w:rPr>
              <w:t>(c</w:t>
            </w:r>
            <w:r>
              <w:rPr>
                <w:sz w:val="12"/>
              </w:rPr>
              <w:t>4</w:t>
            </w:r>
            <w:r>
              <w:rPr>
                <w:position w:val="1"/>
                <w:sz w:val="18"/>
              </w:rPr>
              <w:t>), ∆∆</w:t>
            </w:r>
            <w:r>
              <w:rPr>
                <w:position w:val="7"/>
                <w:sz w:val="12"/>
              </w:rPr>
              <w:t>i</w:t>
            </w:r>
            <w:r>
              <w:rPr>
                <w:position w:val="1"/>
                <w:sz w:val="18"/>
              </w:rPr>
              <w:t>V</w:t>
            </w:r>
            <w:r>
              <w:rPr>
                <w:sz w:val="12"/>
              </w:rPr>
              <w:t>6</w:t>
            </w:r>
            <w:r>
              <w:rPr>
                <w:position w:val="1"/>
                <w:sz w:val="18"/>
              </w:rPr>
              <w:t>(c</w:t>
            </w:r>
            <w:r>
              <w:rPr>
                <w:sz w:val="12"/>
              </w:rPr>
              <w:t>5</w:t>
            </w:r>
            <w:r>
              <w:rPr>
                <w:position w:val="1"/>
                <w:sz w:val="18"/>
              </w:rPr>
              <w:t>), ∆∆</w:t>
            </w:r>
            <w:r>
              <w:rPr>
                <w:position w:val="7"/>
                <w:sz w:val="12"/>
              </w:rPr>
              <w:t>i</w:t>
            </w:r>
            <w:r>
              <w:rPr>
                <w:position w:val="1"/>
                <w:sz w:val="18"/>
              </w:rPr>
              <w:t>V</w:t>
            </w:r>
            <w:r>
              <w:rPr>
                <w:sz w:val="12"/>
              </w:rPr>
              <w:t>6</w:t>
            </w:r>
            <w:r>
              <w:rPr>
                <w:position w:val="1"/>
                <w:sz w:val="18"/>
              </w:rPr>
              <w:t>(c</w:t>
            </w:r>
            <w:r>
              <w:rPr>
                <w:sz w:val="12"/>
              </w:rPr>
              <w:t>6</w:t>
            </w:r>
            <w:r>
              <w:rPr>
                <w:position w:val="1"/>
                <w:sz w:val="18"/>
              </w:rPr>
              <w:t>);</w:t>
            </w:r>
          </w:p>
        </w:tc>
      </w:tr>
      <w:tr>
        <w:trPr>
          <w:trHeight w:val="389" w:hRule="exact"/>
        </w:trPr>
        <w:tc>
          <w:tcPr>
            <w:tcW w:w="1359" w:type="dxa"/>
            <w:tcBorders>
              <w:top w:val="dotted" w:sz="4" w:space="0" w:color="000000"/>
              <w:left w:val="nil"/>
              <w:bottom w:val="dotted" w:sz="4" w:space="0" w:color="000000"/>
              <w:right w:val="single" w:sz="4" w:space="0" w:color="000000"/>
            </w:tcBorders>
          </w:tcPr>
          <w:p>
            <w:pPr>
              <w:pStyle w:val="TableParagraph"/>
              <w:spacing w:before="77"/>
              <w:ind w:left="86"/>
              <w:rPr>
                <w:sz w:val="12"/>
              </w:rPr>
            </w:pPr>
            <w:r>
              <w:rPr>
                <w:position w:val="1"/>
                <w:sz w:val="18"/>
              </w:rPr>
              <w:t>(V</w:t>
            </w:r>
            <w:r>
              <w:rPr>
                <w:sz w:val="12"/>
              </w:rPr>
              <w:t>k new</w:t>
            </w:r>
            <w:r>
              <w:rPr>
                <w:position w:val="1"/>
                <w:sz w:val="18"/>
              </w:rPr>
              <w:t>)</w:t>
            </w:r>
            <w:r>
              <w:rPr>
                <w:position w:val="7"/>
                <w:sz w:val="12"/>
              </w:rPr>
              <w:t>2</w:t>
            </w:r>
          </w:p>
        </w:tc>
        <w:tc>
          <w:tcPr>
            <w:tcW w:w="7045" w:type="dxa"/>
            <w:tcBorders>
              <w:top w:val="dotted" w:sz="4" w:space="0" w:color="000000"/>
              <w:left w:val="single" w:sz="4" w:space="0" w:color="000000"/>
              <w:bottom w:val="dotted" w:sz="4" w:space="0" w:color="000000"/>
              <w:right w:val="nil"/>
            </w:tcBorders>
          </w:tcPr>
          <w:p>
            <w:pPr>
              <w:pStyle w:val="TableParagraph"/>
              <w:spacing w:before="77"/>
              <w:ind w:left="67"/>
              <w:rPr>
                <w:sz w:val="12"/>
              </w:rPr>
            </w:pPr>
            <w:r>
              <w:rPr>
                <w:position w:val="1"/>
                <w:sz w:val="18"/>
              </w:rPr>
              <w:t>(V</w:t>
            </w:r>
            <w:r>
              <w:rPr>
                <w:sz w:val="12"/>
              </w:rPr>
              <w:t>1 new</w:t>
            </w:r>
            <w:r>
              <w:rPr>
                <w:position w:val="1"/>
                <w:sz w:val="18"/>
              </w:rPr>
              <w:t>)</w:t>
            </w:r>
            <w:r>
              <w:rPr>
                <w:position w:val="7"/>
                <w:sz w:val="12"/>
              </w:rPr>
              <w:t>2</w:t>
            </w:r>
            <w:r>
              <w:rPr>
                <w:position w:val="1"/>
                <w:sz w:val="18"/>
              </w:rPr>
              <w:t>, (V</w:t>
            </w:r>
            <w:r>
              <w:rPr>
                <w:sz w:val="12"/>
              </w:rPr>
              <w:t>2 new</w:t>
            </w:r>
            <w:r>
              <w:rPr>
                <w:position w:val="1"/>
                <w:sz w:val="18"/>
              </w:rPr>
              <w:t>)</w:t>
            </w:r>
            <w:r>
              <w:rPr>
                <w:position w:val="7"/>
                <w:sz w:val="12"/>
              </w:rPr>
              <w:t>2</w:t>
            </w:r>
            <w:r>
              <w:rPr>
                <w:position w:val="1"/>
                <w:sz w:val="18"/>
              </w:rPr>
              <w:t>, (V</w:t>
            </w:r>
            <w:r>
              <w:rPr>
                <w:sz w:val="12"/>
              </w:rPr>
              <w:t>3 new</w:t>
            </w:r>
            <w:r>
              <w:rPr>
                <w:position w:val="1"/>
                <w:sz w:val="18"/>
              </w:rPr>
              <w:t>)</w:t>
            </w:r>
            <w:r>
              <w:rPr>
                <w:position w:val="7"/>
                <w:sz w:val="12"/>
              </w:rPr>
              <w:t>2</w:t>
            </w:r>
            <w:r>
              <w:rPr>
                <w:position w:val="1"/>
                <w:sz w:val="18"/>
              </w:rPr>
              <w:t>, (V</w:t>
            </w:r>
            <w:r>
              <w:rPr>
                <w:sz w:val="12"/>
              </w:rPr>
              <w:t>4 new</w:t>
            </w:r>
            <w:r>
              <w:rPr>
                <w:position w:val="1"/>
                <w:sz w:val="18"/>
              </w:rPr>
              <w:t>)</w:t>
            </w:r>
            <w:r>
              <w:rPr>
                <w:position w:val="7"/>
                <w:sz w:val="12"/>
              </w:rPr>
              <w:t>2</w:t>
            </w:r>
            <w:r>
              <w:rPr>
                <w:position w:val="1"/>
                <w:sz w:val="18"/>
              </w:rPr>
              <w:t>, (V</w:t>
            </w:r>
            <w:r>
              <w:rPr>
                <w:sz w:val="12"/>
              </w:rPr>
              <w:t>5 new</w:t>
            </w:r>
            <w:r>
              <w:rPr>
                <w:position w:val="1"/>
                <w:sz w:val="18"/>
              </w:rPr>
              <w:t>)</w:t>
            </w:r>
            <w:r>
              <w:rPr>
                <w:position w:val="7"/>
                <w:sz w:val="12"/>
              </w:rPr>
              <w:t>2</w:t>
            </w:r>
            <w:r>
              <w:rPr>
                <w:position w:val="1"/>
                <w:sz w:val="18"/>
              </w:rPr>
              <w:t>, (V</w:t>
            </w:r>
            <w:r>
              <w:rPr>
                <w:sz w:val="12"/>
              </w:rPr>
              <w:t>6 new</w:t>
            </w:r>
            <w:r>
              <w:rPr>
                <w:position w:val="1"/>
                <w:sz w:val="18"/>
              </w:rPr>
              <w:t>)</w:t>
            </w:r>
            <w:r>
              <w:rPr>
                <w:position w:val="7"/>
                <w:sz w:val="12"/>
              </w:rPr>
              <w:t>2</w:t>
            </w:r>
          </w:p>
        </w:tc>
      </w:tr>
      <w:tr>
        <w:trPr>
          <w:trHeight w:val="375" w:hRule="exact"/>
        </w:trPr>
        <w:tc>
          <w:tcPr>
            <w:tcW w:w="1359" w:type="dxa"/>
            <w:tcBorders>
              <w:top w:val="dotted" w:sz="4" w:space="0" w:color="000000"/>
              <w:left w:val="nil"/>
              <w:right w:val="single" w:sz="4" w:space="0" w:color="000000"/>
            </w:tcBorders>
          </w:tcPr>
          <w:p>
            <w:pPr>
              <w:pStyle w:val="TableParagraph"/>
              <w:spacing w:before="67"/>
              <w:ind w:left="86"/>
              <w:rPr>
                <w:sz w:val="12"/>
              </w:rPr>
            </w:pPr>
            <w:r>
              <w:rPr>
                <w:position w:val="1"/>
                <w:sz w:val="18"/>
              </w:rPr>
              <w:t>(∆∆</w:t>
            </w:r>
            <w:r>
              <w:rPr>
                <w:position w:val="7"/>
                <w:sz w:val="12"/>
              </w:rPr>
              <w:t>i</w:t>
            </w:r>
            <w:r>
              <w:rPr>
                <w:position w:val="1"/>
                <w:sz w:val="18"/>
              </w:rPr>
              <w:t>V</w:t>
            </w:r>
            <w:r>
              <w:rPr>
                <w:sz w:val="12"/>
              </w:rPr>
              <w:t>6</w:t>
            </w:r>
            <w:r>
              <w:rPr>
                <w:position w:val="1"/>
                <w:sz w:val="18"/>
              </w:rPr>
              <w:t>(c</w:t>
            </w:r>
            <w:r>
              <w:rPr>
                <w:sz w:val="12"/>
              </w:rPr>
              <w:t>j</w:t>
            </w:r>
            <w:r>
              <w:rPr>
                <w:position w:val="1"/>
                <w:sz w:val="18"/>
              </w:rPr>
              <w:t>))</w:t>
            </w:r>
            <w:r>
              <w:rPr>
                <w:position w:val="7"/>
                <w:sz w:val="12"/>
              </w:rPr>
              <w:t>2</w:t>
            </w:r>
          </w:p>
        </w:tc>
        <w:tc>
          <w:tcPr>
            <w:tcW w:w="7045" w:type="dxa"/>
            <w:tcBorders>
              <w:top w:val="dotted" w:sz="4" w:space="0" w:color="000000"/>
              <w:left w:val="single" w:sz="4" w:space="0" w:color="000000"/>
              <w:right w:val="nil"/>
            </w:tcBorders>
          </w:tcPr>
          <w:p>
            <w:pPr>
              <w:pStyle w:val="TableParagraph"/>
              <w:spacing w:before="67"/>
              <w:ind w:left="67"/>
              <w:rPr>
                <w:sz w:val="12"/>
              </w:rPr>
            </w:pPr>
            <w:r>
              <w:rPr>
                <w:position w:val="1"/>
                <w:sz w:val="18"/>
              </w:rPr>
              <w:t>(∆∆</w:t>
            </w:r>
            <w:r>
              <w:rPr>
                <w:position w:val="7"/>
                <w:sz w:val="12"/>
              </w:rPr>
              <w:t>i</w:t>
            </w:r>
            <w:r>
              <w:rPr>
                <w:position w:val="1"/>
                <w:sz w:val="18"/>
              </w:rPr>
              <w:t>V</w:t>
            </w:r>
            <w:r>
              <w:rPr>
                <w:sz w:val="12"/>
              </w:rPr>
              <w:t>6</w:t>
            </w:r>
            <w:r>
              <w:rPr>
                <w:position w:val="1"/>
                <w:sz w:val="18"/>
              </w:rPr>
              <w:t>(c</w:t>
            </w:r>
            <w:r>
              <w:rPr>
                <w:sz w:val="12"/>
              </w:rPr>
              <w:t>1</w:t>
            </w:r>
            <w:r>
              <w:rPr>
                <w:position w:val="1"/>
                <w:sz w:val="18"/>
              </w:rPr>
              <w:t>))</w:t>
            </w:r>
            <w:r>
              <w:rPr>
                <w:position w:val="7"/>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2</w:t>
            </w:r>
            <w:r>
              <w:rPr>
                <w:position w:val="1"/>
                <w:sz w:val="18"/>
              </w:rPr>
              <w:t>))</w:t>
            </w:r>
            <w:r>
              <w:rPr>
                <w:position w:val="7"/>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3</w:t>
            </w:r>
            <w:r>
              <w:rPr>
                <w:position w:val="1"/>
                <w:sz w:val="18"/>
              </w:rPr>
              <w:t>))</w:t>
            </w:r>
            <w:r>
              <w:rPr>
                <w:position w:val="7"/>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4</w:t>
            </w:r>
            <w:r>
              <w:rPr>
                <w:position w:val="1"/>
                <w:sz w:val="18"/>
              </w:rPr>
              <w:t>))</w:t>
            </w:r>
            <w:r>
              <w:rPr>
                <w:position w:val="7"/>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5</w:t>
            </w:r>
            <w:r>
              <w:rPr>
                <w:position w:val="1"/>
                <w:sz w:val="18"/>
              </w:rPr>
              <w:t>))</w:t>
            </w:r>
            <w:r>
              <w:rPr>
                <w:position w:val="7"/>
                <w:sz w:val="12"/>
              </w:rPr>
              <w:t>2</w:t>
            </w:r>
            <w:r>
              <w:rPr>
                <w:position w:val="1"/>
                <w:sz w:val="18"/>
              </w:rPr>
              <w:t>, (∆∆</w:t>
            </w:r>
            <w:r>
              <w:rPr>
                <w:position w:val="7"/>
                <w:sz w:val="12"/>
              </w:rPr>
              <w:t>i</w:t>
            </w:r>
            <w:r>
              <w:rPr>
                <w:position w:val="1"/>
                <w:sz w:val="18"/>
              </w:rPr>
              <w:t>V</w:t>
            </w:r>
            <w:r>
              <w:rPr>
                <w:sz w:val="12"/>
              </w:rPr>
              <w:t>6</w:t>
            </w:r>
            <w:r>
              <w:rPr>
                <w:position w:val="1"/>
                <w:sz w:val="18"/>
              </w:rPr>
              <w:t>(c</w:t>
            </w:r>
            <w:r>
              <w:rPr>
                <w:sz w:val="12"/>
              </w:rPr>
              <w:t>6</w:t>
            </w:r>
            <w:r>
              <w:rPr>
                <w:position w:val="1"/>
                <w:sz w:val="18"/>
              </w:rPr>
              <w:t>))</w:t>
            </w:r>
            <w:r>
              <w:rPr>
                <w:position w:val="7"/>
                <w:sz w:val="12"/>
              </w:rPr>
              <w:t>2</w:t>
            </w:r>
          </w:p>
        </w:tc>
      </w:tr>
    </w:tbl>
    <w:p>
      <w:pPr>
        <w:spacing w:after="0"/>
        <w:rPr>
          <w:sz w:val="12"/>
        </w:rPr>
        <w:sectPr>
          <w:pgSz w:w="12240" w:h="15840"/>
          <w:pgMar w:header="684" w:footer="1184" w:top="1380" w:bottom="1380" w:left="1440" w:right="1460"/>
        </w:sectPr>
      </w:pPr>
    </w:p>
    <w:p>
      <w:pPr>
        <w:pStyle w:val="BodyText"/>
        <w:spacing w:before="6"/>
        <w:rPr>
          <w:rFonts w:ascii="Times New Roman"/>
          <w:sz w:val="13"/>
        </w:rPr>
      </w:pPr>
    </w:p>
    <w:p>
      <w:pPr>
        <w:spacing w:line="211" w:lineRule="exact" w:before="87"/>
        <w:ind w:left="259" w:right="0" w:firstLine="0"/>
        <w:jc w:val="both"/>
        <w:rPr>
          <w:rFonts w:ascii="Times New Roman" w:hAnsi="Times New Roman"/>
          <w:sz w:val="12"/>
        </w:rPr>
      </w:pPr>
      <w:r>
        <w:rPr>
          <w:rFonts w:ascii="Times New Roman" w:hAnsi="Times New Roman"/>
          <w:position w:val="7"/>
          <w:sz w:val="12"/>
        </w:rPr>
        <w:t>a </w:t>
      </w:r>
      <w:r>
        <w:rPr>
          <w:rFonts w:ascii="Times New Roman" w:hAnsi="Times New Roman"/>
          <w:i/>
          <w:position w:val="1"/>
          <w:sz w:val="18"/>
        </w:rPr>
        <w:t>f</w:t>
      </w:r>
      <w:r>
        <w:rPr>
          <w:rFonts w:ascii="Times New Roman" w:hAnsi="Times New Roman"/>
          <w:position w:val="1"/>
          <w:sz w:val="18"/>
        </w:rPr>
        <w:t>(ε</w:t>
      </w:r>
      <w:r>
        <w:rPr>
          <w:rFonts w:ascii="Times New Roman" w:hAnsi="Times New Roman"/>
          <w:sz w:val="12"/>
        </w:rPr>
        <w:t>ij</w:t>
      </w:r>
      <w:r>
        <w:rPr>
          <w:rFonts w:ascii="Times New Roman" w:hAnsi="Times New Roman"/>
          <w:position w:val="1"/>
          <w:sz w:val="18"/>
        </w:rPr>
        <w:t>)</w:t>
      </w:r>
      <w:r>
        <w:rPr>
          <w:rFonts w:ascii="Times New Roman" w:hAnsi="Times New Roman"/>
          <w:sz w:val="12"/>
        </w:rPr>
        <w:t>ref  </w:t>
      </w:r>
      <w:r>
        <w:rPr>
          <w:rFonts w:ascii="Times New Roman" w:hAnsi="Times New Roman"/>
          <w:position w:val="1"/>
          <w:sz w:val="18"/>
        </w:rPr>
        <w:t>= &lt;ε</w:t>
      </w:r>
      <w:r>
        <w:rPr>
          <w:rFonts w:ascii="Times New Roman" w:hAnsi="Times New Roman"/>
          <w:sz w:val="12"/>
        </w:rPr>
        <w:t>ij</w:t>
      </w:r>
      <w:r>
        <w:rPr>
          <w:rFonts w:ascii="Times New Roman" w:hAnsi="Times New Roman"/>
          <w:position w:val="1"/>
          <w:sz w:val="18"/>
        </w:rPr>
        <w:t>&gt;</w:t>
      </w:r>
      <w:r>
        <w:rPr>
          <w:rFonts w:ascii="Times New Roman" w:hAnsi="Times New Roman"/>
          <w:sz w:val="12"/>
        </w:rPr>
        <w:t>ref  </w:t>
      </w:r>
      <w:r>
        <w:rPr>
          <w:rFonts w:ascii="Times New Roman" w:hAnsi="Times New Roman"/>
          <w:position w:val="1"/>
          <w:sz w:val="18"/>
        </w:rPr>
        <w:t>= &lt;IPA(%)&gt;</w:t>
      </w:r>
      <w:r>
        <w:rPr>
          <w:rFonts w:ascii="Times New Roman" w:hAnsi="Times New Roman"/>
          <w:sz w:val="12"/>
        </w:rPr>
        <w:t>ref  </w:t>
      </w:r>
      <w:r>
        <w:rPr>
          <w:rFonts w:ascii="Times New Roman" w:hAnsi="Times New Roman"/>
          <w:position w:val="1"/>
          <w:sz w:val="18"/>
        </w:rPr>
        <w:t>average of reference entries for conditions of c</w:t>
      </w:r>
      <w:r>
        <w:rPr>
          <w:rFonts w:ascii="Times New Roman" w:hAnsi="Times New Roman"/>
          <w:sz w:val="12"/>
        </w:rPr>
        <w:t>1</w:t>
      </w:r>
      <w:r>
        <w:rPr>
          <w:rFonts w:ascii="Times New Roman" w:hAnsi="Times New Roman"/>
          <w:position w:val="1"/>
          <w:sz w:val="18"/>
        </w:rPr>
        <w:t>, c</w:t>
      </w:r>
      <w:r>
        <w:rPr>
          <w:rFonts w:ascii="Times New Roman" w:hAnsi="Times New Roman"/>
          <w:sz w:val="12"/>
        </w:rPr>
        <w:t>3</w:t>
      </w:r>
      <w:r>
        <w:rPr>
          <w:rFonts w:ascii="Times New Roman" w:hAnsi="Times New Roman"/>
          <w:position w:val="1"/>
          <w:sz w:val="18"/>
        </w:rPr>
        <w:t>, c</w:t>
      </w:r>
      <w:r>
        <w:rPr>
          <w:rFonts w:ascii="Times New Roman" w:hAnsi="Times New Roman"/>
          <w:sz w:val="12"/>
        </w:rPr>
        <w:t>4</w:t>
      </w:r>
      <w:r>
        <w:rPr>
          <w:rFonts w:ascii="Times New Roman" w:hAnsi="Times New Roman"/>
          <w:position w:val="1"/>
          <w:sz w:val="18"/>
        </w:rPr>
        <w:t>, and c</w:t>
      </w:r>
      <w:r>
        <w:rPr>
          <w:rFonts w:ascii="Times New Roman" w:hAnsi="Times New Roman"/>
          <w:sz w:val="12"/>
        </w:rPr>
        <w:t>5; </w:t>
      </w:r>
      <w:r>
        <w:rPr>
          <w:rFonts w:ascii="Times New Roman" w:hAnsi="Times New Roman"/>
          <w:position w:val="1"/>
          <w:sz w:val="18"/>
        </w:rPr>
        <w:t>among, c</w:t>
      </w:r>
      <w:r>
        <w:rPr>
          <w:rFonts w:ascii="Times New Roman" w:hAnsi="Times New Roman"/>
          <w:sz w:val="12"/>
        </w:rPr>
        <w:t>1  </w:t>
      </w:r>
      <w:r>
        <w:rPr>
          <w:rFonts w:ascii="Times New Roman" w:hAnsi="Times New Roman"/>
          <w:position w:val="1"/>
          <w:sz w:val="18"/>
        </w:rPr>
        <w:t>= treatments, c</w:t>
      </w:r>
      <w:r>
        <w:rPr>
          <w:rFonts w:ascii="Times New Roman" w:hAnsi="Times New Roman"/>
          <w:sz w:val="12"/>
        </w:rPr>
        <w:t>2</w:t>
      </w:r>
    </w:p>
    <w:p>
      <w:pPr>
        <w:spacing w:line="204" w:lineRule="exact" w:before="0"/>
        <w:ind w:left="259" w:right="0" w:firstLine="0"/>
        <w:jc w:val="both"/>
        <w:rPr>
          <w:rFonts w:ascii="Times New Roman"/>
          <w:sz w:val="18"/>
        </w:rPr>
      </w:pPr>
      <w:r>
        <w:rPr>
          <w:rFonts w:ascii="Times New Roman"/>
          <w:position w:val="1"/>
          <w:sz w:val="18"/>
        </w:rPr>
        <w:t>= with/without fermentation, c</w:t>
      </w:r>
      <w:r>
        <w:rPr>
          <w:rFonts w:ascii="Times New Roman"/>
          <w:sz w:val="12"/>
        </w:rPr>
        <w:t>3 </w:t>
      </w:r>
      <w:r>
        <w:rPr>
          <w:rFonts w:ascii="Times New Roman"/>
          <w:position w:val="1"/>
          <w:sz w:val="18"/>
        </w:rPr>
        <w:t>= phase, c</w:t>
      </w:r>
      <w:r>
        <w:rPr>
          <w:rFonts w:ascii="Times New Roman"/>
          <w:sz w:val="12"/>
        </w:rPr>
        <w:t>4 </w:t>
      </w:r>
      <w:r>
        <w:rPr>
          <w:rFonts w:ascii="Times New Roman"/>
          <w:position w:val="1"/>
          <w:sz w:val="18"/>
        </w:rPr>
        <w:t>= gas chromatography column, c</w:t>
      </w:r>
      <w:r>
        <w:rPr>
          <w:rFonts w:ascii="Times New Roman"/>
          <w:sz w:val="12"/>
        </w:rPr>
        <w:t>5 </w:t>
      </w:r>
      <w:r>
        <w:rPr>
          <w:rFonts w:ascii="Times New Roman"/>
          <w:position w:val="1"/>
          <w:sz w:val="18"/>
        </w:rPr>
        <w:t>= replicates, and c</w:t>
      </w:r>
      <w:r>
        <w:rPr>
          <w:rFonts w:ascii="Times New Roman"/>
          <w:sz w:val="12"/>
        </w:rPr>
        <w:t>6 </w:t>
      </w:r>
      <w:r>
        <w:rPr>
          <w:rFonts w:ascii="Times New Roman"/>
          <w:position w:val="1"/>
          <w:sz w:val="18"/>
        </w:rPr>
        <w:t>= </w:t>
      </w:r>
      <w:r>
        <w:rPr>
          <w:rFonts w:ascii="Times New Roman"/>
          <w:i/>
          <w:position w:val="1"/>
          <w:sz w:val="18"/>
        </w:rPr>
        <w:t>cis</w:t>
      </w:r>
      <w:r>
        <w:rPr>
          <w:rFonts w:ascii="Times New Roman"/>
          <w:position w:val="1"/>
          <w:sz w:val="18"/>
        </w:rPr>
        <w:t>/</w:t>
      </w:r>
      <w:r>
        <w:rPr>
          <w:rFonts w:ascii="Times New Roman"/>
          <w:i/>
          <w:position w:val="1"/>
          <w:sz w:val="18"/>
        </w:rPr>
        <w:t>trans  </w:t>
      </w:r>
      <w:r>
        <w:rPr>
          <w:rFonts w:ascii="Times New Roman"/>
          <w:position w:val="1"/>
          <w:sz w:val="18"/>
        </w:rPr>
        <w:t>pattern.</w:t>
      </w:r>
    </w:p>
    <w:p>
      <w:pPr>
        <w:spacing w:line="240" w:lineRule="auto" w:before="0"/>
        <w:ind w:left="259" w:right="263" w:firstLine="0"/>
        <w:jc w:val="both"/>
        <w:rPr>
          <w:rFonts w:ascii="Times New Roman" w:hAnsi="Times New Roman"/>
          <w:sz w:val="18"/>
        </w:rPr>
      </w:pPr>
      <w:r>
        <w:rPr>
          <w:rFonts w:ascii="Times New Roman" w:hAnsi="Times New Roman"/>
          <w:position w:val="7"/>
          <w:sz w:val="12"/>
        </w:rPr>
        <w:t>b </w:t>
      </w:r>
      <w:r>
        <w:rPr>
          <w:rFonts w:ascii="Times New Roman" w:hAnsi="Times New Roman"/>
          <w:position w:val="1"/>
          <w:sz w:val="18"/>
        </w:rPr>
        <w:t>Symbols of molecular descriptors were calculated with DRAGON software:V</w:t>
      </w:r>
      <w:r>
        <w:rPr>
          <w:rFonts w:ascii="Times New Roman" w:hAnsi="Times New Roman"/>
          <w:sz w:val="12"/>
        </w:rPr>
        <w:t>1 </w:t>
      </w:r>
      <w:r>
        <w:rPr>
          <w:rFonts w:ascii="Times New Roman" w:hAnsi="Times New Roman"/>
          <w:position w:val="1"/>
          <w:sz w:val="18"/>
        </w:rPr>
        <w:t>= Mw, V</w:t>
      </w:r>
      <w:r>
        <w:rPr>
          <w:rFonts w:ascii="Times New Roman" w:hAnsi="Times New Roman"/>
          <w:sz w:val="12"/>
        </w:rPr>
        <w:t>2 </w:t>
      </w:r>
      <w:r>
        <w:rPr>
          <w:rFonts w:ascii="Times New Roman" w:hAnsi="Times New Roman"/>
          <w:position w:val="1"/>
          <w:sz w:val="18"/>
        </w:rPr>
        <w:t>= Aeigv, V</w:t>
      </w:r>
      <w:r>
        <w:rPr>
          <w:rFonts w:ascii="Times New Roman" w:hAnsi="Times New Roman"/>
          <w:sz w:val="12"/>
        </w:rPr>
        <w:t>3 </w:t>
      </w:r>
      <w:r>
        <w:rPr>
          <w:rFonts w:ascii="Times New Roman" w:hAnsi="Times New Roman"/>
          <w:position w:val="1"/>
          <w:sz w:val="18"/>
        </w:rPr>
        <w:t>= Aeige, V</w:t>
      </w:r>
      <w:r>
        <w:rPr>
          <w:rFonts w:ascii="Times New Roman" w:hAnsi="Times New Roman"/>
          <w:sz w:val="12"/>
        </w:rPr>
        <w:t>4 </w:t>
      </w:r>
      <w:r>
        <w:rPr>
          <w:rFonts w:ascii="Times New Roman" w:hAnsi="Times New Roman"/>
          <w:position w:val="1"/>
          <w:sz w:val="18"/>
        </w:rPr>
        <w:t>= Aeigp, V</w:t>
      </w:r>
      <w:r>
        <w:rPr>
          <w:rFonts w:ascii="Times New Roman" w:hAnsi="Times New Roman"/>
          <w:sz w:val="12"/>
        </w:rPr>
        <w:t>5 </w:t>
      </w:r>
      <w:r>
        <w:rPr>
          <w:rFonts w:ascii="Times New Roman" w:hAnsi="Times New Roman"/>
          <w:position w:val="1"/>
          <w:sz w:val="18"/>
        </w:rPr>
        <w:t>= AMR, and V</w:t>
      </w:r>
      <w:r>
        <w:rPr>
          <w:rFonts w:ascii="Times New Roman" w:hAnsi="Times New Roman"/>
          <w:sz w:val="12"/>
        </w:rPr>
        <w:t>6 </w:t>
      </w:r>
      <w:r>
        <w:rPr>
          <w:rFonts w:ascii="Times New Roman" w:hAnsi="Times New Roman"/>
          <w:position w:val="1"/>
          <w:sz w:val="18"/>
        </w:rPr>
        <w:t>= LogP; V</w:t>
      </w:r>
      <w:r>
        <w:rPr>
          <w:rFonts w:ascii="Times New Roman" w:hAnsi="Times New Roman"/>
          <w:sz w:val="12"/>
        </w:rPr>
        <w:t>2</w:t>
      </w:r>
      <w:r>
        <w:rPr>
          <w:rFonts w:ascii="Times New Roman" w:hAnsi="Times New Roman"/>
          <w:position w:val="1"/>
          <w:sz w:val="18"/>
        </w:rPr>
        <w:t>, V</w:t>
      </w:r>
      <w:r>
        <w:rPr>
          <w:rFonts w:ascii="Times New Roman" w:hAnsi="Times New Roman"/>
          <w:sz w:val="12"/>
        </w:rPr>
        <w:t>3</w:t>
      </w:r>
      <w:r>
        <w:rPr>
          <w:rFonts w:ascii="Times New Roman" w:hAnsi="Times New Roman"/>
          <w:position w:val="1"/>
          <w:sz w:val="18"/>
        </w:rPr>
        <w:t>, and V</w:t>
      </w:r>
      <w:r>
        <w:rPr>
          <w:rFonts w:ascii="Times New Roman" w:hAnsi="Times New Roman"/>
          <w:sz w:val="12"/>
        </w:rPr>
        <w:t>4 </w:t>
      </w:r>
      <w:r>
        <w:rPr>
          <w:rFonts w:ascii="Times New Roman" w:hAnsi="Times New Roman"/>
          <w:position w:val="1"/>
          <w:sz w:val="18"/>
        </w:rPr>
        <w:t>are function of eigenvalues of the topological distance matrix weighted with atomic van der Waals volumes (v), Electronegativities (e), or Polarizabilities (p). The parameters ΔV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 are Moving Averages, and ΔΔ</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 =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w:t>
      </w:r>
      <w:r>
        <w:rPr>
          <w:rFonts w:ascii="Times New Roman" w:hAnsi="Times New Roman"/>
          <w:sz w:val="12"/>
        </w:rPr>
        <w:t>new</w:t>
      </w:r>
      <w:r>
        <w:rPr>
          <w:rFonts w:ascii="Times New Roman" w:hAnsi="Times New Roman"/>
          <w:position w:val="1"/>
          <w:sz w:val="18"/>
        </w:rPr>
        <w:t>·(</w:t>
      </w:r>
      <w:r>
        <w:rPr>
          <w:rFonts w:ascii="Times New Roman" w:hAnsi="Times New Roman"/>
          <w:position w:val="7"/>
          <w:sz w:val="12"/>
        </w:rPr>
        <w:t>new i</w:t>
      </w:r>
      <w:r>
        <w:rPr>
          <w:rFonts w:ascii="Times New Roman" w:hAnsi="Times New Roman"/>
          <w:position w:val="1"/>
          <w:sz w:val="18"/>
        </w:rPr>
        <w:t>V</w:t>
      </w:r>
      <w:r>
        <w:rPr>
          <w:rFonts w:ascii="Times New Roman" w:hAnsi="Times New Roman"/>
          <w:sz w:val="12"/>
        </w:rPr>
        <w:t>k  </w:t>
      </w:r>
      <w:r>
        <w:rPr>
          <w:rFonts w:ascii="Times New Roman" w:hAnsi="Times New Roman"/>
          <w:position w:val="1"/>
          <w:sz w:val="18"/>
        </w:rPr>
        <w:t>- &lt;</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)&gt;</w:t>
      </w:r>
      <w:r>
        <w:rPr>
          <w:rFonts w:ascii="Times New Roman" w:hAnsi="Times New Roman"/>
          <w:sz w:val="12"/>
        </w:rPr>
        <w:t>new</w:t>
      </w:r>
      <w:r>
        <w:rPr>
          <w:rFonts w:ascii="Times New Roman" w:hAnsi="Times New Roman"/>
          <w:position w:val="1"/>
          <w:sz w:val="18"/>
        </w:rPr>
        <w:t>)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w:t>
      </w:r>
      <w:r>
        <w:rPr>
          <w:rFonts w:ascii="Times New Roman" w:hAnsi="Times New Roman"/>
          <w:sz w:val="12"/>
        </w:rPr>
        <w:t>ref</w:t>
      </w:r>
      <w:r>
        <w:rPr>
          <w:rFonts w:ascii="Times New Roman" w:hAnsi="Times New Roman"/>
          <w:position w:val="1"/>
          <w:sz w:val="18"/>
        </w:rPr>
        <w:t>·(</w:t>
      </w:r>
      <w:r>
        <w:rPr>
          <w:rFonts w:ascii="Times New Roman" w:hAnsi="Times New Roman"/>
          <w:position w:val="7"/>
          <w:sz w:val="12"/>
        </w:rPr>
        <w:t>ref i</w:t>
      </w:r>
      <w:r>
        <w:rPr>
          <w:rFonts w:ascii="Times New Roman" w:hAnsi="Times New Roman"/>
          <w:position w:val="1"/>
          <w:sz w:val="18"/>
        </w:rPr>
        <w:t>V</w:t>
      </w:r>
      <w:r>
        <w:rPr>
          <w:rFonts w:ascii="Times New Roman" w:hAnsi="Times New Roman"/>
          <w:sz w:val="12"/>
        </w:rPr>
        <w:t>k  </w:t>
      </w:r>
      <w:r>
        <w:rPr>
          <w:rFonts w:ascii="Times New Roman" w:hAnsi="Times New Roman"/>
          <w:position w:val="1"/>
          <w:sz w:val="18"/>
        </w:rPr>
        <w:t>- &lt;</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)&gt;</w:t>
      </w:r>
      <w:r>
        <w:rPr>
          <w:rFonts w:ascii="Times New Roman" w:hAnsi="Times New Roman"/>
          <w:sz w:val="12"/>
        </w:rPr>
        <w:t>ref</w:t>
      </w:r>
      <w:r>
        <w:rPr>
          <w:rFonts w:ascii="Times New Roman" w:hAnsi="Times New Roman"/>
          <w:position w:val="1"/>
          <w:sz w:val="18"/>
        </w:rPr>
        <w:t>) are PT operators.</w:t>
      </w:r>
    </w:p>
    <w:p>
      <w:pPr>
        <w:pStyle w:val="BodyText"/>
        <w:spacing w:before="5"/>
        <w:rPr>
          <w:rFonts w:ascii="Times New Roman"/>
          <w:sz w:val="23"/>
        </w:rPr>
      </w:pPr>
    </w:p>
    <w:p>
      <w:pPr>
        <w:pStyle w:val="BodyText"/>
        <w:spacing w:after="25"/>
        <w:ind w:left="8"/>
        <w:jc w:val="center"/>
        <w:rPr>
          <w:rFonts w:ascii="Times New Roman"/>
        </w:rPr>
      </w:pPr>
      <w:r>
        <w:rPr>
          <w:rFonts w:ascii="Times New Roman"/>
          <w:b/>
        </w:rPr>
        <w:t>Table 7. </w:t>
      </w:r>
      <w:r>
        <w:rPr>
          <w:rFonts w:ascii="Times New Roman"/>
        </w:rPr>
        <w:t>Details of PT-LFER model for fatty acids distribution network</w:t>
      </w:r>
    </w:p>
    <w:tbl>
      <w:tblPr>
        <w:tblW w:w="0" w:type="auto"/>
        <w:jc w:val="left"/>
        <w:tblInd w:w="4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644"/>
        <w:gridCol w:w="1063"/>
        <w:gridCol w:w="1233"/>
        <w:gridCol w:w="864"/>
        <w:gridCol w:w="4700"/>
      </w:tblGrid>
      <w:tr>
        <w:trPr>
          <w:trHeight w:val="432" w:hRule="exact"/>
        </w:trPr>
        <w:tc>
          <w:tcPr>
            <w:tcW w:w="644" w:type="dxa"/>
            <w:tcBorders>
              <w:left w:val="nil"/>
              <w:bottom w:val="single" w:sz="4" w:space="0" w:color="000000"/>
              <w:right w:val="nil"/>
            </w:tcBorders>
          </w:tcPr>
          <w:p>
            <w:pPr>
              <w:pStyle w:val="TableParagraph"/>
              <w:spacing w:before="100"/>
              <w:ind w:left="71"/>
              <w:rPr>
                <w:i/>
                <w:sz w:val="18"/>
              </w:rPr>
            </w:pPr>
            <w:r>
              <w:rPr>
                <w:i/>
                <w:sz w:val="18"/>
              </w:rPr>
              <w:t>Coeff.</w:t>
            </w:r>
          </w:p>
        </w:tc>
        <w:tc>
          <w:tcPr>
            <w:tcW w:w="1063" w:type="dxa"/>
            <w:tcBorders>
              <w:left w:val="nil"/>
              <w:bottom w:val="single" w:sz="4" w:space="0" w:color="000000"/>
              <w:right w:val="nil"/>
            </w:tcBorders>
          </w:tcPr>
          <w:p>
            <w:pPr>
              <w:pStyle w:val="TableParagraph"/>
              <w:spacing w:before="96"/>
              <w:ind w:left="133"/>
              <w:rPr>
                <w:sz w:val="12"/>
              </w:rPr>
            </w:pPr>
            <w:r>
              <w:rPr>
                <w:sz w:val="18"/>
              </w:rPr>
              <w:t>Variable </w:t>
            </w:r>
            <w:r>
              <w:rPr>
                <w:position w:val="6"/>
                <w:sz w:val="12"/>
              </w:rPr>
              <w:t>a</w:t>
            </w:r>
          </w:p>
        </w:tc>
        <w:tc>
          <w:tcPr>
            <w:tcW w:w="1233" w:type="dxa"/>
            <w:tcBorders>
              <w:left w:val="nil"/>
              <w:bottom w:val="single" w:sz="4" w:space="0" w:color="000000"/>
              <w:right w:val="nil"/>
            </w:tcBorders>
          </w:tcPr>
          <w:p>
            <w:pPr>
              <w:pStyle w:val="TableParagraph"/>
              <w:spacing w:before="100"/>
              <w:ind w:left="208"/>
              <w:rPr>
                <w:sz w:val="18"/>
              </w:rPr>
            </w:pPr>
            <w:r>
              <w:rPr>
                <w:sz w:val="18"/>
              </w:rPr>
              <w:t>Eigenvalues</w:t>
            </w:r>
          </w:p>
        </w:tc>
        <w:tc>
          <w:tcPr>
            <w:tcW w:w="864" w:type="dxa"/>
            <w:tcBorders>
              <w:left w:val="nil"/>
              <w:bottom w:val="single" w:sz="4" w:space="0" w:color="000000"/>
              <w:right w:val="nil"/>
            </w:tcBorders>
          </w:tcPr>
          <w:p>
            <w:pPr>
              <w:pStyle w:val="TableParagraph"/>
              <w:spacing w:line="199" w:lineRule="exact"/>
              <w:ind w:left="142" w:right="-55"/>
              <w:rPr>
                <w:sz w:val="18"/>
              </w:rPr>
            </w:pPr>
            <w:r>
              <w:rPr>
                <w:sz w:val="18"/>
              </w:rPr>
              <w:t>Classic</w:t>
            </w:r>
            <w:r>
              <w:rPr>
                <w:spacing w:val="2"/>
                <w:sz w:val="18"/>
              </w:rPr>
              <w:t> </w:t>
            </w:r>
            <w:r>
              <w:rPr>
                <w:sz w:val="18"/>
              </w:rPr>
              <w:t>Sy</w:t>
            </w:r>
          </w:p>
          <w:p>
            <w:pPr>
              <w:pStyle w:val="TableParagraph"/>
              <w:spacing w:line="135" w:lineRule="exact"/>
              <w:ind w:left="142"/>
              <w:rPr>
                <w:sz w:val="12"/>
              </w:rPr>
            </w:pPr>
            <w:r>
              <w:rPr>
                <w:sz w:val="12"/>
              </w:rPr>
              <w:t>b</w:t>
            </w:r>
          </w:p>
        </w:tc>
        <w:tc>
          <w:tcPr>
            <w:tcW w:w="4700" w:type="dxa"/>
            <w:tcBorders>
              <w:left w:val="nil"/>
              <w:bottom w:val="single" w:sz="4" w:space="0" w:color="000000"/>
              <w:right w:val="nil"/>
            </w:tcBorders>
          </w:tcPr>
          <w:p>
            <w:pPr>
              <w:pStyle w:val="TableParagraph"/>
              <w:spacing w:line="308" w:lineRule="exact"/>
              <w:ind w:left="31"/>
              <w:rPr>
                <w:sz w:val="12"/>
              </w:rPr>
            </w:pPr>
            <w:r>
              <w:rPr>
                <w:position w:val="11"/>
                <w:sz w:val="18"/>
              </w:rPr>
              <w:t>mbols    </w:t>
            </w:r>
            <w:r>
              <w:rPr>
                <w:sz w:val="18"/>
              </w:rPr>
              <w:t>Description of input variables </w:t>
            </w:r>
            <w:r>
              <w:rPr>
                <w:position w:val="6"/>
                <w:sz w:val="12"/>
              </w:rPr>
              <w:t>c</w:t>
            </w:r>
          </w:p>
        </w:tc>
      </w:tr>
      <w:tr>
        <w:trPr>
          <w:trHeight w:val="399" w:hRule="exact"/>
        </w:trPr>
        <w:tc>
          <w:tcPr>
            <w:tcW w:w="644" w:type="dxa"/>
            <w:tcBorders>
              <w:top w:val="single" w:sz="4" w:space="0" w:color="000000"/>
              <w:left w:val="nil"/>
              <w:bottom w:val="nil"/>
              <w:right w:val="nil"/>
            </w:tcBorders>
          </w:tcPr>
          <w:p>
            <w:pPr>
              <w:pStyle w:val="TableParagraph"/>
              <w:spacing w:before="62"/>
              <w:ind w:left="71"/>
              <w:rPr>
                <w:sz w:val="12"/>
              </w:rPr>
            </w:pPr>
            <w:r>
              <w:rPr>
                <w:position w:val="1"/>
                <w:sz w:val="18"/>
              </w:rPr>
              <w:t>a</w:t>
            </w:r>
            <w:r>
              <w:rPr>
                <w:sz w:val="12"/>
              </w:rPr>
              <w:t>0</w:t>
            </w:r>
          </w:p>
        </w:tc>
        <w:tc>
          <w:tcPr>
            <w:tcW w:w="1063" w:type="dxa"/>
            <w:tcBorders>
              <w:top w:val="single" w:sz="4" w:space="0" w:color="000000"/>
              <w:left w:val="nil"/>
              <w:bottom w:val="nil"/>
              <w:right w:val="nil"/>
            </w:tcBorders>
          </w:tcPr>
          <w:p>
            <w:pPr>
              <w:pStyle w:val="TableParagraph"/>
              <w:spacing w:before="62"/>
              <w:ind w:left="133"/>
              <w:rPr>
                <w:sz w:val="18"/>
              </w:rPr>
            </w:pPr>
            <w:r>
              <w:rPr>
                <w:sz w:val="18"/>
              </w:rPr>
              <w:t>Intercept</w:t>
            </w:r>
          </w:p>
        </w:tc>
        <w:tc>
          <w:tcPr>
            <w:tcW w:w="1233" w:type="dxa"/>
            <w:tcBorders>
              <w:top w:val="single" w:sz="4" w:space="0" w:color="000000"/>
              <w:left w:val="nil"/>
              <w:bottom w:val="nil"/>
              <w:right w:val="nil"/>
            </w:tcBorders>
          </w:tcPr>
          <w:p>
            <w:pPr>
              <w:pStyle w:val="TableParagraph"/>
              <w:spacing w:before="62"/>
              <w:ind w:left="208"/>
              <w:rPr>
                <w:sz w:val="18"/>
              </w:rPr>
            </w:pPr>
            <w:r>
              <w:rPr>
                <w:sz w:val="18"/>
              </w:rPr>
              <w:t>1.1352</w:t>
            </w:r>
          </w:p>
        </w:tc>
        <w:tc>
          <w:tcPr>
            <w:tcW w:w="864" w:type="dxa"/>
            <w:tcBorders>
              <w:top w:val="single" w:sz="4" w:space="0" w:color="000000"/>
              <w:left w:val="nil"/>
              <w:bottom w:val="nil"/>
              <w:right w:val="nil"/>
            </w:tcBorders>
          </w:tcPr>
          <w:p>
            <w:pPr/>
          </w:p>
        </w:tc>
        <w:tc>
          <w:tcPr>
            <w:tcW w:w="4700" w:type="dxa"/>
            <w:tcBorders>
              <w:top w:val="single" w:sz="4" w:space="0" w:color="000000"/>
              <w:left w:val="nil"/>
              <w:bottom w:val="nil"/>
              <w:right w:val="nil"/>
            </w:tcBorders>
          </w:tcPr>
          <w:p>
            <w:pPr/>
          </w:p>
        </w:tc>
      </w:tr>
    </w:tbl>
    <w:p>
      <w:pPr>
        <w:tabs>
          <w:tab w:pos="705" w:val="left" w:leader="none"/>
          <w:tab w:pos="1843" w:val="left" w:leader="none"/>
          <w:tab w:pos="3010" w:val="left" w:leader="none"/>
          <w:tab w:pos="4393" w:val="left" w:leader="none"/>
        </w:tabs>
        <w:spacing w:before="18"/>
        <w:ind w:left="0" w:right="1585" w:firstLine="0"/>
        <w:jc w:val="right"/>
        <w:rPr>
          <w:rFonts w:ascii="Times New Roman" w:hAnsi="Times New Roman"/>
          <w:sz w:val="18"/>
        </w:rPr>
      </w:pPr>
      <w:r>
        <w:rPr/>
        <w:drawing>
          <wp:anchor distT="0" distB="0" distL="0" distR="0" allowOverlap="1" layoutInCell="1" locked="0" behindDoc="1" simplePos="0" relativeHeight="268108391">
            <wp:simplePos x="0" y="0"/>
            <wp:positionH relativeFrom="page">
              <wp:posOffset>1183233</wp:posOffset>
            </wp:positionH>
            <wp:positionV relativeFrom="paragraph">
              <wp:posOffset>-34006</wp:posOffset>
            </wp:positionV>
            <wp:extent cx="5406513" cy="6096"/>
            <wp:effectExtent l="0" t="0" r="0" b="0"/>
            <wp:wrapNone/>
            <wp:docPr id="159" name="image97.png" descr=""/>
            <wp:cNvGraphicFramePr>
              <a:graphicFrameLocks noChangeAspect="1"/>
            </wp:cNvGraphicFramePr>
            <a:graphic>
              <a:graphicData uri="http://schemas.openxmlformats.org/drawingml/2006/picture">
                <pic:pic>
                  <pic:nvPicPr>
                    <pic:cNvPr id="160" name="image97.png"/>
                    <pic:cNvPicPr/>
                  </pic:nvPicPr>
                  <pic:blipFill>
                    <a:blip r:embed="rId180" cstate="print"/>
                    <a:stretch>
                      <a:fillRect/>
                    </a:stretch>
                  </pic:blipFill>
                  <pic:spPr>
                    <a:xfrm>
                      <a:off x="0" y="0"/>
                      <a:ext cx="5406513" cy="6096"/>
                    </a:xfrm>
                    <a:prstGeom prst="rect">
                      <a:avLst/>
                    </a:prstGeom>
                  </pic:spPr>
                </pic:pic>
              </a:graphicData>
            </a:graphic>
          </wp:anchor>
        </w:drawing>
      </w:r>
      <w:r>
        <w:rPr/>
        <w:pict>
          <v:shape style="position:absolute;margin-left:93.33799pt;margin-top:15.322334pt;width:317.55pt;height:435.15pt;mso-position-horizontal-relative:page;mso-position-vertical-relative:paragraph;z-index:54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9"/>
                    <w:gridCol w:w="1269"/>
                    <w:gridCol w:w="1072"/>
                    <w:gridCol w:w="3480"/>
                  </w:tblGrid>
                  <w:tr>
                    <w:trPr>
                      <w:trHeight w:val="350" w:hRule="exact"/>
                    </w:trPr>
                    <w:tc>
                      <w:tcPr>
                        <w:tcW w:w="529" w:type="dxa"/>
                      </w:tcPr>
                      <w:p>
                        <w:pPr>
                          <w:pStyle w:val="TableParagraph"/>
                          <w:spacing w:before="62"/>
                          <w:ind w:left="73"/>
                          <w:rPr>
                            <w:sz w:val="12"/>
                          </w:rPr>
                        </w:pPr>
                        <w:r>
                          <w:rPr>
                            <w:position w:val="1"/>
                            <w:sz w:val="18"/>
                          </w:rPr>
                          <w:t>a</w:t>
                        </w:r>
                        <w:r>
                          <w:rPr>
                            <w:sz w:val="12"/>
                          </w:rPr>
                          <w:t>2</w:t>
                        </w:r>
                      </w:p>
                    </w:tc>
                    <w:tc>
                      <w:tcPr>
                        <w:tcW w:w="1269" w:type="dxa"/>
                      </w:tcPr>
                      <w:p>
                        <w:pPr>
                          <w:pStyle w:val="TableParagraph"/>
                          <w:spacing w:before="62"/>
                          <w:ind w:left="249"/>
                          <w:rPr>
                            <w:sz w:val="12"/>
                          </w:rPr>
                        </w:pPr>
                        <w:r>
                          <w:rPr>
                            <w:position w:val="1"/>
                            <w:sz w:val="18"/>
                          </w:rPr>
                          <w:t>ω-3_</w:t>
                        </w:r>
                        <w:r>
                          <w:rPr>
                            <w:sz w:val="12"/>
                          </w:rPr>
                          <w:t>new</w:t>
                        </w:r>
                      </w:p>
                    </w:tc>
                    <w:tc>
                      <w:tcPr>
                        <w:tcW w:w="1072" w:type="dxa"/>
                      </w:tcPr>
                      <w:p>
                        <w:pPr>
                          <w:pStyle w:val="TableParagraph"/>
                          <w:spacing w:before="129"/>
                          <w:ind w:left="118"/>
                          <w:rPr>
                            <w:sz w:val="18"/>
                          </w:rPr>
                        </w:pPr>
                        <w:r>
                          <w:rPr>
                            <w:sz w:val="18"/>
                          </w:rPr>
                          <w:t>4.0087</w:t>
                        </w:r>
                      </w:p>
                    </w:tc>
                    <w:tc>
                      <w:tcPr>
                        <w:tcW w:w="3480" w:type="dxa"/>
                      </w:tcPr>
                      <w:p>
                        <w:pPr>
                          <w:pStyle w:val="TableParagraph"/>
                          <w:tabs>
                            <w:tab w:pos="1596" w:val="left" w:leader="none"/>
                          </w:tabs>
                          <w:spacing w:before="62"/>
                          <w:ind w:left="213"/>
                          <w:rPr>
                            <w:sz w:val="18"/>
                          </w:rPr>
                        </w:pPr>
                        <w:r>
                          <w:rPr>
                            <w:sz w:val="18"/>
                          </w:rPr>
                          <w:t>ω-3</w:t>
                          <w:tab/>
                          <w:t>Exogenous ω-3 </w:t>
                        </w:r>
                        <w:r>
                          <w:rPr>
                            <w:spacing w:val="-3"/>
                            <w:sz w:val="18"/>
                          </w:rPr>
                          <w:t>PUFAs</w:t>
                        </w:r>
                        <w:r>
                          <w:rPr>
                            <w:spacing w:val="11"/>
                            <w:sz w:val="18"/>
                          </w:rPr>
                          <w:t> </w:t>
                        </w:r>
                        <w:r>
                          <w:rPr>
                            <w:sz w:val="18"/>
                          </w:rPr>
                          <w:t>in</w:t>
                        </w:r>
                      </w:p>
                    </w:tc>
                  </w:tr>
                  <w:tr>
                    <w:trPr>
                      <w:trHeight w:val="269" w:hRule="exact"/>
                    </w:trPr>
                    <w:tc>
                      <w:tcPr>
                        <w:tcW w:w="529" w:type="dxa"/>
                      </w:tcPr>
                      <w:p>
                        <w:pPr>
                          <w:pStyle w:val="TableParagraph"/>
                          <w:spacing w:line="202" w:lineRule="exact"/>
                          <w:ind w:left="73"/>
                          <w:rPr>
                            <w:sz w:val="12"/>
                          </w:rPr>
                        </w:pPr>
                        <w:r>
                          <w:rPr>
                            <w:position w:val="1"/>
                            <w:sz w:val="18"/>
                          </w:rPr>
                          <w:t>a</w:t>
                        </w:r>
                        <w:r>
                          <w:rPr>
                            <w:sz w:val="12"/>
                          </w:rPr>
                          <w:t>3</w:t>
                        </w:r>
                      </w:p>
                    </w:tc>
                    <w:tc>
                      <w:tcPr>
                        <w:tcW w:w="1269" w:type="dxa"/>
                      </w:tcPr>
                      <w:p>
                        <w:pPr>
                          <w:pStyle w:val="TableParagraph"/>
                          <w:spacing w:line="202" w:lineRule="exact"/>
                          <w:ind w:left="249"/>
                          <w:rPr>
                            <w:sz w:val="12"/>
                          </w:rPr>
                        </w:pPr>
                        <w:r>
                          <w:rPr>
                            <w:position w:val="1"/>
                            <w:sz w:val="18"/>
                          </w:rPr>
                          <w:t>pH_72h_</w:t>
                        </w:r>
                        <w:r>
                          <w:rPr>
                            <w:sz w:val="12"/>
                          </w:rPr>
                          <w:t>new</w:t>
                        </w:r>
                      </w:p>
                    </w:tc>
                    <w:tc>
                      <w:tcPr>
                        <w:tcW w:w="1072" w:type="dxa"/>
                      </w:tcPr>
                      <w:p>
                        <w:pPr>
                          <w:pStyle w:val="TableParagraph"/>
                          <w:spacing w:line="203" w:lineRule="exact"/>
                          <w:ind w:left="118"/>
                          <w:rPr>
                            <w:sz w:val="18"/>
                          </w:rPr>
                        </w:pPr>
                        <w:r>
                          <w:rPr>
                            <w:sz w:val="18"/>
                          </w:rPr>
                          <w:t>-0.0173</w:t>
                        </w:r>
                      </w:p>
                    </w:tc>
                    <w:tc>
                      <w:tcPr>
                        <w:tcW w:w="3480" w:type="dxa"/>
                      </w:tcPr>
                      <w:p>
                        <w:pPr>
                          <w:pStyle w:val="TableParagraph"/>
                          <w:tabs>
                            <w:tab w:pos="1596" w:val="left" w:leader="none"/>
                          </w:tabs>
                          <w:spacing w:line="203" w:lineRule="exact"/>
                          <w:ind w:left="213"/>
                          <w:rPr>
                            <w:sz w:val="18"/>
                          </w:rPr>
                        </w:pPr>
                        <w:r>
                          <w:rPr>
                            <w:sz w:val="18"/>
                          </w:rPr>
                          <w:t>pH</w:t>
                          <w:tab/>
                          <w:t>pH value at 72h</w:t>
                        </w:r>
                        <w:r>
                          <w:rPr>
                            <w:spacing w:val="15"/>
                            <w:sz w:val="18"/>
                          </w:rPr>
                          <w:t> </w:t>
                        </w:r>
                        <w:r>
                          <w:rPr>
                            <w:spacing w:val="-3"/>
                            <w:sz w:val="18"/>
                          </w:rPr>
                          <w:t>fermentat</w:t>
                        </w:r>
                      </w:p>
                    </w:tc>
                  </w:tr>
                  <w:tr>
                    <w:trPr>
                      <w:trHeight w:val="355" w:hRule="exact"/>
                    </w:trPr>
                    <w:tc>
                      <w:tcPr>
                        <w:tcW w:w="529" w:type="dxa"/>
                      </w:tcPr>
                      <w:p>
                        <w:pPr>
                          <w:pStyle w:val="TableParagraph"/>
                          <w:spacing w:before="48"/>
                          <w:ind w:left="73"/>
                          <w:rPr>
                            <w:sz w:val="12"/>
                          </w:rPr>
                        </w:pPr>
                        <w:r>
                          <w:rPr>
                            <w:position w:val="1"/>
                            <w:sz w:val="18"/>
                          </w:rPr>
                          <w:t>a</w:t>
                        </w:r>
                        <w:r>
                          <w:rPr>
                            <w:sz w:val="12"/>
                          </w:rPr>
                          <w:t>4</w:t>
                        </w:r>
                      </w:p>
                    </w:tc>
                    <w:tc>
                      <w:tcPr>
                        <w:tcW w:w="1269" w:type="dxa"/>
                      </w:tcPr>
                      <w:p>
                        <w:pPr>
                          <w:pStyle w:val="TableParagraph"/>
                          <w:spacing w:before="48"/>
                          <w:ind w:left="249"/>
                          <w:rPr>
                            <w:sz w:val="12"/>
                          </w:rPr>
                        </w:pPr>
                        <w:r>
                          <w:rPr>
                            <w:position w:val="1"/>
                            <w:sz w:val="18"/>
                          </w:rPr>
                          <w:t>IPA_</w:t>
                        </w:r>
                        <w:r>
                          <w:rPr>
                            <w:sz w:val="12"/>
                          </w:rPr>
                          <w:t>new</w:t>
                        </w:r>
                      </w:p>
                    </w:tc>
                    <w:tc>
                      <w:tcPr>
                        <w:tcW w:w="1072" w:type="dxa"/>
                      </w:tcPr>
                      <w:p>
                        <w:pPr>
                          <w:pStyle w:val="TableParagraph"/>
                          <w:spacing w:before="48"/>
                          <w:ind w:left="118"/>
                          <w:rPr>
                            <w:sz w:val="18"/>
                          </w:rPr>
                        </w:pPr>
                        <w:r>
                          <w:rPr>
                            <w:sz w:val="18"/>
                          </w:rPr>
                          <w:t>-4.1554</w:t>
                        </w:r>
                      </w:p>
                    </w:tc>
                    <w:tc>
                      <w:tcPr>
                        <w:tcW w:w="3480" w:type="dxa"/>
                      </w:tcPr>
                      <w:p>
                        <w:pPr>
                          <w:pStyle w:val="TableParagraph"/>
                          <w:tabs>
                            <w:tab w:pos="1596" w:val="left" w:leader="none"/>
                          </w:tabs>
                          <w:spacing w:line="260" w:lineRule="exact"/>
                          <w:ind w:left="213" w:right="-33"/>
                          <w:rPr>
                            <w:sz w:val="18"/>
                          </w:rPr>
                        </w:pPr>
                        <w:r>
                          <w:rPr>
                            <w:position w:val="-10"/>
                            <w:sz w:val="18"/>
                          </w:rPr>
                          <w:t>FA</w:t>
                        </w:r>
                        <w:r>
                          <w:rPr>
                            <w:spacing w:val="-5"/>
                            <w:position w:val="-10"/>
                            <w:sz w:val="18"/>
                          </w:rPr>
                          <w:t> </w:t>
                        </w:r>
                        <w:r>
                          <w:rPr>
                            <w:position w:val="-10"/>
                            <w:sz w:val="18"/>
                          </w:rPr>
                          <w:t>proportion</w:t>
                          <w:tab/>
                        </w:r>
                        <w:r>
                          <w:rPr>
                            <w:sz w:val="18"/>
                          </w:rPr>
                          <w:t>Internal peak area value</w:t>
                        </w:r>
                        <w:r>
                          <w:rPr>
                            <w:spacing w:val="-6"/>
                            <w:sz w:val="18"/>
                          </w:rPr>
                          <w:t> </w:t>
                        </w:r>
                        <w:r>
                          <w:rPr>
                            <w:spacing w:val="-3"/>
                            <w:sz w:val="18"/>
                          </w:rPr>
                          <w:t>of</w:t>
                        </w:r>
                      </w:p>
                    </w:tc>
                  </w:tr>
                  <w:tr>
                    <w:trPr>
                      <w:trHeight w:val="387" w:hRule="exact"/>
                    </w:trPr>
                    <w:tc>
                      <w:tcPr>
                        <w:tcW w:w="529" w:type="dxa"/>
                      </w:tcPr>
                      <w:p>
                        <w:pPr>
                          <w:pStyle w:val="TableParagraph"/>
                          <w:spacing w:before="81"/>
                          <w:ind w:left="73"/>
                          <w:rPr>
                            <w:sz w:val="12"/>
                          </w:rPr>
                        </w:pPr>
                        <w:r>
                          <w:rPr>
                            <w:position w:val="1"/>
                            <w:sz w:val="18"/>
                          </w:rPr>
                          <w:t>b</w:t>
                        </w:r>
                        <w:r>
                          <w:rPr>
                            <w:sz w:val="12"/>
                          </w:rPr>
                          <w:t>5</w:t>
                        </w:r>
                      </w:p>
                    </w:tc>
                    <w:tc>
                      <w:tcPr>
                        <w:tcW w:w="1269" w:type="dxa"/>
                      </w:tcPr>
                      <w:p>
                        <w:pPr>
                          <w:pStyle w:val="TableParagraph"/>
                          <w:spacing w:before="82"/>
                          <w:ind w:left="249"/>
                          <w:rPr>
                            <w:sz w:val="18"/>
                          </w:rPr>
                        </w:pPr>
                        <w:r>
                          <w:rPr>
                            <w:sz w:val="18"/>
                          </w:rPr>
                          <w:t>∆ω-6</w:t>
                        </w:r>
                      </w:p>
                    </w:tc>
                    <w:tc>
                      <w:tcPr>
                        <w:tcW w:w="1072" w:type="dxa"/>
                      </w:tcPr>
                      <w:p>
                        <w:pPr>
                          <w:pStyle w:val="TableParagraph"/>
                          <w:spacing w:before="82"/>
                          <w:ind w:left="118"/>
                          <w:rPr>
                            <w:sz w:val="18"/>
                          </w:rPr>
                        </w:pPr>
                        <w:r>
                          <w:rPr>
                            <w:sz w:val="18"/>
                          </w:rPr>
                          <w:t>-8.6897</w:t>
                        </w:r>
                      </w:p>
                    </w:tc>
                    <w:tc>
                      <w:tcPr>
                        <w:tcW w:w="3480" w:type="dxa"/>
                      </w:tcPr>
                      <w:p>
                        <w:pPr>
                          <w:pStyle w:val="TableParagraph"/>
                          <w:tabs>
                            <w:tab w:pos="1596" w:val="left" w:leader="none"/>
                          </w:tabs>
                          <w:spacing w:before="82"/>
                          <w:ind w:left="213"/>
                          <w:rPr>
                            <w:sz w:val="18"/>
                          </w:rPr>
                        </w:pPr>
                        <w:r>
                          <w:rPr>
                            <w:sz w:val="18"/>
                          </w:rPr>
                          <w:t>ω-6</w:t>
                          <w:tab/>
                          <w:t>Difference (∆) </w:t>
                        </w:r>
                        <w:r>
                          <w:rPr>
                            <w:spacing w:val="-3"/>
                            <w:sz w:val="18"/>
                          </w:rPr>
                          <w:t>of </w:t>
                        </w:r>
                        <w:r>
                          <w:rPr>
                            <w:sz w:val="18"/>
                          </w:rPr>
                          <w:t>ω-6 in</w:t>
                        </w:r>
                        <w:r>
                          <w:rPr>
                            <w:spacing w:val="2"/>
                            <w:sz w:val="18"/>
                          </w:rPr>
                          <w:t> </w:t>
                        </w:r>
                        <w:r>
                          <w:rPr>
                            <w:sz w:val="18"/>
                          </w:rPr>
                          <w:t>t</w:t>
                        </w:r>
                      </w:p>
                    </w:tc>
                  </w:tr>
                  <w:tr>
                    <w:trPr>
                      <w:trHeight w:val="387" w:hRule="exact"/>
                    </w:trPr>
                    <w:tc>
                      <w:tcPr>
                        <w:tcW w:w="529" w:type="dxa"/>
                      </w:tcPr>
                      <w:p>
                        <w:pPr>
                          <w:pStyle w:val="TableParagraph"/>
                          <w:spacing w:before="79"/>
                          <w:ind w:left="73"/>
                          <w:rPr>
                            <w:sz w:val="12"/>
                          </w:rPr>
                        </w:pPr>
                        <w:r>
                          <w:rPr>
                            <w:position w:val="1"/>
                            <w:sz w:val="18"/>
                          </w:rPr>
                          <w:t>b</w:t>
                        </w:r>
                        <w:r>
                          <w:rPr>
                            <w:sz w:val="12"/>
                          </w:rPr>
                          <w:t>6</w:t>
                        </w:r>
                      </w:p>
                    </w:tc>
                    <w:tc>
                      <w:tcPr>
                        <w:tcW w:w="1269" w:type="dxa"/>
                      </w:tcPr>
                      <w:p>
                        <w:pPr>
                          <w:pStyle w:val="TableParagraph"/>
                          <w:spacing w:before="80"/>
                          <w:ind w:left="249"/>
                          <w:rPr>
                            <w:sz w:val="18"/>
                          </w:rPr>
                        </w:pPr>
                        <w:r>
                          <w:rPr>
                            <w:sz w:val="18"/>
                          </w:rPr>
                          <w:t>∆P(psi)</w:t>
                        </w:r>
                      </w:p>
                    </w:tc>
                    <w:tc>
                      <w:tcPr>
                        <w:tcW w:w="1072" w:type="dxa"/>
                      </w:tcPr>
                      <w:p>
                        <w:pPr>
                          <w:pStyle w:val="TableParagraph"/>
                          <w:spacing w:before="80"/>
                          <w:ind w:left="118"/>
                          <w:rPr>
                            <w:sz w:val="18"/>
                          </w:rPr>
                        </w:pPr>
                        <w:r>
                          <w:rPr>
                            <w:sz w:val="18"/>
                          </w:rPr>
                          <w:t>0.0091</w:t>
                        </w:r>
                      </w:p>
                    </w:tc>
                    <w:tc>
                      <w:tcPr>
                        <w:tcW w:w="3480" w:type="dxa"/>
                      </w:tcPr>
                      <w:p>
                        <w:pPr>
                          <w:pStyle w:val="TableParagraph"/>
                          <w:tabs>
                            <w:tab w:pos="1596" w:val="left" w:leader="none"/>
                          </w:tabs>
                          <w:spacing w:line="286" w:lineRule="exact"/>
                          <w:ind w:left="213" w:right="-15"/>
                          <w:rPr>
                            <w:sz w:val="18"/>
                          </w:rPr>
                        </w:pPr>
                        <w:r>
                          <w:rPr>
                            <w:position w:val="-9"/>
                            <w:sz w:val="18"/>
                          </w:rPr>
                          <w:t>Gas</w:t>
                        </w:r>
                        <w:r>
                          <w:rPr>
                            <w:spacing w:val="-1"/>
                            <w:position w:val="-9"/>
                            <w:sz w:val="18"/>
                          </w:rPr>
                          <w:t> </w:t>
                        </w:r>
                        <w:r>
                          <w:rPr>
                            <w:position w:val="-9"/>
                            <w:sz w:val="18"/>
                          </w:rPr>
                          <w:t>pressure</w:t>
                          <w:tab/>
                        </w:r>
                        <w:r>
                          <w:rPr>
                            <w:sz w:val="18"/>
                          </w:rPr>
                          <w:t>Difference </w:t>
                        </w:r>
                        <w:r>
                          <w:rPr>
                            <w:spacing w:val="-3"/>
                            <w:sz w:val="18"/>
                          </w:rPr>
                          <w:t>of </w:t>
                        </w:r>
                        <w:r>
                          <w:rPr>
                            <w:sz w:val="18"/>
                          </w:rPr>
                          <w:t>gas</w:t>
                        </w:r>
                        <w:r>
                          <w:rPr>
                            <w:spacing w:val="3"/>
                            <w:sz w:val="18"/>
                          </w:rPr>
                          <w:t> </w:t>
                        </w:r>
                        <w:r>
                          <w:rPr>
                            <w:sz w:val="18"/>
                          </w:rPr>
                          <w:t>pressure</w:t>
                        </w:r>
                      </w:p>
                    </w:tc>
                  </w:tr>
                  <w:tr>
                    <w:trPr>
                      <w:trHeight w:val="386" w:hRule="exact"/>
                    </w:trPr>
                    <w:tc>
                      <w:tcPr>
                        <w:tcW w:w="529" w:type="dxa"/>
                      </w:tcPr>
                      <w:p>
                        <w:pPr>
                          <w:pStyle w:val="TableParagraph"/>
                          <w:spacing w:before="81"/>
                          <w:ind w:left="73"/>
                          <w:rPr>
                            <w:sz w:val="12"/>
                          </w:rPr>
                        </w:pPr>
                        <w:r>
                          <w:rPr>
                            <w:position w:val="1"/>
                            <w:sz w:val="18"/>
                          </w:rPr>
                          <w:t>b</w:t>
                        </w:r>
                        <w:r>
                          <w:rPr>
                            <w:sz w:val="12"/>
                          </w:rPr>
                          <w:t>7</w:t>
                        </w:r>
                      </w:p>
                    </w:tc>
                    <w:tc>
                      <w:tcPr>
                        <w:tcW w:w="1269" w:type="dxa"/>
                      </w:tcPr>
                      <w:p>
                        <w:pPr>
                          <w:pStyle w:val="TableParagraph"/>
                          <w:spacing w:before="82"/>
                          <w:ind w:left="249"/>
                          <w:rPr>
                            <w:sz w:val="18"/>
                          </w:rPr>
                        </w:pPr>
                        <w:r>
                          <w:rPr>
                            <w:sz w:val="18"/>
                          </w:rPr>
                          <w:t>∆ω-3</w:t>
                        </w:r>
                      </w:p>
                    </w:tc>
                    <w:tc>
                      <w:tcPr>
                        <w:tcW w:w="1072" w:type="dxa"/>
                      </w:tcPr>
                      <w:p>
                        <w:pPr>
                          <w:pStyle w:val="TableParagraph"/>
                          <w:spacing w:before="82"/>
                          <w:ind w:left="118"/>
                          <w:rPr>
                            <w:sz w:val="18"/>
                          </w:rPr>
                        </w:pPr>
                        <w:r>
                          <w:rPr>
                            <w:sz w:val="18"/>
                          </w:rPr>
                          <w:t>-4.7979</w:t>
                        </w:r>
                      </w:p>
                    </w:tc>
                    <w:tc>
                      <w:tcPr>
                        <w:tcW w:w="3480" w:type="dxa"/>
                      </w:tcPr>
                      <w:p>
                        <w:pPr>
                          <w:pStyle w:val="TableParagraph"/>
                          <w:tabs>
                            <w:tab w:pos="1596" w:val="left" w:leader="none"/>
                          </w:tabs>
                          <w:spacing w:before="82"/>
                          <w:ind w:left="213"/>
                          <w:rPr>
                            <w:sz w:val="18"/>
                          </w:rPr>
                        </w:pPr>
                        <w:r>
                          <w:rPr>
                            <w:sz w:val="18"/>
                          </w:rPr>
                          <w:t>ω-3</w:t>
                          <w:tab/>
                          <w:t>Difference (∆) </w:t>
                        </w:r>
                        <w:r>
                          <w:rPr>
                            <w:spacing w:val="-3"/>
                            <w:sz w:val="18"/>
                          </w:rPr>
                          <w:t>of </w:t>
                        </w:r>
                        <w:r>
                          <w:rPr>
                            <w:sz w:val="18"/>
                          </w:rPr>
                          <w:t>ω-3 in</w:t>
                        </w:r>
                        <w:r>
                          <w:rPr>
                            <w:spacing w:val="2"/>
                            <w:sz w:val="18"/>
                          </w:rPr>
                          <w:t> </w:t>
                        </w:r>
                        <w:r>
                          <w:rPr>
                            <w:sz w:val="18"/>
                          </w:rPr>
                          <w:t>t</w:t>
                        </w:r>
                      </w:p>
                    </w:tc>
                  </w:tr>
                  <w:tr>
                    <w:trPr>
                      <w:trHeight w:val="406" w:hRule="exact"/>
                    </w:trPr>
                    <w:tc>
                      <w:tcPr>
                        <w:tcW w:w="529" w:type="dxa"/>
                      </w:tcPr>
                      <w:p>
                        <w:pPr>
                          <w:pStyle w:val="TableParagraph"/>
                          <w:spacing w:before="79"/>
                          <w:ind w:left="73"/>
                          <w:rPr>
                            <w:sz w:val="12"/>
                          </w:rPr>
                        </w:pPr>
                        <w:r>
                          <w:rPr>
                            <w:position w:val="1"/>
                            <w:sz w:val="18"/>
                          </w:rPr>
                          <w:t>b</w:t>
                        </w:r>
                        <w:r>
                          <w:rPr>
                            <w:sz w:val="12"/>
                          </w:rPr>
                          <w:t>8</w:t>
                        </w:r>
                      </w:p>
                    </w:tc>
                    <w:tc>
                      <w:tcPr>
                        <w:tcW w:w="1269" w:type="dxa"/>
                      </w:tcPr>
                      <w:p>
                        <w:pPr>
                          <w:pStyle w:val="TableParagraph"/>
                          <w:spacing w:before="79"/>
                          <w:ind w:left="249"/>
                          <w:rPr>
                            <w:sz w:val="12"/>
                          </w:rPr>
                        </w:pPr>
                        <w:r>
                          <w:rPr>
                            <w:position w:val="1"/>
                            <w:sz w:val="18"/>
                          </w:rPr>
                          <w:t>CH</w:t>
                        </w:r>
                        <w:r>
                          <w:rPr>
                            <w:sz w:val="12"/>
                          </w:rPr>
                          <w:t>4</w:t>
                        </w:r>
                        <w:r>
                          <w:rPr>
                            <w:position w:val="1"/>
                            <w:sz w:val="18"/>
                          </w:rPr>
                          <w:t>_48h_</w:t>
                        </w:r>
                        <w:r>
                          <w:rPr>
                            <w:sz w:val="12"/>
                          </w:rPr>
                          <w:t>ref</w:t>
                        </w:r>
                      </w:p>
                    </w:tc>
                    <w:tc>
                      <w:tcPr>
                        <w:tcW w:w="1072" w:type="dxa"/>
                      </w:tcPr>
                      <w:p>
                        <w:pPr>
                          <w:pStyle w:val="TableParagraph"/>
                          <w:spacing w:before="79"/>
                          <w:ind w:left="118"/>
                          <w:rPr>
                            <w:sz w:val="18"/>
                          </w:rPr>
                        </w:pPr>
                        <w:r>
                          <w:rPr>
                            <w:sz w:val="18"/>
                          </w:rPr>
                          <w:t>0.0848</w:t>
                        </w:r>
                      </w:p>
                    </w:tc>
                    <w:tc>
                      <w:tcPr>
                        <w:tcW w:w="3480" w:type="dxa"/>
                      </w:tcPr>
                      <w:p>
                        <w:pPr>
                          <w:pStyle w:val="TableParagraph"/>
                          <w:tabs>
                            <w:tab w:pos="1596" w:val="left" w:leader="none"/>
                          </w:tabs>
                          <w:spacing w:line="286" w:lineRule="exact"/>
                          <w:ind w:left="213"/>
                          <w:rPr>
                            <w:sz w:val="18"/>
                          </w:rPr>
                        </w:pPr>
                        <w:r>
                          <w:rPr>
                            <w:position w:val="-9"/>
                            <w:sz w:val="18"/>
                          </w:rPr>
                          <w:t>Methane</w:t>
                          <w:tab/>
                        </w:r>
                        <w:r>
                          <w:rPr>
                            <w:sz w:val="18"/>
                          </w:rPr>
                          <w:t>Methane production </w:t>
                        </w:r>
                        <w:r>
                          <w:rPr>
                            <w:spacing w:val="-3"/>
                            <w:sz w:val="18"/>
                          </w:rPr>
                          <w:t>at</w:t>
                        </w:r>
                        <w:r>
                          <w:rPr>
                            <w:spacing w:val="1"/>
                            <w:sz w:val="18"/>
                          </w:rPr>
                          <w:t> </w:t>
                        </w:r>
                        <w:r>
                          <w:rPr>
                            <w:sz w:val="18"/>
                          </w:rPr>
                          <w:t>4</w:t>
                        </w:r>
                      </w:p>
                    </w:tc>
                  </w:tr>
                  <w:tr>
                    <w:trPr>
                      <w:trHeight w:val="425" w:hRule="exact"/>
                    </w:trPr>
                    <w:tc>
                      <w:tcPr>
                        <w:tcW w:w="529" w:type="dxa"/>
                      </w:tcPr>
                      <w:p>
                        <w:pPr>
                          <w:pStyle w:val="TableParagraph"/>
                          <w:spacing w:before="100"/>
                          <w:ind w:left="73"/>
                          <w:rPr>
                            <w:sz w:val="12"/>
                          </w:rPr>
                        </w:pPr>
                        <w:r>
                          <w:rPr>
                            <w:position w:val="1"/>
                            <w:sz w:val="18"/>
                          </w:rPr>
                          <w:t>b</w:t>
                        </w:r>
                        <w:r>
                          <w:rPr>
                            <w:sz w:val="12"/>
                          </w:rPr>
                          <w:t>9</w:t>
                        </w:r>
                      </w:p>
                    </w:tc>
                    <w:tc>
                      <w:tcPr>
                        <w:tcW w:w="1269" w:type="dxa"/>
                      </w:tcPr>
                      <w:p>
                        <w:pPr>
                          <w:pStyle w:val="TableParagraph"/>
                          <w:spacing w:before="101"/>
                          <w:ind w:left="249"/>
                          <w:rPr>
                            <w:sz w:val="18"/>
                          </w:rPr>
                        </w:pPr>
                        <w:r>
                          <w:rPr>
                            <w:sz w:val="18"/>
                          </w:rPr>
                          <w:t>Log(|∆T|)</w:t>
                        </w:r>
                      </w:p>
                    </w:tc>
                    <w:tc>
                      <w:tcPr>
                        <w:tcW w:w="1072" w:type="dxa"/>
                      </w:tcPr>
                      <w:p>
                        <w:pPr>
                          <w:pStyle w:val="TableParagraph"/>
                          <w:spacing w:before="101"/>
                          <w:ind w:left="118"/>
                          <w:rPr>
                            <w:sz w:val="18"/>
                          </w:rPr>
                        </w:pPr>
                        <w:r>
                          <w:rPr>
                            <w:sz w:val="18"/>
                          </w:rPr>
                          <w:t>0.0011</w:t>
                        </w:r>
                      </w:p>
                    </w:tc>
                    <w:tc>
                      <w:tcPr>
                        <w:tcW w:w="3480" w:type="dxa"/>
                      </w:tcPr>
                      <w:p>
                        <w:pPr>
                          <w:pStyle w:val="TableParagraph"/>
                          <w:tabs>
                            <w:tab w:pos="1596" w:val="left" w:leader="none"/>
                          </w:tabs>
                          <w:spacing w:line="257" w:lineRule="exact"/>
                          <w:ind w:left="213"/>
                          <w:rPr>
                            <w:sz w:val="18"/>
                          </w:rPr>
                        </w:pPr>
                        <w:r>
                          <w:rPr>
                            <w:position w:val="-10"/>
                            <w:sz w:val="18"/>
                          </w:rPr>
                          <w:t>Temperature</w:t>
                          <w:tab/>
                        </w:r>
                        <w:r>
                          <w:rPr>
                            <w:sz w:val="18"/>
                          </w:rPr>
                          <w:t>Logistic absolute value</w:t>
                        </w:r>
                        <w:r>
                          <w:rPr>
                            <w:spacing w:val="-7"/>
                            <w:sz w:val="18"/>
                          </w:rPr>
                          <w:t> </w:t>
                        </w:r>
                        <w:r>
                          <w:rPr>
                            <w:spacing w:val="-3"/>
                            <w:sz w:val="18"/>
                          </w:rPr>
                          <w:t>of</w:t>
                        </w:r>
                      </w:p>
                      <w:p>
                        <w:pPr>
                          <w:pStyle w:val="TableParagraph"/>
                          <w:spacing w:line="152" w:lineRule="exact"/>
                          <w:ind w:left="1596" w:right="-29"/>
                          <w:rPr>
                            <w:sz w:val="18"/>
                          </w:rPr>
                        </w:pPr>
                        <w:r>
                          <w:rPr>
                            <w:sz w:val="18"/>
                          </w:rPr>
                          <w:t>temperature in the new</w:t>
                        </w:r>
                        <w:r>
                          <w:rPr>
                            <w:spacing w:val="-7"/>
                            <w:sz w:val="18"/>
                          </w:rPr>
                          <w:t> </w:t>
                        </w:r>
                        <w:r>
                          <w:rPr>
                            <w:sz w:val="18"/>
                          </w:rPr>
                          <w:t>sta</w:t>
                        </w:r>
                      </w:p>
                    </w:tc>
                  </w:tr>
                  <w:tr>
                    <w:trPr>
                      <w:trHeight w:val="406" w:hRule="exact"/>
                    </w:trPr>
                    <w:tc>
                      <w:tcPr>
                        <w:tcW w:w="529" w:type="dxa"/>
                      </w:tcPr>
                      <w:p>
                        <w:pPr>
                          <w:pStyle w:val="TableParagraph"/>
                          <w:spacing w:before="98"/>
                          <w:ind w:left="73"/>
                          <w:rPr>
                            <w:sz w:val="12"/>
                          </w:rPr>
                        </w:pPr>
                        <w:r>
                          <w:rPr>
                            <w:position w:val="1"/>
                            <w:sz w:val="18"/>
                          </w:rPr>
                          <w:t>b</w:t>
                        </w:r>
                        <w:r>
                          <w:rPr>
                            <w:sz w:val="12"/>
                          </w:rPr>
                          <w:t>10</w:t>
                        </w:r>
                      </w:p>
                    </w:tc>
                    <w:tc>
                      <w:tcPr>
                        <w:tcW w:w="1269" w:type="dxa"/>
                      </w:tcPr>
                      <w:p>
                        <w:pPr>
                          <w:pStyle w:val="TableParagraph"/>
                          <w:spacing w:before="98"/>
                          <w:ind w:left="249"/>
                          <w:rPr>
                            <w:sz w:val="18"/>
                          </w:rPr>
                        </w:pPr>
                        <w:r>
                          <w:rPr>
                            <w:position w:val="1"/>
                            <w:sz w:val="18"/>
                          </w:rPr>
                          <w:t>&lt;IPA(%)</w:t>
                        </w:r>
                        <w:r>
                          <w:rPr>
                            <w:sz w:val="12"/>
                          </w:rPr>
                          <w:t>ref</w:t>
                        </w:r>
                        <w:r>
                          <w:rPr>
                            <w:position w:val="1"/>
                            <w:sz w:val="18"/>
                          </w:rPr>
                          <w:t>&gt;</w:t>
                        </w:r>
                      </w:p>
                    </w:tc>
                    <w:tc>
                      <w:tcPr>
                        <w:tcW w:w="1072" w:type="dxa"/>
                      </w:tcPr>
                      <w:p>
                        <w:pPr>
                          <w:pStyle w:val="TableParagraph"/>
                          <w:spacing w:before="99"/>
                          <w:ind w:left="118"/>
                          <w:rPr>
                            <w:sz w:val="18"/>
                          </w:rPr>
                        </w:pPr>
                        <w:r>
                          <w:rPr>
                            <w:sz w:val="18"/>
                          </w:rPr>
                          <w:t>0.0669</w:t>
                        </w:r>
                      </w:p>
                    </w:tc>
                    <w:tc>
                      <w:tcPr>
                        <w:tcW w:w="3480" w:type="dxa"/>
                      </w:tcPr>
                      <w:p>
                        <w:pPr>
                          <w:pStyle w:val="TableParagraph"/>
                          <w:tabs>
                            <w:tab w:pos="1596" w:val="left" w:leader="none"/>
                          </w:tabs>
                          <w:spacing w:line="255" w:lineRule="exact"/>
                          <w:ind w:left="213"/>
                          <w:rPr>
                            <w:sz w:val="18"/>
                          </w:rPr>
                        </w:pPr>
                        <w:r>
                          <w:rPr>
                            <w:spacing w:val="-3"/>
                            <w:position w:val="-9"/>
                            <w:sz w:val="18"/>
                          </w:rPr>
                          <w:t>avg.</w:t>
                        </w:r>
                        <w:r>
                          <w:rPr>
                            <w:spacing w:val="4"/>
                            <w:position w:val="-9"/>
                            <w:sz w:val="18"/>
                          </w:rPr>
                          <w:t> </w:t>
                        </w:r>
                        <w:r>
                          <w:rPr>
                            <w:position w:val="-9"/>
                            <w:sz w:val="18"/>
                          </w:rPr>
                          <w:t>(IPA</w:t>
                        </w:r>
                        <w:r>
                          <w:rPr>
                            <w:spacing w:val="-3"/>
                            <w:position w:val="-9"/>
                            <w:sz w:val="18"/>
                          </w:rPr>
                          <w:t> </w:t>
                        </w:r>
                        <w:r>
                          <w:rPr>
                            <w:position w:val="-10"/>
                            <w:sz w:val="12"/>
                          </w:rPr>
                          <w:t>ref</w:t>
                        </w:r>
                        <w:r>
                          <w:rPr>
                            <w:position w:val="-9"/>
                            <w:sz w:val="18"/>
                          </w:rPr>
                          <w:t>)</w:t>
                          <w:tab/>
                        </w:r>
                        <w:r>
                          <w:rPr>
                            <w:sz w:val="18"/>
                          </w:rPr>
                          <w:t>The mean value </w:t>
                        </w:r>
                        <w:r>
                          <w:rPr>
                            <w:spacing w:val="-3"/>
                            <w:sz w:val="18"/>
                          </w:rPr>
                          <w:t>of </w:t>
                        </w:r>
                        <w:r>
                          <w:rPr>
                            <w:sz w:val="18"/>
                          </w:rPr>
                          <w:t>the</w:t>
                        </w:r>
                        <w:r>
                          <w:rPr>
                            <w:spacing w:val="3"/>
                            <w:sz w:val="18"/>
                          </w:rPr>
                          <w:t> </w:t>
                        </w:r>
                        <w:r>
                          <w:rPr>
                            <w:sz w:val="18"/>
                          </w:rPr>
                          <w:t>sa</w:t>
                        </w:r>
                      </w:p>
                      <w:p>
                        <w:pPr>
                          <w:pStyle w:val="TableParagraph"/>
                          <w:spacing w:line="157" w:lineRule="exact"/>
                          <w:ind w:left="1596" w:right="-54"/>
                          <w:rPr>
                            <w:sz w:val="18"/>
                          </w:rPr>
                        </w:pPr>
                        <w:r>
                          <w:rPr>
                            <w:sz w:val="18"/>
                          </w:rPr>
                          <w:t>boundary condition </w:t>
                        </w:r>
                        <w:r>
                          <w:rPr>
                            <w:spacing w:val="-3"/>
                            <w:sz w:val="18"/>
                          </w:rPr>
                          <w:t>of</w:t>
                        </w:r>
                        <w:r>
                          <w:rPr>
                            <w:spacing w:val="-1"/>
                            <w:sz w:val="18"/>
                          </w:rPr>
                          <w:t> </w:t>
                        </w:r>
                        <w:r>
                          <w:rPr>
                            <w:sz w:val="18"/>
                          </w:rPr>
                          <w:t>refe</w:t>
                        </w:r>
                      </w:p>
                    </w:tc>
                  </w:tr>
                  <w:tr>
                    <w:trPr>
                      <w:trHeight w:val="370" w:hRule="exact"/>
                    </w:trPr>
                    <w:tc>
                      <w:tcPr>
                        <w:tcW w:w="529" w:type="dxa"/>
                      </w:tcPr>
                      <w:p>
                        <w:pPr>
                          <w:pStyle w:val="TableParagraph"/>
                          <w:spacing w:before="81"/>
                          <w:ind w:left="73"/>
                          <w:rPr>
                            <w:sz w:val="12"/>
                          </w:rPr>
                        </w:pPr>
                        <w:r>
                          <w:rPr>
                            <w:position w:val="1"/>
                            <w:sz w:val="18"/>
                          </w:rPr>
                          <w:t>b</w:t>
                        </w:r>
                        <w:r>
                          <w:rPr>
                            <w:sz w:val="12"/>
                          </w:rPr>
                          <w:t>11</w:t>
                        </w:r>
                      </w:p>
                    </w:tc>
                    <w:tc>
                      <w:tcPr>
                        <w:tcW w:w="1269" w:type="dxa"/>
                      </w:tcPr>
                      <w:p>
                        <w:pPr>
                          <w:pStyle w:val="TableParagraph"/>
                          <w:spacing w:before="81"/>
                          <w:ind w:left="249"/>
                          <w:rPr>
                            <w:sz w:val="12"/>
                          </w:rPr>
                        </w:pPr>
                        <w:r>
                          <w:rPr>
                            <w:position w:val="1"/>
                            <w:sz w:val="18"/>
                          </w:rPr>
                          <w:t>V</w:t>
                        </w:r>
                        <w:r>
                          <w:rPr>
                            <w:sz w:val="12"/>
                          </w:rPr>
                          <w:t>5</w:t>
                        </w:r>
                        <w:r>
                          <w:rPr>
                            <w:position w:val="1"/>
                            <w:sz w:val="18"/>
                          </w:rPr>
                          <w:t>_</w:t>
                        </w:r>
                        <w:r>
                          <w:rPr>
                            <w:sz w:val="12"/>
                          </w:rPr>
                          <w:t>new</w:t>
                        </w:r>
                      </w:p>
                    </w:tc>
                    <w:tc>
                      <w:tcPr>
                        <w:tcW w:w="1072" w:type="dxa"/>
                      </w:tcPr>
                      <w:p>
                        <w:pPr>
                          <w:pStyle w:val="TableParagraph"/>
                          <w:spacing w:before="82"/>
                          <w:ind w:left="118"/>
                          <w:rPr>
                            <w:sz w:val="18"/>
                          </w:rPr>
                        </w:pPr>
                        <w:r>
                          <w:rPr>
                            <w:sz w:val="18"/>
                          </w:rPr>
                          <w:t>4.0914</w:t>
                        </w:r>
                      </w:p>
                    </w:tc>
                    <w:tc>
                      <w:tcPr>
                        <w:tcW w:w="3480" w:type="dxa"/>
                      </w:tcPr>
                      <w:p>
                        <w:pPr>
                          <w:pStyle w:val="TableParagraph"/>
                          <w:tabs>
                            <w:tab w:pos="1596" w:val="left" w:leader="none"/>
                          </w:tabs>
                          <w:spacing w:before="81"/>
                          <w:ind w:left="213"/>
                          <w:rPr>
                            <w:sz w:val="18"/>
                          </w:rPr>
                        </w:pPr>
                        <w:r>
                          <w:rPr>
                            <w:position w:val="1"/>
                            <w:sz w:val="18"/>
                          </w:rPr>
                          <w:t>V</w:t>
                        </w:r>
                        <w:r>
                          <w:rPr>
                            <w:sz w:val="12"/>
                          </w:rPr>
                          <w:t>5</w:t>
                        </w:r>
                        <w:r>
                          <w:rPr>
                            <w:spacing w:val="15"/>
                            <w:sz w:val="12"/>
                          </w:rPr>
                          <w:t> </w:t>
                        </w:r>
                        <w:r>
                          <w:rPr>
                            <w:position w:val="1"/>
                            <w:sz w:val="18"/>
                          </w:rPr>
                          <w:t>= MR</w:t>
                          <w:tab/>
                          <w:t>Magnetoresistence value</w:t>
                        </w:r>
                        <w:r>
                          <w:rPr>
                            <w:spacing w:val="-13"/>
                            <w:position w:val="1"/>
                            <w:sz w:val="18"/>
                          </w:rPr>
                          <w:t> </w:t>
                        </w:r>
                        <w:r>
                          <w:rPr>
                            <w:position w:val="1"/>
                            <w:sz w:val="18"/>
                          </w:rPr>
                          <w:t>i</w:t>
                        </w:r>
                      </w:p>
                    </w:tc>
                  </w:tr>
                  <w:tr>
                    <w:trPr>
                      <w:trHeight w:val="350" w:hRule="exact"/>
                    </w:trPr>
                    <w:tc>
                      <w:tcPr>
                        <w:tcW w:w="529" w:type="dxa"/>
                      </w:tcPr>
                      <w:p>
                        <w:pPr>
                          <w:pStyle w:val="TableParagraph"/>
                          <w:spacing w:before="62"/>
                          <w:ind w:left="73"/>
                          <w:rPr>
                            <w:sz w:val="12"/>
                          </w:rPr>
                        </w:pPr>
                        <w:r>
                          <w:rPr>
                            <w:position w:val="1"/>
                            <w:sz w:val="18"/>
                          </w:rPr>
                          <w:t>b</w:t>
                        </w:r>
                        <w:r>
                          <w:rPr>
                            <w:sz w:val="12"/>
                          </w:rPr>
                          <w:t>12</w:t>
                        </w:r>
                      </w:p>
                    </w:tc>
                    <w:tc>
                      <w:tcPr>
                        <w:tcW w:w="1269" w:type="dxa"/>
                      </w:tcPr>
                      <w:p>
                        <w:pPr>
                          <w:pStyle w:val="TableParagraph"/>
                          <w:spacing w:before="62"/>
                          <w:ind w:left="249"/>
                          <w:rPr>
                            <w:sz w:val="12"/>
                          </w:rPr>
                        </w:pPr>
                        <w:r>
                          <w:rPr>
                            <w:position w:val="1"/>
                            <w:sz w:val="18"/>
                          </w:rPr>
                          <w:t>V</w:t>
                        </w:r>
                        <w:r>
                          <w:rPr>
                            <w:sz w:val="12"/>
                          </w:rPr>
                          <w:t>2</w:t>
                        </w:r>
                        <w:r>
                          <w:rPr>
                            <w:position w:val="1"/>
                            <w:sz w:val="18"/>
                          </w:rPr>
                          <w:t>_</w:t>
                        </w:r>
                        <w:r>
                          <w:rPr>
                            <w:sz w:val="12"/>
                          </w:rPr>
                          <w:t>ref</w:t>
                        </w:r>
                      </w:p>
                    </w:tc>
                    <w:tc>
                      <w:tcPr>
                        <w:tcW w:w="1072" w:type="dxa"/>
                      </w:tcPr>
                      <w:p>
                        <w:pPr>
                          <w:pStyle w:val="TableParagraph"/>
                          <w:spacing w:before="62"/>
                          <w:ind w:left="118"/>
                          <w:rPr>
                            <w:sz w:val="18"/>
                          </w:rPr>
                        </w:pPr>
                        <w:r>
                          <w:rPr>
                            <w:sz w:val="18"/>
                          </w:rPr>
                          <w:t>-7.7553</w:t>
                        </w:r>
                      </w:p>
                    </w:tc>
                    <w:tc>
                      <w:tcPr>
                        <w:tcW w:w="3480" w:type="dxa"/>
                      </w:tcPr>
                      <w:p>
                        <w:pPr>
                          <w:pStyle w:val="TableParagraph"/>
                          <w:tabs>
                            <w:tab w:pos="1596" w:val="left" w:leader="none"/>
                          </w:tabs>
                          <w:spacing w:before="62"/>
                          <w:ind w:left="213" w:right="-23"/>
                          <w:rPr>
                            <w:sz w:val="18"/>
                          </w:rPr>
                        </w:pPr>
                        <w:r>
                          <w:rPr>
                            <w:position w:val="1"/>
                            <w:sz w:val="18"/>
                          </w:rPr>
                          <w:t>V</w:t>
                        </w:r>
                        <w:r>
                          <w:rPr>
                            <w:sz w:val="12"/>
                          </w:rPr>
                          <w:t>2</w:t>
                        </w:r>
                        <w:r>
                          <w:rPr>
                            <w:spacing w:val="17"/>
                            <w:sz w:val="12"/>
                          </w:rPr>
                          <w:t> </w:t>
                        </w:r>
                        <w:r>
                          <w:rPr>
                            <w:position w:val="1"/>
                            <w:sz w:val="18"/>
                          </w:rPr>
                          <w:t>=</w:t>
                        </w:r>
                        <w:r>
                          <w:rPr>
                            <w:spacing w:val="2"/>
                            <w:position w:val="1"/>
                            <w:sz w:val="18"/>
                          </w:rPr>
                          <w:t> </w:t>
                        </w:r>
                        <w:r>
                          <w:rPr>
                            <w:spacing w:val="-3"/>
                            <w:position w:val="1"/>
                            <w:sz w:val="18"/>
                          </w:rPr>
                          <w:t>Aeigv</w:t>
                          <w:tab/>
                        </w:r>
                        <w:r>
                          <w:rPr>
                            <w:position w:val="1"/>
                            <w:sz w:val="18"/>
                          </w:rPr>
                          <w:t>Aeigv values in the new</w:t>
                        </w:r>
                        <w:r>
                          <w:rPr>
                            <w:spacing w:val="-7"/>
                            <w:position w:val="1"/>
                            <w:sz w:val="18"/>
                          </w:rPr>
                          <w:t> </w:t>
                        </w:r>
                        <w:r>
                          <w:rPr>
                            <w:position w:val="1"/>
                            <w:sz w:val="18"/>
                          </w:rPr>
                          <w:t>st</w:t>
                        </w:r>
                      </w:p>
                    </w:tc>
                  </w:tr>
                  <w:tr>
                    <w:trPr>
                      <w:trHeight w:val="351" w:hRule="exact"/>
                    </w:trPr>
                    <w:tc>
                      <w:tcPr>
                        <w:tcW w:w="529" w:type="dxa"/>
                      </w:tcPr>
                      <w:p>
                        <w:pPr>
                          <w:pStyle w:val="TableParagraph"/>
                          <w:spacing w:before="62"/>
                          <w:ind w:left="73"/>
                          <w:rPr>
                            <w:sz w:val="12"/>
                          </w:rPr>
                        </w:pPr>
                        <w:r>
                          <w:rPr>
                            <w:position w:val="1"/>
                            <w:sz w:val="18"/>
                          </w:rPr>
                          <w:t>b</w:t>
                        </w:r>
                        <w:r>
                          <w:rPr>
                            <w:sz w:val="12"/>
                          </w:rPr>
                          <w:t>13</w:t>
                        </w:r>
                      </w:p>
                    </w:tc>
                    <w:tc>
                      <w:tcPr>
                        <w:tcW w:w="1269" w:type="dxa"/>
                      </w:tcPr>
                      <w:p>
                        <w:pPr>
                          <w:pStyle w:val="TableParagraph"/>
                          <w:spacing w:before="62"/>
                          <w:ind w:left="249"/>
                          <w:rPr>
                            <w:sz w:val="12"/>
                          </w:rPr>
                        </w:pPr>
                        <w:r>
                          <w:rPr>
                            <w:position w:val="1"/>
                            <w:sz w:val="18"/>
                          </w:rPr>
                          <w:t>∆V</w:t>
                        </w:r>
                        <w:r>
                          <w:rPr>
                            <w:sz w:val="12"/>
                          </w:rPr>
                          <w:t>1</w:t>
                        </w:r>
                      </w:p>
                    </w:tc>
                    <w:tc>
                      <w:tcPr>
                        <w:tcW w:w="1072" w:type="dxa"/>
                      </w:tcPr>
                      <w:p>
                        <w:pPr>
                          <w:pStyle w:val="TableParagraph"/>
                          <w:spacing w:before="62"/>
                          <w:ind w:left="118"/>
                          <w:rPr>
                            <w:sz w:val="18"/>
                          </w:rPr>
                        </w:pPr>
                        <w:r>
                          <w:rPr>
                            <w:sz w:val="18"/>
                          </w:rPr>
                          <w:t>-134.5729</w:t>
                        </w:r>
                      </w:p>
                    </w:tc>
                    <w:tc>
                      <w:tcPr>
                        <w:tcW w:w="3480" w:type="dxa"/>
                      </w:tcPr>
                      <w:p>
                        <w:pPr>
                          <w:pStyle w:val="TableParagraph"/>
                          <w:tabs>
                            <w:tab w:pos="1596" w:val="left" w:leader="none"/>
                          </w:tabs>
                          <w:spacing w:before="62"/>
                          <w:ind w:left="213"/>
                          <w:rPr>
                            <w:sz w:val="12"/>
                          </w:rPr>
                        </w:pPr>
                        <w:r>
                          <w:rPr>
                            <w:position w:val="1"/>
                            <w:sz w:val="18"/>
                          </w:rPr>
                          <w:t>V</w:t>
                        </w:r>
                        <w:r>
                          <w:rPr>
                            <w:sz w:val="12"/>
                          </w:rPr>
                          <w:t>1</w:t>
                        </w:r>
                        <w:r>
                          <w:rPr>
                            <w:spacing w:val="-4"/>
                            <w:sz w:val="12"/>
                          </w:rPr>
                          <w:t> </w:t>
                        </w:r>
                        <w:r>
                          <w:rPr>
                            <w:position w:val="1"/>
                            <w:sz w:val="18"/>
                          </w:rPr>
                          <w:t>=</w:t>
                        </w:r>
                        <w:r>
                          <w:rPr>
                            <w:spacing w:val="1"/>
                            <w:position w:val="1"/>
                            <w:sz w:val="18"/>
                          </w:rPr>
                          <w:t> </w:t>
                        </w:r>
                        <w:r>
                          <w:rPr>
                            <w:position w:val="1"/>
                            <w:sz w:val="18"/>
                          </w:rPr>
                          <w:t>Mw</w:t>
                          <w:tab/>
                          <w:t>= V</w:t>
                        </w:r>
                        <w:r>
                          <w:rPr>
                            <w:sz w:val="12"/>
                          </w:rPr>
                          <w:t>1</w:t>
                        </w:r>
                        <w:r>
                          <w:rPr>
                            <w:position w:val="1"/>
                            <w:sz w:val="18"/>
                          </w:rPr>
                          <w:t>_</w:t>
                        </w:r>
                        <w:r>
                          <w:rPr>
                            <w:sz w:val="12"/>
                          </w:rPr>
                          <w:t>new  </w:t>
                        </w:r>
                        <w:r>
                          <w:rPr>
                            <w:position w:val="1"/>
                            <w:sz w:val="18"/>
                          </w:rPr>
                          <w:t>–</w:t>
                        </w:r>
                        <w:r>
                          <w:rPr>
                            <w:spacing w:val="-20"/>
                            <w:position w:val="1"/>
                            <w:sz w:val="18"/>
                          </w:rPr>
                          <w:t> </w:t>
                        </w:r>
                        <w:r>
                          <w:rPr>
                            <w:position w:val="1"/>
                            <w:sz w:val="18"/>
                          </w:rPr>
                          <w:t>V</w:t>
                        </w:r>
                        <w:r>
                          <w:rPr>
                            <w:sz w:val="12"/>
                          </w:rPr>
                          <w:t>1</w:t>
                        </w:r>
                        <w:r>
                          <w:rPr>
                            <w:position w:val="1"/>
                            <w:sz w:val="18"/>
                          </w:rPr>
                          <w:t>_</w:t>
                        </w:r>
                        <w:r>
                          <w:rPr>
                            <w:sz w:val="12"/>
                          </w:rPr>
                          <w:t>ref</w:t>
                        </w:r>
                      </w:p>
                    </w:tc>
                  </w:tr>
                  <w:tr>
                    <w:trPr>
                      <w:trHeight w:val="420" w:hRule="exact"/>
                    </w:trPr>
                    <w:tc>
                      <w:tcPr>
                        <w:tcW w:w="529" w:type="dxa"/>
                      </w:tcPr>
                      <w:p>
                        <w:pPr>
                          <w:pStyle w:val="TableParagraph"/>
                          <w:spacing w:before="62"/>
                          <w:ind w:left="73"/>
                          <w:rPr>
                            <w:sz w:val="12"/>
                          </w:rPr>
                        </w:pPr>
                        <w:r>
                          <w:rPr>
                            <w:position w:val="1"/>
                            <w:sz w:val="18"/>
                          </w:rPr>
                          <w:t>b</w:t>
                        </w:r>
                        <w:r>
                          <w:rPr>
                            <w:sz w:val="12"/>
                          </w:rPr>
                          <w:t>14</w:t>
                        </w:r>
                      </w:p>
                    </w:tc>
                    <w:tc>
                      <w:tcPr>
                        <w:tcW w:w="1269" w:type="dxa"/>
                      </w:tcPr>
                      <w:p>
                        <w:pPr>
                          <w:pStyle w:val="TableParagraph"/>
                          <w:spacing w:before="62"/>
                          <w:ind w:left="249"/>
                          <w:rPr>
                            <w:sz w:val="12"/>
                          </w:rPr>
                        </w:pPr>
                        <w:r>
                          <w:rPr>
                            <w:position w:val="1"/>
                            <w:sz w:val="18"/>
                          </w:rPr>
                          <w:t>∆V</w:t>
                        </w:r>
                        <w:r>
                          <w:rPr>
                            <w:sz w:val="12"/>
                          </w:rPr>
                          <w:t>5</w:t>
                        </w:r>
                      </w:p>
                    </w:tc>
                    <w:tc>
                      <w:tcPr>
                        <w:tcW w:w="1072" w:type="dxa"/>
                      </w:tcPr>
                      <w:p>
                        <w:pPr>
                          <w:pStyle w:val="TableParagraph"/>
                          <w:spacing w:before="63"/>
                          <w:ind w:left="118"/>
                          <w:rPr>
                            <w:sz w:val="18"/>
                          </w:rPr>
                        </w:pPr>
                        <w:r>
                          <w:rPr>
                            <w:sz w:val="18"/>
                          </w:rPr>
                          <w:t>89.3481</w:t>
                        </w:r>
                      </w:p>
                    </w:tc>
                    <w:tc>
                      <w:tcPr>
                        <w:tcW w:w="3480" w:type="dxa"/>
                      </w:tcPr>
                      <w:p>
                        <w:pPr>
                          <w:pStyle w:val="TableParagraph"/>
                          <w:tabs>
                            <w:tab w:pos="1596" w:val="left" w:leader="none"/>
                          </w:tabs>
                          <w:spacing w:before="62"/>
                          <w:ind w:left="213"/>
                          <w:rPr>
                            <w:sz w:val="12"/>
                          </w:rPr>
                        </w:pPr>
                        <w:r>
                          <w:rPr>
                            <w:position w:val="1"/>
                            <w:sz w:val="18"/>
                          </w:rPr>
                          <w:t>V</w:t>
                        </w:r>
                        <w:r>
                          <w:rPr>
                            <w:sz w:val="12"/>
                          </w:rPr>
                          <w:t>5</w:t>
                        </w:r>
                        <w:r>
                          <w:rPr>
                            <w:spacing w:val="15"/>
                            <w:sz w:val="12"/>
                          </w:rPr>
                          <w:t> </w:t>
                        </w:r>
                        <w:r>
                          <w:rPr>
                            <w:position w:val="1"/>
                            <w:sz w:val="18"/>
                          </w:rPr>
                          <w:t>= MR</w:t>
                          <w:tab/>
                          <w:t>= V</w:t>
                        </w:r>
                        <w:r>
                          <w:rPr>
                            <w:sz w:val="12"/>
                          </w:rPr>
                          <w:t>5</w:t>
                        </w:r>
                        <w:r>
                          <w:rPr>
                            <w:position w:val="1"/>
                            <w:sz w:val="18"/>
                          </w:rPr>
                          <w:t>_</w:t>
                        </w:r>
                        <w:r>
                          <w:rPr>
                            <w:sz w:val="12"/>
                          </w:rPr>
                          <w:t>new  </w:t>
                        </w:r>
                        <w:r>
                          <w:rPr>
                            <w:position w:val="1"/>
                            <w:sz w:val="18"/>
                          </w:rPr>
                          <w:t>–</w:t>
                        </w:r>
                        <w:r>
                          <w:rPr>
                            <w:spacing w:val="-20"/>
                            <w:position w:val="1"/>
                            <w:sz w:val="18"/>
                          </w:rPr>
                          <w:t> </w:t>
                        </w:r>
                        <w:r>
                          <w:rPr>
                            <w:position w:val="1"/>
                            <w:sz w:val="18"/>
                          </w:rPr>
                          <w:t>V</w:t>
                        </w:r>
                        <w:r>
                          <w:rPr>
                            <w:sz w:val="12"/>
                          </w:rPr>
                          <w:t>5</w:t>
                        </w:r>
                        <w:r>
                          <w:rPr>
                            <w:position w:val="1"/>
                            <w:sz w:val="18"/>
                          </w:rPr>
                          <w:t>_</w:t>
                        </w:r>
                        <w:r>
                          <w:rPr>
                            <w:sz w:val="12"/>
                          </w:rPr>
                          <w:t>ref</w:t>
                        </w:r>
                      </w:p>
                    </w:tc>
                  </w:tr>
                  <w:tr>
                    <w:trPr>
                      <w:trHeight w:val="559" w:hRule="exact"/>
                    </w:trPr>
                    <w:tc>
                      <w:tcPr>
                        <w:tcW w:w="529" w:type="dxa"/>
                      </w:tcPr>
                      <w:p>
                        <w:pPr>
                          <w:pStyle w:val="TableParagraph"/>
                          <w:spacing w:before="132"/>
                          <w:ind w:left="73"/>
                          <w:rPr>
                            <w:sz w:val="12"/>
                          </w:rPr>
                        </w:pPr>
                        <w:r>
                          <w:rPr>
                            <w:position w:val="1"/>
                            <w:sz w:val="18"/>
                          </w:rPr>
                          <w:t>b</w:t>
                        </w:r>
                        <w:r>
                          <w:rPr>
                            <w:sz w:val="12"/>
                          </w:rPr>
                          <w:t>15</w:t>
                        </w:r>
                      </w:p>
                    </w:tc>
                    <w:tc>
                      <w:tcPr>
                        <w:tcW w:w="1269" w:type="dxa"/>
                      </w:tcPr>
                      <w:p>
                        <w:pPr>
                          <w:pStyle w:val="TableParagraph"/>
                          <w:spacing w:before="132"/>
                          <w:ind w:left="249"/>
                          <w:rPr>
                            <w:sz w:val="18"/>
                          </w:rPr>
                        </w:pPr>
                        <w:r>
                          <w:rPr>
                            <w:position w:val="1"/>
                            <w:sz w:val="18"/>
                          </w:rPr>
                          <w:t>∆∆V</w:t>
                        </w:r>
                        <w:r>
                          <w:rPr>
                            <w:sz w:val="12"/>
                          </w:rPr>
                          <w:t>1</w:t>
                        </w:r>
                        <w:r>
                          <w:rPr>
                            <w:position w:val="1"/>
                            <w:sz w:val="18"/>
                          </w:rPr>
                          <w:t>(c</w:t>
                        </w:r>
                        <w:r>
                          <w:rPr>
                            <w:sz w:val="12"/>
                          </w:rPr>
                          <w:t>1</w:t>
                        </w:r>
                        <w:r>
                          <w:rPr>
                            <w:position w:val="1"/>
                            <w:sz w:val="18"/>
                          </w:rPr>
                          <w:t>)</w:t>
                        </w:r>
                      </w:p>
                    </w:tc>
                    <w:tc>
                      <w:tcPr>
                        <w:tcW w:w="1072" w:type="dxa"/>
                      </w:tcPr>
                      <w:p>
                        <w:pPr>
                          <w:pStyle w:val="TableParagraph"/>
                          <w:spacing w:before="132"/>
                          <w:ind w:left="118"/>
                          <w:rPr>
                            <w:sz w:val="18"/>
                          </w:rPr>
                        </w:pPr>
                        <w:r>
                          <w:rPr>
                            <w:sz w:val="18"/>
                          </w:rPr>
                          <w:t>-10.4400</w:t>
                        </w:r>
                      </w:p>
                    </w:tc>
                    <w:tc>
                      <w:tcPr>
                        <w:tcW w:w="3480" w:type="dxa"/>
                      </w:tcPr>
                      <w:p>
                        <w:pPr>
                          <w:pStyle w:val="TableParagraph"/>
                          <w:spacing w:line="130" w:lineRule="exact"/>
                          <w:ind w:left="1596" w:right="-17"/>
                          <w:rPr>
                            <w:sz w:val="18"/>
                          </w:rPr>
                        </w:pPr>
                        <w:r>
                          <w:rPr>
                            <w:position w:val="1"/>
                            <w:sz w:val="18"/>
                          </w:rPr>
                          <w:t>= ΔV</w:t>
                        </w:r>
                        <w:r>
                          <w:rPr>
                            <w:sz w:val="12"/>
                          </w:rPr>
                          <w:t>1</w:t>
                        </w:r>
                        <w:r>
                          <w:rPr>
                            <w:position w:val="1"/>
                            <w:sz w:val="18"/>
                          </w:rPr>
                          <w:t>(c</w:t>
                        </w:r>
                        <w:r>
                          <w:rPr>
                            <w:sz w:val="12"/>
                          </w:rPr>
                          <w:t>1</w:t>
                        </w:r>
                        <w:r>
                          <w:rPr>
                            <w:position w:val="1"/>
                            <w:sz w:val="18"/>
                          </w:rPr>
                          <w:t>)</w:t>
                        </w:r>
                        <w:r>
                          <w:rPr>
                            <w:sz w:val="12"/>
                          </w:rPr>
                          <w:t>new</w:t>
                        </w:r>
                        <w:r>
                          <w:rPr>
                            <w:position w:val="1"/>
                            <w:sz w:val="18"/>
                          </w:rPr>
                          <w:t>– ΔV</w:t>
                        </w:r>
                        <w:r>
                          <w:rPr>
                            <w:sz w:val="12"/>
                          </w:rPr>
                          <w:t>1</w:t>
                        </w:r>
                        <w:r>
                          <w:rPr>
                            <w:position w:val="1"/>
                            <w:sz w:val="18"/>
                          </w:rPr>
                          <w:t>(c</w:t>
                        </w:r>
                        <w:r>
                          <w:rPr>
                            <w:sz w:val="12"/>
                          </w:rPr>
                          <w:t>1</w:t>
                        </w:r>
                        <w:r>
                          <w:rPr>
                            <w:position w:val="1"/>
                            <w:sz w:val="18"/>
                          </w:rPr>
                          <w:t>)</w:t>
                        </w:r>
                        <w:r>
                          <w:rPr>
                            <w:sz w:val="12"/>
                          </w:rPr>
                          <w:t>ref</w:t>
                        </w:r>
                        <w:r>
                          <w:rPr>
                            <w:spacing w:val="3"/>
                            <w:sz w:val="12"/>
                          </w:rPr>
                          <w:t> </w:t>
                        </w:r>
                        <w:r>
                          <w:rPr>
                            <w:position w:val="1"/>
                            <w:sz w:val="18"/>
                          </w:rPr>
                          <w:t>=</w:t>
                        </w:r>
                      </w:p>
                      <w:p>
                        <w:pPr>
                          <w:pStyle w:val="TableParagraph"/>
                          <w:tabs>
                            <w:tab w:pos="1596" w:val="left" w:leader="none"/>
                          </w:tabs>
                          <w:spacing w:line="206" w:lineRule="exact" w:before="15"/>
                          <w:ind w:left="1596" w:right="-41" w:hanging="1383"/>
                          <w:rPr>
                            <w:sz w:val="12"/>
                          </w:rPr>
                        </w:pPr>
                        <w:r>
                          <w:rPr>
                            <w:position w:val="1"/>
                            <w:sz w:val="18"/>
                          </w:rPr>
                          <w:t>V</w:t>
                        </w:r>
                        <w:r>
                          <w:rPr>
                            <w:sz w:val="12"/>
                          </w:rPr>
                          <w:t>1</w:t>
                        </w:r>
                        <w:r>
                          <w:rPr>
                            <w:spacing w:val="-4"/>
                            <w:sz w:val="12"/>
                          </w:rPr>
                          <w:t> </w:t>
                        </w:r>
                        <w:r>
                          <w:rPr>
                            <w:position w:val="1"/>
                            <w:sz w:val="18"/>
                          </w:rPr>
                          <w:t>= Mw</w:t>
                          <w:tab/>
                          <w:t>(c</w:t>
                        </w:r>
                        <w:r>
                          <w:rPr>
                            <w:sz w:val="12"/>
                          </w:rPr>
                          <w:t>1</w:t>
                        </w:r>
                        <w:r>
                          <w:rPr>
                            <w:position w:val="1"/>
                            <w:sz w:val="18"/>
                          </w:rPr>
                          <w:t>)&gt;</w:t>
                        </w:r>
                        <w:r>
                          <w:rPr>
                            <w:sz w:val="12"/>
                          </w:rPr>
                          <w:t>new</w:t>
                        </w:r>
                        <w:r>
                          <w:rPr>
                            <w:position w:val="1"/>
                            <w:sz w:val="18"/>
                          </w:rPr>
                          <w:t>) – </w:t>
                        </w:r>
                        <w:r>
                          <w:rPr>
                            <w:i/>
                            <w:position w:val="1"/>
                            <w:sz w:val="18"/>
                          </w:rPr>
                          <w:t>p</w:t>
                        </w:r>
                        <w:r>
                          <w:rPr>
                            <w:position w:val="1"/>
                            <w:sz w:val="18"/>
                          </w:rPr>
                          <w:t>(c</w:t>
                        </w:r>
                        <w:r>
                          <w:rPr>
                            <w:sz w:val="12"/>
                          </w:rPr>
                          <w:t>1</w:t>
                        </w:r>
                        <w:r>
                          <w:rPr>
                            <w:position w:val="1"/>
                            <w:sz w:val="18"/>
                          </w:rPr>
                          <w:t>)</w:t>
                        </w:r>
                        <w:r>
                          <w:rPr>
                            <w:sz w:val="12"/>
                          </w:rPr>
                          <w:t>ref </w:t>
                        </w:r>
                        <w:r>
                          <w:rPr>
                            <w:position w:val="1"/>
                            <w:sz w:val="18"/>
                          </w:rPr>
                          <w:t>·</w:t>
                        </w:r>
                        <w:r>
                          <w:rPr>
                            <w:spacing w:val="5"/>
                            <w:position w:val="1"/>
                            <w:sz w:val="18"/>
                          </w:rPr>
                          <w:t> </w:t>
                        </w:r>
                        <w:r>
                          <w:rPr>
                            <w:position w:val="1"/>
                            <w:sz w:val="18"/>
                          </w:rPr>
                          <w:t>(</w:t>
                        </w:r>
                        <w:r>
                          <w:rPr>
                            <w:position w:val="7"/>
                            <w:sz w:val="12"/>
                          </w:rPr>
                          <w:t>ref</w:t>
                        </w:r>
                        <w:r>
                          <w:rPr>
                            <w:position w:val="1"/>
                            <w:sz w:val="18"/>
                          </w:rPr>
                          <w:t>V</w:t>
                        </w:r>
                        <w:r>
                          <w:rPr>
                            <w:sz w:val="12"/>
                          </w:rPr>
                          <w:t>1</w:t>
                        </w:r>
                        <w:r>
                          <w:rPr>
                            <w:spacing w:val="12"/>
                            <w:sz w:val="12"/>
                          </w:rPr>
                          <w:t> </w:t>
                        </w:r>
                        <w:r>
                          <w:rPr>
                            <w:position w:val="1"/>
                            <w:sz w:val="18"/>
                          </w:rPr>
                          <w:t>-</w:t>
                        </w:r>
                        <w:r>
                          <w:rPr>
                            <w:w w:val="101"/>
                            <w:position w:val="1"/>
                            <w:sz w:val="18"/>
                          </w:rPr>
                          <w:t> </w:t>
                        </w:r>
                        <w:r>
                          <w:rPr>
                            <w:position w:val="1"/>
                            <w:sz w:val="18"/>
                          </w:rPr>
                          <w:t>Average </w:t>
                        </w:r>
                        <w:r>
                          <w:rPr>
                            <w:spacing w:val="-3"/>
                            <w:position w:val="1"/>
                            <w:sz w:val="18"/>
                          </w:rPr>
                          <w:t>of </w:t>
                        </w:r>
                        <w:r>
                          <w:rPr>
                            <w:position w:val="1"/>
                            <w:sz w:val="18"/>
                          </w:rPr>
                          <w:t>MR </w:t>
                        </w:r>
                        <w:r>
                          <w:rPr>
                            <w:spacing w:val="-3"/>
                            <w:position w:val="1"/>
                            <w:sz w:val="18"/>
                          </w:rPr>
                          <w:t>for</w:t>
                        </w:r>
                        <w:r>
                          <w:rPr>
                            <w:spacing w:val="15"/>
                            <w:position w:val="1"/>
                            <w:sz w:val="18"/>
                          </w:rPr>
                          <w:t> </w:t>
                        </w:r>
                        <w:r>
                          <w:rPr>
                            <w:position w:val="1"/>
                            <w:sz w:val="18"/>
                          </w:rPr>
                          <w:t>c</w:t>
                        </w:r>
                        <w:r>
                          <w:rPr>
                            <w:sz w:val="12"/>
                          </w:rPr>
                          <w:t>1</w:t>
                        </w:r>
                      </w:p>
                    </w:tc>
                  </w:tr>
                  <w:tr>
                    <w:trPr>
                      <w:trHeight w:val="631" w:hRule="exact"/>
                    </w:trPr>
                    <w:tc>
                      <w:tcPr>
                        <w:tcW w:w="529" w:type="dxa"/>
                      </w:tcPr>
                      <w:p>
                        <w:pPr>
                          <w:pStyle w:val="TableParagraph"/>
                          <w:spacing w:before="6"/>
                          <w:rPr>
                            <w:sz w:val="17"/>
                          </w:rPr>
                        </w:pPr>
                      </w:p>
                      <w:p>
                        <w:pPr>
                          <w:pStyle w:val="TableParagraph"/>
                          <w:ind w:left="73"/>
                          <w:rPr>
                            <w:sz w:val="12"/>
                          </w:rPr>
                        </w:pPr>
                        <w:r>
                          <w:rPr>
                            <w:position w:val="1"/>
                            <w:sz w:val="18"/>
                          </w:rPr>
                          <w:t>b</w:t>
                        </w:r>
                        <w:r>
                          <w:rPr>
                            <w:sz w:val="12"/>
                          </w:rPr>
                          <w:t>16</w:t>
                        </w:r>
                      </w:p>
                    </w:tc>
                    <w:tc>
                      <w:tcPr>
                        <w:tcW w:w="1269" w:type="dxa"/>
                      </w:tcPr>
                      <w:p>
                        <w:pPr>
                          <w:pStyle w:val="TableParagraph"/>
                          <w:spacing w:before="6"/>
                          <w:rPr>
                            <w:sz w:val="17"/>
                          </w:rPr>
                        </w:pPr>
                      </w:p>
                      <w:p>
                        <w:pPr>
                          <w:pStyle w:val="TableParagraph"/>
                          <w:ind w:left="249"/>
                          <w:rPr>
                            <w:sz w:val="18"/>
                          </w:rPr>
                        </w:pPr>
                        <w:r>
                          <w:rPr>
                            <w:position w:val="1"/>
                            <w:sz w:val="18"/>
                          </w:rPr>
                          <w:t>∆∆V</w:t>
                        </w:r>
                        <w:r>
                          <w:rPr>
                            <w:sz w:val="12"/>
                          </w:rPr>
                          <w:t>6</w:t>
                        </w:r>
                        <w:r>
                          <w:rPr>
                            <w:position w:val="1"/>
                            <w:sz w:val="18"/>
                          </w:rPr>
                          <w:t>(c</w:t>
                        </w:r>
                        <w:r>
                          <w:rPr>
                            <w:sz w:val="12"/>
                          </w:rPr>
                          <w:t>3</w:t>
                        </w:r>
                        <w:r>
                          <w:rPr>
                            <w:position w:val="1"/>
                            <w:sz w:val="18"/>
                          </w:rPr>
                          <w:t>)</w:t>
                        </w:r>
                      </w:p>
                    </w:tc>
                    <w:tc>
                      <w:tcPr>
                        <w:tcW w:w="1072" w:type="dxa"/>
                      </w:tcPr>
                      <w:p>
                        <w:pPr>
                          <w:pStyle w:val="TableParagraph"/>
                          <w:spacing w:before="6"/>
                          <w:rPr>
                            <w:sz w:val="17"/>
                          </w:rPr>
                        </w:pPr>
                      </w:p>
                      <w:p>
                        <w:pPr>
                          <w:pStyle w:val="TableParagraph"/>
                          <w:ind w:left="118"/>
                          <w:rPr>
                            <w:sz w:val="18"/>
                          </w:rPr>
                        </w:pPr>
                        <w:r>
                          <w:rPr>
                            <w:sz w:val="18"/>
                          </w:rPr>
                          <w:t>34.5450</w:t>
                        </w:r>
                      </w:p>
                    </w:tc>
                    <w:tc>
                      <w:tcPr>
                        <w:tcW w:w="3480" w:type="dxa"/>
                      </w:tcPr>
                      <w:p>
                        <w:pPr>
                          <w:pStyle w:val="TableParagraph"/>
                          <w:spacing w:line="200" w:lineRule="exact"/>
                          <w:ind w:left="1596"/>
                          <w:rPr>
                            <w:sz w:val="12"/>
                          </w:rPr>
                        </w:pPr>
                        <w:r>
                          <w:rPr>
                            <w:position w:val="1"/>
                            <w:sz w:val="18"/>
                          </w:rPr>
                          <w:t>= ΔV</w:t>
                        </w:r>
                        <w:r>
                          <w:rPr>
                            <w:sz w:val="12"/>
                          </w:rPr>
                          <w:t>6</w:t>
                        </w:r>
                        <w:r>
                          <w:rPr>
                            <w:position w:val="1"/>
                            <w:sz w:val="18"/>
                          </w:rPr>
                          <w:t>(c</w:t>
                        </w:r>
                        <w:r>
                          <w:rPr>
                            <w:sz w:val="12"/>
                          </w:rPr>
                          <w:t>3</w:t>
                        </w:r>
                        <w:r>
                          <w:rPr>
                            <w:position w:val="1"/>
                            <w:sz w:val="18"/>
                          </w:rPr>
                          <w:t>)</w:t>
                        </w:r>
                        <w:r>
                          <w:rPr>
                            <w:sz w:val="12"/>
                          </w:rPr>
                          <w:t>new </w:t>
                        </w:r>
                        <w:r>
                          <w:rPr>
                            <w:position w:val="1"/>
                            <w:sz w:val="18"/>
                          </w:rPr>
                          <w:t>– ΔV</w:t>
                        </w:r>
                        <w:r>
                          <w:rPr>
                            <w:sz w:val="12"/>
                          </w:rPr>
                          <w:t>6</w:t>
                        </w:r>
                        <w:r>
                          <w:rPr>
                            <w:position w:val="1"/>
                            <w:sz w:val="18"/>
                          </w:rPr>
                          <w:t>(c</w:t>
                        </w:r>
                        <w:r>
                          <w:rPr>
                            <w:sz w:val="12"/>
                          </w:rPr>
                          <w:t>3</w:t>
                        </w:r>
                        <w:r>
                          <w:rPr>
                            <w:position w:val="1"/>
                            <w:sz w:val="18"/>
                          </w:rPr>
                          <w:t>)</w:t>
                        </w:r>
                        <w:r>
                          <w:rPr>
                            <w:sz w:val="12"/>
                          </w:rPr>
                          <w:t>ref</w:t>
                        </w:r>
                      </w:p>
                      <w:p>
                        <w:pPr>
                          <w:pStyle w:val="TableParagraph"/>
                          <w:tabs>
                            <w:tab w:pos="1596" w:val="left" w:leader="none"/>
                          </w:tabs>
                          <w:spacing w:line="208" w:lineRule="exact"/>
                          <w:ind w:left="213"/>
                          <w:rPr>
                            <w:sz w:val="12"/>
                          </w:rPr>
                        </w:pPr>
                        <w:r>
                          <w:rPr>
                            <w:position w:val="1"/>
                            <w:sz w:val="18"/>
                          </w:rPr>
                          <w:t>V</w:t>
                        </w:r>
                        <w:r>
                          <w:rPr>
                            <w:sz w:val="12"/>
                          </w:rPr>
                          <w:t>6</w:t>
                        </w:r>
                        <w:r>
                          <w:rPr>
                            <w:spacing w:val="16"/>
                            <w:sz w:val="12"/>
                          </w:rPr>
                          <w:t> </w:t>
                        </w:r>
                        <w:r>
                          <w:rPr>
                            <w:position w:val="1"/>
                            <w:sz w:val="18"/>
                          </w:rPr>
                          <w:t>=</w:t>
                        </w:r>
                        <w:r>
                          <w:rPr>
                            <w:spacing w:val="1"/>
                            <w:position w:val="1"/>
                            <w:sz w:val="18"/>
                          </w:rPr>
                          <w:t> </w:t>
                        </w:r>
                        <w:r>
                          <w:rPr>
                            <w:spacing w:val="-3"/>
                            <w:position w:val="1"/>
                            <w:sz w:val="18"/>
                          </w:rPr>
                          <w:t>LogP</w:t>
                          <w:tab/>
                        </w:r>
                        <w:r>
                          <w:rPr>
                            <w:position w:val="1"/>
                            <w:sz w:val="18"/>
                          </w:rPr>
                          <w:t>&lt;V</w:t>
                        </w:r>
                        <w:r>
                          <w:rPr>
                            <w:sz w:val="12"/>
                          </w:rPr>
                          <w:t>6</w:t>
                        </w:r>
                        <w:r>
                          <w:rPr>
                            <w:position w:val="1"/>
                            <w:sz w:val="18"/>
                          </w:rPr>
                          <w:t>(c</w:t>
                        </w:r>
                        <w:r>
                          <w:rPr>
                            <w:sz w:val="12"/>
                          </w:rPr>
                          <w:t>3</w:t>
                        </w:r>
                        <w:r>
                          <w:rPr>
                            <w:position w:val="1"/>
                            <w:sz w:val="18"/>
                          </w:rPr>
                          <w:t>)&gt;</w:t>
                        </w:r>
                        <w:r>
                          <w:rPr>
                            <w:sz w:val="12"/>
                          </w:rPr>
                          <w:t>new</w:t>
                        </w:r>
                        <w:r>
                          <w:rPr>
                            <w:position w:val="1"/>
                            <w:sz w:val="18"/>
                          </w:rPr>
                          <w:t>) – </w:t>
                        </w:r>
                        <w:r>
                          <w:rPr>
                            <w:i/>
                            <w:position w:val="1"/>
                            <w:sz w:val="18"/>
                          </w:rPr>
                          <w:t>p</w:t>
                        </w:r>
                        <w:r>
                          <w:rPr>
                            <w:position w:val="1"/>
                            <w:sz w:val="18"/>
                          </w:rPr>
                          <w:t>(c</w:t>
                        </w:r>
                        <w:r>
                          <w:rPr>
                            <w:sz w:val="12"/>
                          </w:rPr>
                          <w:t>3</w:t>
                        </w:r>
                        <w:r>
                          <w:rPr>
                            <w:position w:val="1"/>
                            <w:sz w:val="18"/>
                          </w:rPr>
                          <w:t>)</w:t>
                        </w:r>
                        <w:r>
                          <w:rPr>
                            <w:sz w:val="12"/>
                          </w:rPr>
                          <w:t>ref </w:t>
                        </w:r>
                        <w:r>
                          <w:rPr>
                            <w:position w:val="1"/>
                            <w:sz w:val="18"/>
                          </w:rPr>
                          <w:t>·</w:t>
                        </w:r>
                        <w:r>
                          <w:rPr>
                            <w:spacing w:val="5"/>
                            <w:position w:val="1"/>
                            <w:sz w:val="18"/>
                          </w:rPr>
                          <w:t> </w:t>
                        </w:r>
                        <w:r>
                          <w:rPr>
                            <w:position w:val="1"/>
                            <w:sz w:val="18"/>
                          </w:rPr>
                          <w:t>(</w:t>
                        </w:r>
                        <w:r>
                          <w:rPr>
                            <w:position w:val="7"/>
                            <w:sz w:val="12"/>
                          </w:rPr>
                          <w:t>re</w:t>
                        </w:r>
                      </w:p>
                      <w:p>
                        <w:pPr>
                          <w:pStyle w:val="TableParagraph"/>
                          <w:spacing w:line="207" w:lineRule="exact"/>
                          <w:ind w:left="1596"/>
                          <w:rPr>
                            <w:sz w:val="12"/>
                          </w:rPr>
                        </w:pPr>
                        <w:r>
                          <w:rPr>
                            <w:position w:val="1"/>
                            <w:sz w:val="18"/>
                          </w:rPr>
                          <w:t>= Average of Mw for c</w:t>
                        </w:r>
                        <w:r>
                          <w:rPr>
                            <w:sz w:val="12"/>
                          </w:rPr>
                          <w:t>3</w:t>
                        </w:r>
                      </w:p>
                    </w:tc>
                  </w:tr>
                  <w:tr>
                    <w:trPr>
                      <w:trHeight w:val="631" w:hRule="exact"/>
                    </w:trPr>
                    <w:tc>
                      <w:tcPr>
                        <w:tcW w:w="529" w:type="dxa"/>
                      </w:tcPr>
                      <w:p>
                        <w:pPr>
                          <w:pStyle w:val="TableParagraph"/>
                          <w:spacing w:before="8"/>
                          <w:rPr>
                            <w:sz w:val="17"/>
                          </w:rPr>
                        </w:pPr>
                      </w:p>
                      <w:p>
                        <w:pPr>
                          <w:pStyle w:val="TableParagraph"/>
                          <w:ind w:left="73"/>
                          <w:rPr>
                            <w:sz w:val="12"/>
                          </w:rPr>
                        </w:pPr>
                        <w:r>
                          <w:rPr>
                            <w:position w:val="1"/>
                            <w:sz w:val="18"/>
                          </w:rPr>
                          <w:t>b</w:t>
                        </w:r>
                        <w:r>
                          <w:rPr>
                            <w:sz w:val="12"/>
                          </w:rPr>
                          <w:t>17</w:t>
                        </w:r>
                      </w:p>
                    </w:tc>
                    <w:tc>
                      <w:tcPr>
                        <w:tcW w:w="1269" w:type="dxa"/>
                      </w:tcPr>
                      <w:p>
                        <w:pPr>
                          <w:pStyle w:val="TableParagraph"/>
                          <w:spacing w:before="8"/>
                          <w:rPr>
                            <w:sz w:val="17"/>
                          </w:rPr>
                        </w:pPr>
                      </w:p>
                      <w:p>
                        <w:pPr>
                          <w:pStyle w:val="TableParagraph"/>
                          <w:ind w:left="249"/>
                          <w:rPr>
                            <w:sz w:val="18"/>
                          </w:rPr>
                        </w:pPr>
                        <w:r>
                          <w:rPr>
                            <w:position w:val="1"/>
                            <w:sz w:val="18"/>
                          </w:rPr>
                          <w:t>∆∆V</w:t>
                        </w:r>
                        <w:r>
                          <w:rPr>
                            <w:sz w:val="12"/>
                          </w:rPr>
                          <w:t>1</w:t>
                        </w:r>
                        <w:r>
                          <w:rPr>
                            <w:position w:val="1"/>
                            <w:sz w:val="18"/>
                          </w:rPr>
                          <w:t>(c</w:t>
                        </w:r>
                        <w:r>
                          <w:rPr>
                            <w:sz w:val="12"/>
                          </w:rPr>
                          <w:t>4</w:t>
                        </w:r>
                        <w:r>
                          <w:rPr>
                            <w:position w:val="1"/>
                            <w:sz w:val="18"/>
                          </w:rPr>
                          <w:t>)</w:t>
                        </w:r>
                      </w:p>
                    </w:tc>
                    <w:tc>
                      <w:tcPr>
                        <w:tcW w:w="1072" w:type="dxa"/>
                      </w:tcPr>
                      <w:p>
                        <w:pPr>
                          <w:pStyle w:val="TableParagraph"/>
                          <w:spacing w:before="9"/>
                          <w:rPr>
                            <w:sz w:val="17"/>
                          </w:rPr>
                        </w:pPr>
                      </w:p>
                      <w:p>
                        <w:pPr>
                          <w:pStyle w:val="TableParagraph"/>
                          <w:ind w:left="118"/>
                          <w:rPr>
                            <w:sz w:val="18"/>
                          </w:rPr>
                        </w:pPr>
                        <w:r>
                          <w:rPr>
                            <w:sz w:val="18"/>
                          </w:rPr>
                          <w:t>10.8253</w:t>
                        </w:r>
                      </w:p>
                    </w:tc>
                    <w:tc>
                      <w:tcPr>
                        <w:tcW w:w="3480" w:type="dxa"/>
                      </w:tcPr>
                      <w:p>
                        <w:pPr>
                          <w:pStyle w:val="TableParagraph"/>
                          <w:spacing w:line="199" w:lineRule="exact"/>
                          <w:ind w:left="1596"/>
                          <w:rPr>
                            <w:sz w:val="12"/>
                          </w:rPr>
                        </w:pPr>
                        <w:r>
                          <w:rPr>
                            <w:position w:val="1"/>
                            <w:sz w:val="18"/>
                          </w:rPr>
                          <w:t>= ΔV</w:t>
                        </w:r>
                        <w:r>
                          <w:rPr>
                            <w:sz w:val="12"/>
                          </w:rPr>
                          <w:t>1</w:t>
                        </w:r>
                        <w:r>
                          <w:rPr>
                            <w:position w:val="1"/>
                            <w:sz w:val="18"/>
                          </w:rPr>
                          <w:t>(c</w:t>
                        </w:r>
                        <w:r>
                          <w:rPr>
                            <w:sz w:val="12"/>
                          </w:rPr>
                          <w:t>4</w:t>
                        </w:r>
                        <w:r>
                          <w:rPr>
                            <w:position w:val="1"/>
                            <w:sz w:val="18"/>
                          </w:rPr>
                          <w:t>)</w:t>
                        </w:r>
                        <w:r>
                          <w:rPr>
                            <w:sz w:val="12"/>
                          </w:rPr>
                          <w:t>new </w:t>
                        </w:r>
                        <w:r>
                          <w:rPr>
                            <w:position w:val="1"/>
                            <w:sz w:val="18"/>
                          </w:rPr>
                          <w:t>– ΔV</w:t>
                        </w:r>
                        <w:r>
                          <w:rPr>
                            <w:sz w:val="12"/>
                          </w:rPr>
                          <w:t>1</w:t>
                        </w:r>
                        <w:r>
                          <w:rPr>
                            <w:position w:val="1"/>
                            <w:sz w:val="18"/>
                          </w:rPr>
                          <w:t>(c</w:t>
                        </w:r>
                        <w:r>
                          <w:rPr>
                            <w:sz w:val="12"/>
                          </w:rPr>
                          <w:t>4</w:t>
                        </w:r>
                        <w:r>
                          <w:rPr>
                            <w:position w:val="1"/>
                            <w:sz w:val="18"/>
                          </w:rPr>
                          <w:t>)</w:t>
                        </w:r>
                        <w:r>
                          <w:rPr>
                            <w:sz w:val="12"/>
                          </w:rPr>
                          <w:t>ref</w:t>
                        </w:r>
                      </w:p>
                      <w:p>
                        <w:pPr>
                          <w:pStyle w:val="TableParagraph"/>
                          <w:tabs>
                            <w:tab w:pos="1596" w:val="left" w:leader="none"/>
                          </w:tabs>
                          <w:spacing w:line="211" w:lineRule="exact" w:before="1"/>
                          <w:ind w:left="213"/>
                          <w:rPr>
                            <w:sz w:val="12"/>
                          </w:rPr>
                        </w:pPr>
                        <w:r>
                          <w:rPr>
                            <w:position w:val="1"/>
                            <w:sz w:val="18"/>
                          </w:rPr>
                          <w:t>V</w:t>
                        </w:r>
                        <w:r>
                          <w:rPr>
                            <w:sz w:val="12"/>
                          </w:rPr>
                          <w:t>1</w:t>
                        </w:r>
                        <w:r>
                          <w:rPr>
                            <w:spacing w:val="-4"/>
                            <w:sz w:val="12"/>
                          </w:rPr>
                          <w:t> </w:t>
                        </w:r>
                        <w:r>
                          <w:rPr>
                            <w:position w:val="1"/>
                            <w:sz w:val="18"/>
                          </w:rPr>
                          <w:t>= Mw</w:t>
                          <w:tab/>
                          <w:t>&lt;V</w:t>
                        </w:r>
                        <w:r>
                          <w:rPr>
                            <w:sz w:val="12"/>
                          </w:rPr>
                          <w:t>1</w:t>
                        </w:r>
                        <w:r>
                          <w:rPr>
                            <w:position w:val="1"/>
                            <w:sz w:val="18"/>
                          </w:rPr>
                          <w:t>(c</w:t>
                        </w:r>
                        <w:r>
                          <w:rPr>
                            <w:sz w:val="12"/>
                          </w:rPr>
                          <w:t>4</w:t>
                        </w:r>
                        <w:r>
                          <w:rPr>
                            <w:position w:val="1"/>
                            <w:sz w:val="18"/>
                          </w:rPr>
                          <w:t>)&gt;</w:t>
                        </w:r>
                        <w:r>
                          <w:rPr>
                            <w:sz w:val="12"/>
                          </w:rPr>
                          <w:t>new</w:t>
                        </w:r>
                        <w:r>
                          <w:rPr>
                            <w:position w:val="1"/>
                            <w:sz w:val="18"/>
                          </w:rPr>
                          <w:t>) –</w:t>
                        </w:r>
                        <w:r>
                          <w:rPr>
                            <w:i/>
                            <w:position w:val="1"/>
                            <w:sz w:val="18"/>
                          </w:rPr>
                          <w:t>p</w:t>
                        </w:r>
                        <w:r>
                          <w:rPr>
                            <w:position w:val="1"/>
                            <w:sz w:val="18"/>
                          </w:rPr>
                          <w:t>(c</w:t>
                        </w:r>
                        <w:r>
                          <w:rPr>
                            <w:sz w:val="12"/>
                          </w:rPr>
                          <w:t>4</w:t>
                        </w:r>
                        <w:r>
                          <w:rPr>
                            <w:position w:val="1"/>
                            <w:sz w:val="18"/>
                          </w:rPr>
                          <w:t>)</w:t>
                        </w:r>
                        <w:r>
                          <w:rPr>
                            <w:sz w:val="12"/>
                          </w:rPr>
                          <w:t>ref </w:t>
                        </w:r>
                        <w:r>
                          <w:rPr>
                            <w:position w:val="1"/>
                            <w:sz w:val="18"/>
                          </w:rPr>
                          <w:t>· </w:t>
                        </w:r>
                        <w:r>
                          <w:rPr>
                            <w:spacing w:val="6"/>
                            <w:position w:val="1"/>
                            <w:sz w:val="18"/>
                          </w:rPr>
                          <w:t> </w:t>
                        </w:r>
                        <w:r>
                          <w:rPr>
                            <w:position w:val="1"/>
                            <w:sz w:val="18"/>
                          </w:rPr>
                          <w:t>(</w:t>
                        </w:r>
                        <w:r>
                          <w:rPr>
                            <w:position w:val="7"/>
                            <w:sz w:val="12"/>
                          </w:rPr>
                          <w:t>re</w:t>
                        </w:r>
                      </w:p>
                      <w:p>
                        <w:pPr>
                          <w:pStyle w:val="TableParagraph"/>
                          <w:spacing w:line="207" w:lineRule="exact"/>
                          <w:ind w:left="1596"/>
                          <w:rPr>
                            <w:sz w:val="12"/>
                          </w:rPr>
                        </w:pPr>
                        <w:r>
                          <w:rPr>
                            <w:position w:val="1"/>
                            <w:sz w:val="18"/>
                          </w:rPr>
                          <w:t>= </w:t>
                        </w:r>
                        <w:r>
                          <w:rPr>
                            <w:spacing w:val="-3"/>
                            <w:position w:val="1"/>
                            <w:sz w:val="18"/>
                          </w:rPr>
                          <w:t>Average of Aeigp for  </w:t>
                        </w:r>
                        <w:r>
                          <w:rPr>
                            <w:position w:val="1"/>
                            <w:sz w:val="18"/>
                          </w:rPr>
                          <w:t>c</w:t>
                        </w:r>
                        <w:r>
                          <w:rPr>
                            <w:sz w:val="12"/>
                          </w:rPr>
                          <w:t>4</w:t>
                        </w:r>
                      </w:p>
                    </w:tc>
                  </w:tr>
                  <w:tr>
                    <w:trPr>
                      <w:trHeight w:val="553" w:hRule="exact"/>
                    </w:trPr>
                    <w:tc>
                      <w:tcPr>
                        <w:tcW w:w="529" w:type="dxa"/>
                      </w:tcPr>
                      <w:p>
                        <w:pPr>
                          <w:pStyle w:val="TableParagraph"/>
                          <w:spacing w:before="6"/>
                          <w:rPr>
                            <w:sz w:val="17"/>
                          </w:rPr>
                        </w:pPr>
                      </w:p>
                      <w:p>
                        <w:pPr>
                          <w:pStyle w:val="TableParagraph"/>
                          <w:ind w:left="73"/>
                          <w:rPr>
                            <w:sz w:val="12"/>
                          </w:rPr>
                        </w:pPr>
                        <w:r>
                          <w:rPr>
                            <w:position w:val="1"/>
                            <w:sz w:val="18"/>
                          </w:rPr>
                          <w:t>b</w:t>
                        </w:r>
                        <w:r>
                          <w:rPr>
                            <w:sz w:val="12"/>
                          </w:rPr>
                          <w:t>18</w:t>
                        </w:r>
                      </w:p>
                    </w:tc>
                    <w:tc>
                      <w:tcPr>
                        <w:tcW w:w="1269" w:type="dxa"/>
                      </w:tcPr>
                      <w:p>
                        <w:pPr>
                          <w:pStyle w:val="TableParagraph"/>
                          <w:spacing w:before="6"/>
                          <w:rPr>
                            <w:sz w:val="17"/>
                          </w:rPr>
                        </w:pPr>
                      </w:p>
                      <w:p>
                        <w:pPr>
                          <w:pStyle w:val="TableParagraph"/>
                          <w:ind w:left="249"/>
                          <w:rPr>
                            <w:sz w:val="18"/>
                          </w:rPr>
                        </w:pPr>
                        <w:r>
                          <w:rPr>
                            <w:position w:val="1"/>
                            <w:sz w:val="18"/>
                          </w:rPr>
                          <w:t>∆∆V</w:t>
                        </w:r>
                        <w:r>
                          <w:rPr>
                            <w:sz w:val="12"/>
                          </w:rPr>
                          <w:t>5</w:t>
                        </w:r>
                        <w:r>
                          <w:rPr>
                            <w:position w:val="1"/>
                            <w:sz w:val="18"/>
                          </w:rPr>
                          <w:t>(c</w:t>
                        </w:r>
                        <w:r>
                          <w:rPr>
                            <w:sz w:val="12"/>
                          </w:rPr>
                          <w:t>5</w:t>
                        </w:r>
                        <w:r>
                          <w:rPr>
                            <w:position w:val="1"/>
                            <w:sz w:val="18"/>
                          </w:rPr>
                          <w:t>)</w:t>
                        </w:r>
                      </w:p>
                    </w:tc>
                    <w:tc>
                      <w:tcPr>
                        <w:tcW w:w="1072" w:type="dxa"/>
                      </w:tcPr>
                      <w:p>
                        <w:pPr>
                          <w:pStyle w:val="TableParagraph"/>
                          <w:spacing w:before="6"/>
                          <w:rPr>
                            <w:sz w:val="17"/>
                          </w:rPr>
                        </w:pPr>
                      </w:p>
                      <w:p>
                        <w:pPr>
                          <w:pStyle w:val="TableParagraph"/>
                          <w:ind w:left="118"/>
                          <w:rPr>
                            <w:sz w:val="18"/>
                          </w:rPr>
                        </w:pPr>
                        <w:r>
                          <w:rPr>
                            <w:sz w:val="18"/>
                          </w:rPr>
                          <w:t>-0.4531</w:t>
                        </w:r>
                      </w:p>
                    </w:tc>
                    <w:tc>
                      <w:tcPr>
                        <w:tcW w:w="3480" w:type="dxa"/>
                      </w:tcPr>
                      <w:p>
                        <w:pPr>
                          <w:pStyle w:val="TableParagraph"/>
                          <w:spacing w:line="200" w:lineRule="exact"/>
                          <w:ind w:left="1596"/>
                          <w:rPr>
                            <w:sz w:val="12"/>
                          </w:rPr>
                        </w:pPr>
                        <w:r>
                          <w:rPr>
                            <w:position w:val="1"/>
                            <w:sz w:val="18"/>
                          </w:rPr>
                          <w:t>= ΔV</w:t>
                        </w:r>
                        <w:r>
                          <w:rPr>
                            <w:sz w:val="12"/>
                          </w:rPr>
                          <w:t>5</w:t>
                        </w:r>
                        <w:r>
                          <w:rPr>
                            <w:position w:val="1"/>
                            <w:sz w:val="18"/>
                          </w:rPr>
                          <w:t>(c</w:t>
                        </w:r>
                        <w:r>
                          <w:rPr>
                            <w:sz w:val="12"/>
                          </w:rPr>
                          <w:t>5</w:t>
                        </w:r>
                        <w:r>
                          <w:rPr>
                            <w:position w:val="1"/>
                            <w:sz w:val="18"/>
                          </w:rPr>
                          <w:t>)</w:t>
                        </w:r>
                        <w:r>
                          <w:rPr>
                            <w:sz w:val="12"/>
                          </w:rPr>
                          <w:t>new </w:t>
                        </w:r>
                        <w:r>
                          <w:rPr>
                            <w:position w:val="1"/>
                            <w:sz w:val="18"/>
                          </w:rPr>
                          <w:t>– ΔV</w:t>
                        </w:r>
                        <w:r>
                          <w:rPr>
                            <w:sz w:val="12"/>
                          </w:rPr>
                          <w:t>5</w:t>
                        </w:r>
                        <w:r>
                          <w:rPr>
                            <w:position w:val="1"/>
                            <w:sz w:val="18"/>
                          </w:rPr>
                          <w:t>(c</w:t>
                        </w:r>
                        <w:r>
                          <w:rPr>
                            <w:sz w:val="12"/>
                          </w:rPr>
                          <w:t>5</w:t>
                        </w:r>
                        <w:r>
                          <w:rPr>
                            <w:position w:val="1"/>
                            <w:sz w:val="18"/>
                          </w:rPr>
                          <w:t>)</w:t>
                        </w:r>
                        <w:r>
                          <w:rPr>
                            <w:sz w:val="12"/>
                          </w:rPr>
                          <w:t>ref</w:t>
                        </w:r>
                      </w:p>
                      <w:p>
                        <w:pPr>
                          <w:pStyle w:val="TableParagraph"/>
                          <w:tabs>
                            <w:tab w:pos="1596" w:val="left" w:leader="none"/>
                          </w:tabs>
                          <w:spacing w:line="208" w:lineRule="exact"/>
                          <w:ind w:left="213"/>
                          <w:rPr>
                            <w:sz w:val="12"/>
                          </w:rPr>
                        </w:pPr>
                        <w:r>
                          <w:rPr>
                            <w:position w:val="1"/>
                            <w:sz w:val="18"/>
                          </w:rPr>
                          <w:t>V</w:t>
                        </w:r>
                        <w:r>
                          <w:rPr>
                            <w:sz w:val="12"/>
                          </w:rPr>
                          <w:t>5</w:t>
                        </w:r>
                        <w:r>
                          <w:rPr>
                            <w:spacing w:val="15"/>
                            <w:sz w:val="12"/>
                          </w:rPr>
                          <w:t> </w:t>
                        </w:r>
                        <w:r>
                          <w:rPr>
                            <w:position w:val="1"/>
                            <w:sz w:val="18"/>
                          </w:rPr>
                          <w:t>= MR</w:t>
                          <w:tab/>
                          <w:t>&lt;V</w:t>
                        </w:r>
                        <w:r>
                          <w:rPr>
                            <w:sz w:val="12"/>
                          </w:rPr>
                          <w:t>5</w:t>
                        </w:r>
                        <w:r>
                          <w:rPr>
                            <w:position w:val="1"/>
                            <w:sz w:val="18"/>
                          </w:rPr>
                          <w:t>(c</w:t>
                        </w:r>
                        <w:r>
                          <w:rPr>
                            <w:sz w:val="12"/>
                          </w:rPr>
                          <w:t>5</w:t>
                        </w:r>
                        <w:r>
                          <w:rPr>
                            <w:position w:val="1"/>
                            <w:sz w:val="18"/>
                          </w:rPr>
                          <w:t>)&gt;</w:t>
                        </w:r>
                        <w:r>
                          <w:rPr>
                            <w:sz w:val="12"/>
                          </w:rPr>
                          <w:t>new</w:t>
                        </w:r>
                        <w:r>
                          <w:rPr>
                            <w:position w:val="1"/>
                            <w:sz w:val="18"/>
                          </w:rPr>
                          <w:t>) – </w:t>
                        </w:r>
                        <w:r>
                          <w:rPr>
                            <w:i/>
                            <w:position w:val="1"/>
                            <w:sz w:val="18"/>
                          </w:rPr>
                          <w:t>p</w:t>
                        </w:r>
                        <w:r>
                          <w:rPr>
                            <w:position w:val="1"/>
                            <w:sz w:val="18"/>
                          </w:rPr>
                          <w:t>(c</w:t>
                        </w:r>
                        <w:r>
                          <w:rPr>
                            <w:sz w:val="12"/>
                          </w:rPr>
                          <w:t>5</w:t>
                        </w:r>
                        <w:r>
                          <w:rPr>
                            <w:position w:val="1"/>
                            <w:sz w:val="18"/>
                          </w:rPr>
                          <w:t>)</w:t>
                        </w:r>
                        <w:r>
                          <w:rPr>
                            <w:sz w:val="12"/>
                          </w:rPr>
                          <w:t>ref </w:t>
                        </w:r>
                        <w:r>
                          <w:rPr>
                            <w:position w:val="1"/>
                            <w:sz w:val="18"/>
                          </w:rPr>
                          <w:t>·</w:t>
                        </w:r>
                        <w:r>
                          <w:rPr>
                            <w:spacing w:val="5"/>
                            <w:position w:val="1"/>
                            <w:sz w:val="18"/>
                          </w:rPr>
                          <w:t> </w:t>
                        </w:r>
                        <w:r>
                          <w:rPr>
                            <w:position w:val="1"/>
                            <w:sz w:val="18"/>
                          </w:rPr>
                          <w:t>(</w:t>
                        </w:r>
                        <w:r>
                          <w:rPr>
                            <w:position w:val="7"/>
                            <w:sz w:val="12"/>
                          </w:rPr>
                          <w:t>re</w:t>
                        </w:r>
                      </w:p>
                      <w:p>
                        <w:pPr>
                          <w:pStyle w:val="TableParagraph"/>
                          <w:spacing w:line="185" w:lineRule="exact"/>
                          <w:ind w:left="1596" w:right="-13"/>
                          <w:rPr>
                            <w:sz w:val="18"/>
                          </w:rPr>
                        </w:pPr>
                        <w:r>
                          <w:rPr>
                            <w:position w:val="1"/>
                            <w:sz w:val="18"/>
                          </w:rPr>
                          <w:t>&lt;V</w:t>
                        </w:r>
                        <w:r>
                          <w:rPr>
                            <w:sz w:val="12"/>
                          </w:rPr>
                          <w:t>5</w:t>
                        </w:r>
                        <w:r>
                          <w:rPr>
                            <w:position w:val="1"/>
                            <w:sz w:val="18"/>
                          </w:rPr>
                          <w:t>(c</w:t>
                        </w:r>
                        <w:r>
                          <w:rPr>
                            <w:sz w:val="12"/>
                          </w:rPr>
                          <w:t>5</w:t>
                        </w:r>
                        <w:r>
                          <w:rPr>
                            <w:position w:val="1"/>
                            <w:sz w:val="18"/>
                          </w:rPr>
                          <w:t>)&gt; = Average </w:t>
                        </w:r>
                        <w:r>
                          <w:rPr>
                            <w:spacing w:val="-3"/>
                            <w:position w:val="1"/>
                            <w:sz w:val="18"/>
                          </w:rPr>
                          <w:t>LogP</w:t>
                        </w:r>
                      </w:p>
                    </w:tc>
                  </w:tr>
                  <w:tr>
                    <w:trPr>
                      <w:trHeight w:val="490" w:hRule="exact"/>
                    </w:trPr>
                    <w:tc>
                      <w:tcPr>
                        <w:tcW w:w="529" w:type="dxa"/>
                      </w:tcPr>
                      <w:p>
                        <w:pPr>
                          <w:pStyle w:val="TableParagraph"/>
                          <w:spacing w:before="138"/>
                          <w:ind w:left="73"/>
                          <w:rPr>
                            <w:sz w:val="12"/>
                          </w:rPr>
                        </w:pPr>
                        <w:r>
                          <w:rPr>
                            <w:position w:val="1"/>
                            <w:sz w:val="18"/>
                          </w:rPr>
                          <w:t>b</w:t>
                        </w:r>
                        <w:r>
                          <w:rPr>
                            <w:sz w:val="12"/>
                          </w:rPr>
                          <w:t>19</w:t>
                        </w:r>
                      </w:p>
                    </w:tc>
                    <w:tc>
                      <w:tcPr>
                        <w:tcW w:w="1269" w:type="dxa"/>
                      </w:tcPr>
                      <w:p>
                        <w:pPr>
                          <w:pStyle w:val="TableParagraph"/>
                          <w:spacing w:before="134"/>
                          <w:ind w:left="249"/>
                          <w:rPr>
                            <w:sz w:val="12"/>
                          </w:rPr>
                        </w:pPr>
                        <w:r>
                          <w:rPr>
                            <w:position w:val="1"/>
                            <w:sz w:val="18"/>
                          </w:rPr>
                          <w:t>(V</w:t>
                        </w:r>
                        <w:r>
                          <w:rPr>
                            <w:sz w:val="12"/>
                          </w:rPr>
                          <w:t>6new</w:t>
                        </w:r>
                        <w:r>
                          <w:rPr>
                            <w:position w:val="1"/>
                            <w:sz w:val="18"/>
                          </w:rPr>
                          <w:t>)</w:t>
                        </w:r>
                        <w:r>
                          <w:rPr>
                            <w:position w:val="7"/>
                            <w:sz w:val="12"/>
                          </w:rPr>
                          <w:t>2</w:t>
                        </w:r>
                      </w:p>
                    </w:tc>
                    <w:tc>
                      <w:tcPr>
                        <w:tcW w:w="1072" w:type="dxa"/>
                      </w:tcPr>
                      <w:p>
                        <w:pPr>
                          <w:pStyle w:val="TableParagraph"/>
                          <w:spacing w:before="138"/>
                          <w:ind w:left="118"/>
                          <w:rPr>
                            <w:sz w:val="18"/>
                          </w:rPr>
                        </w:pPr>
                        <w:r>
                          <w:rPr>
                            <w:sz w:val="18"/>
                          </w:rPr>
                          <w:t>7.4454</w:t>
                        </w:r>
                      </w:p>
                    </w:tc>
                    <w:tc>
                      <w:tcPr>
                        <w:tcW w:w="3480" w:type="dxa"/>
                      </w:tcPr>
                      <w:p>
                        <w:pPr>
                          <w:pStyle w:val="TableParagraph"/>
                          <w:tabs>
                            <w:tab w:pos="1596" w:val="left" w:leader="none"/>
                          </w:tabs>
                          <w:spacing w:before="134"/>
                          <w:ind w:left="213"/>
                          <w:rPr>
                            <w:sz w:val="12"/>
                          </w:rPr>
                        </w:pPr>
                        <w:r>
                          <w:rPr>
                            <w:position w:val="1"/>
                            <w:sz w:val="18"/>
                          </w:rPr>
                          <w:t>V</w:t>
                        </w:r>
                        <w:r>
                          <w:rPr>
                            <w:sz w:val="12"/>
                          </w:rPr>
                          <w:t>6</w:t>
                        </w:r>
                        <w:r>
                          <w:rPr>
                            <w:spacing w:val="16"/>
                            <w:sz w:val="12"/>
                          </w:rPr>
                          <w:t> </w:t>
                        </w:r>
                        <w:r>
                          <w:rPr>
                            <w:position w:val="1"/>
                            <w:sz w:val="18"/>
                          </w:rPr>
                          <w:t>=</w:t>
                        </w:r>
                        <w:r>
                          <w:rPr>
                            <w:spacing w:val="1"/>
                            <w:position w:val="1"/>
                            <w:sz w:val="18"/>
                          </w:rPr>
                          <w:t> </w:t>
                        </w:r>
                        <w:r>
                          <w:rPr>
                            <w:spacing w:val="-3"/>
                            <w:position w:val="1"/>
                            <w:sz w:val="18"/>
                          </w:rPr>
                          <w:t>LogP</w:t>
                          <w:tab/>
                        </w:r>
                        <w:r>
                          <w:rPr>
                            <w:position w:val="1"/>
                            <w:sz w:val="18"/>
                          </w:rPr>
                          <w:t>= </w:t>
                        </w:r>
                        <w:r>
                          <w:rPr>
                            <w:spacing w:val="-3"/>
                            <w:position w:val="1"/>
                            <w:sz w:val="18"/>
                          </w:rPr>
                          <w:t>(LogP</w:t>
                        </w:r>
                        <w:r>
                          <w:rPr>
                            <w:spacing w:val="12"/>
                            <w:position w:val="1"/>
                            <w:sz w:val="18"/>
                          </w:rPr>
                          <w:t> </w:t>
                        </w:r>
                        <w:r>
                          <w:rPr>
                            <w:sz w:val="12"/>
                          </w:rPr>
                          <w:t>new</w:t>
                        </w:r>
                        <w:r>
                          <w:rPr>
                            <w:position w:val="1"/>
                            <w:sz w:val="18"/>
                          </w:rPr>
                          <w:t>)</w:t>
                        </w:r>
                        <w:r>
                          <w:rPr>
                            <w:position w:val="7"/>
                            <w:sz w:val="12"/>
                          </w:rPr>
                          <w:t>2</w:t>
                        </w:r>
                      </w:p>
                    </w:tc>
                  </w:tr>
                  <w:tr>
                    <w:trPr>
                      <w:trHeight w:val="562" w:hRule="exact"/>
                    </w:trPr>
                    <w:tc>
                      <w:tcPr>
                        <w:tcW w:w="529" w:type="dxa"/>
                      </w:tcPr>
                      <w:p>
                        <w:pPr>
                          <w:pStyle w:val="TableParagraph"/>
                          <w:spacing w:before="138"/>
                          <w:ind w:left="73"/>
                          <w:rPr>
                            <w:sz w:val="12"/>
                          </w:rPr>
                        </w:pPr>
                        <w:r>
                          <w:rPr>
                            <w:position w:val="1"/>
                            <w:sz w:val="18"/>
                          </w:rPr>
                          <w:t>b</w:t>
                        </w:r>
                        <w:r>
                          <w:rPr>
                            <w:sz w:val="12"/>
                          </w:rPr>
                          <w:t>20</w:t>
                        </w:r>
                      </w:p>
                    </w:tc>
                    <w:tc>
                      <w:tcPr>
                        <w:tcW w:w="1269" w:type="dxa"/>
                      </w:tcPr>
                      <w:p>
                        <w:pPr>
                          <w:pStyle w:val="TableParagraph"/>
                          <w:spacing w:before="134"/>
                          <w:ind w:left="249"/>
                          <w:rPr>
                            <w:sz w:val="12"/>
                          </w:rPr>
                        </w:pPr>
                        <w:r>
                          <w:rPr>
                            <w:position w:val="1"/>
                            <w:sz w:val="18"/>
                          </w:rPr>
                          <w:t>(∆∆V</w:t>
                        </w:r>
                        <w:r>
                          <w:rPr>
                            <w:sz w:val="12"/>
                          </w:rPr>
                          <w:t>6</w:t>
                        </w:r>
                        <w:r>
                          <w:rPr>
                            <w:position w:val="1"/>
                            <w:sz w:val="18"/>
                          </w:rPr>
                          <w:t>(c</w:t>
                        </w:r>
                        <w:r>
                          <w:rPr>
                            <w:sz w:val="12"/>
                          </w:rPr>
                          <w:t>2</w:t>
                        </w:r>
                        <w:r>
                          <w:rPr>
                            <w:position w:val="1"/>
                            <w:sz w:val="18"/>
                          </w:rPr>
                          <w:t>))</w:t>
                        </w:r>
                        <w:r>
                          <w:rPr>
                            <w:position w:val="7"/>
                            <w:sz w:val="12"/>
                          </w:rPr>
                          <w:t>2</w:t>
                        </w:r>
                      </w:p>
                    </w:tc>
                    <w:tc>
                      <w:tcPr>
                        <w:tcW w:w="1072" w:type="dxa"/>
                      </w:tcPr>
                      <w:p>
                        <w:pPr>
                          <w:pStyle w:val="TableParagraph"/>
                          <w:spacing w:before="138"/>
                          <w:ind w:left="118"/>
                          <w:rPr>
                            <w:sz w:val="18"/>
                          </w:rPr>
                        </w:pPr>
                        <w:r>
                          <w:rPr>
                            <w:sz w:val="18"/>
                          </w:rPr>
                          <w:t>0.2977</w:t>
                        </w:r>
                      </w:p>
                    </w:tc>
                    <w:tc>
                      <w:tcPr>
                        <w:tcW w:w="3480" w:type="dxa"/>
                      </w:tcPr>
                      <w:p>
                        <w:pPr>
                          <w:pStyle w:val="TableParagraph"/>
                          <w:spacing w:line="136" w:lineRule="exact"/>
                          <w:ind w:left="1596"/>
                          <w:rPr>
                            <w:sz w:val="12"/>
                          </w:rPr>
                        </w:pPr>
                        <w:r>
                          <w:rPr>
                            <w:position w:val="1"/>
                            <w:sz w:val="18"/>
                          </w:rPr>
                          <w:t>= ΔV</w:t>
                        </w:r>
                        <w:r>
                          <w:rPr>
                            <w:sz w:val="12"/>
                          </w:rPr>
                          <w:t>6</w:t>
                        </w:r>
                        <w:r>
                          <w:rPr>
                            <w:position w:val="1"/>
                            <w:sz w:val="18"/>
                          </w:rPr>
                          <w:t>(c</w:t>
                        </w:r>
                        <w:r>
                          <w:rPr>
                            <w:sz w:val="12"/>
                          </w:rPr>
                          <w:t>2</w:t>
                        </w:r>
                        <w:r>
                          <w:rPr>
                            <w:position w:val="1"/>
                            <w:sz w:val="18"/>
                          </w:rPr>
                          <w:t>)</w:t>
                        </w:r>
                        <w:r>
                          <w:rPr>
                            <w:sz w:val="12"/>
                          </w:rPr>
                          <w:t>new </w:t>
                        </w:r>
                        <w:r>
                          <w:rPr>
                            <w:position w:val="1"/>
                            <w:sz w:val="18"/>
                          </w:rPr>
                          <w:t>– ΔV</w:t>
                        </w:r>
                        <w:r>
                          <w:rPr>
                            <w:sz w:val="12"/>
                          </w:rPr>
                          <w:t>6</w:t>
                        </w:r>
                        <w:r>
                          <w:rPr>
                            <w:position w:val="1"/>
                            <w:sz w:val="18"/>
                          </w:rPr>
                          <w:t>(c</w:t>
                        </w:r>
                        <w:r>
                          <w:rPr>
                            <w:sz w:val="12"/>
                          </w:rPr>
                          <w:t>2</w:t>
                        </w:r>
                        <w:r>
                          <w:rPr>
                            <w:position w:val="1"/>
                            <w:sz w:val="18"/>
                          </w:rPr>
                          <w:t>)</w:t>
                        </w:r>
                        <w:r>
                          <w:rPr>
                            <w:sz w:val="12"/>
                          </w:rPr>
                          <w:t>ref</w:t>
                        </w:r>
                      </w:p>
                      <w:p>
                        <w:pPr>
                          <w:pStyle w:val="TableParagraph"/>
                          <w:tabs>
                            <w:tab w:pos="1596" w:val="left" w:leader="none"/>
                          </w:tabs>
                          <w:spacing w:line="209" w:lineRule="exact"/>
                          <w:ind w:left="213"/>
                          <w:rPr>
                            <w:sz w:val="12"/>
                          </w:rPr>
                        </w:pPr>
                        <w:r>
                          <w:rPr>
                            <w:position w:val="1"/>
                            <w:sz w:val="18"/>
                          </w:rPr>
                          <w:t>V</w:t>
                        </w:r>
                        <w:r>
                          <w:rPr>
                            <w:sz w:val="12"/>
                          </w:rPr>
                          <w:t>6</w:t>
                        </w:r>
                        <w:r>
                          <w:rPr>
                            <w:spacing w:val="16"/>
                            <w:sz w:val="12"/>
                          </w:rPr>
                          <w:t> </w:t>
                        </w:r>
                        <w:r>
                          <w:rPr>
                            <w:position w:val="1"/>
                            <w:sz w:val="18"/>
                          </w:rPr>
                          <w:t>=</w:t>
                        </w:r>
                        <w:r>
                          <w:rPr>
                            <w:spacing w:val="1"/>
                            <w:position w:val="1"/>
                            <w:sz w:val="18"/>
                          </w:rPr>
                          <w:t> </w:t>
                        </w:r>
                        <w:r>
                          <w:rPr>
                            <w:spacing w:val="-3"/>
                            <w:position w:val="1"/>
                            <w:sz w:val="18"/>
                          </w:rPr>
                          <w:t>LogP</w:t>
                          <w:tab/>
                        </w:r>
                        <w:r>
                          <w:rPr>
                            <w:position w:val="1"/>
                            <w:sz w:val="18"/>
                          </w:rPr>
                          <w:t>&lt;V</w:t>
                        </w:r>
                        <w:r>
                          <w:rPr>
                            <w:sz w:val="12"/>
                          </w:rPr>
                          <w:t>6</w:t>
                        </w:r>
                        <w:r>
                          <w:rPr>
                            <w:position w:val="1"/>
                            <w:sz w:val="18"/>
                          </w:rPr>
                          <w:t>(c</w:t>
                        </w:r>
                        <w:r>
                          <w:rPr>
                            <w:sz w:val="12"/>
                          </w:rPr>
                          <w:t>2</w:t>
                        </w:r>
                        <w:r>
                          <w:rPr>
                            <w:position w:val="1"/>
                            <w:sz w:val="18"/>
                          </w:rPr>
                          <w:t>)&gt;</w:t>
                        </w:r>
                        <w:r>
                          <w:rPr>
                            <w:sz w:val="12"/>
                          </w:rPr>
                          <w:t>new</w:t>
                        </w:r>
                        <w:r>
                          <w:rPr>
                            <w:position w:val="1"/>
                            <w:sz w:val="18"/>
                          </w:rPr>
                          <w:t>) – </w:t>
                        </w:r>
                        <w:r>
                          <w:rPr>
                            <w:i/>
                            <w:position w:val="1"/>
                            <w:sz w:val="18"/>
                          </w:rPr>
                          <w:t>p</w:t>
                        </w:r>
                        <w:r>
                          <w:rPr>
                            <w:position w:val="1"/>
                            <w:sz w:val="18"/>
                          </w:rPr>
                          <w:t>(c</w:t>
                        </w:r>
                        <w:r>
                          <w:rPr>
                            <w:sz w:val="12"/>
                          </w:rPr>
                          <w:t>2</w:t>
                        </w:r>
                        <w:r>
                          <w:rPr>
                            <w:position w:val="1"/>
                            <w:sz w:val="18"/>
                          </w:rPr>
                          <w:t>)</w:t>
                        </w:r>
                        <w:r>
                          <w:rPr>
                            <w:sz w:val="12"/>
                          </w:rPr>
                          <w:t>ref </w:t>
                        </w:r>
                        <w:r>
                          <w:rPr>
                            <w:position w:val="1"/>
                            <w:sz w:val="18"/>
                          </w:rPr>
                          <w:t>·</w:t>
                        </w:r>
                        <w:r>
                          <w:rPr>
                            <w:spacing w:val="5"/>
                            <w:position w:val="1"/>
                            <w:sz w:val="18"/>
                          </w:rPr>
                          <w:t> </w:t>
                        </w:r>
                        <w:r>
                          <w:rPr>
                            <w:position w:val="1"/>
                            <w:sz w:val="18"/>
                          </w:rPr>
                          <w:t>(</w:t>
                        </w:r>
                        <w:r>
                          <w:rPr>
                            <w:position w:val="7"/>
                            <w:sz w:val="12"/>
                          </w:rPr>
                          <w:t>re</w:t>
                        </w:r>
                      </w:p>
                      <w:p>
                        <w:pPr>
                          <w:pStyle w:val="TableParagraph"/>
                          <w:spacing w:before="4"/>
                          <w:ind w:left="1596"/>
                          <w:rPr>
                            <w:sz w:val="12"/>
                          </w:rPr>
                        </w:pPr>
                        <w:r>
                          <w:rPr>
                            <w:position w:val="1"/>
                            <w:sz w:val="18"/>
                          </w:rPr>
                          <w:t>= Average of Mw for c</w:t>
                        </w:r>
                        <w:r>
                          <w:rPr>
                            <w:sz w:val="12"/>
                          </w:rPr>
                          <w:t>2</w:t>
                        </w:r>
                      </w:p>
                    </w:tc>
                  </w:tr>
                  <w:tr>
                    <w:trPr>
                      <w:trHeight w:val="414" w:hRule="exact"/>
                    </w:trPr>
                    <w:tc>
                      <w:tcPr>
                        <w:tcW w:w="529" w:type="dxa"/>
                      </w:tcPr>
                      <w:p>
                        <w:pPr>
                          <w:pStyle w:val="TableParagraph"/>
                          <w:spacing w:before="3"/>
                          <w:rPr>
                            <w:sz w:val="18"/>
                          </w:rPr>
                        </w:pPr>
                      </w:p>
                      <w:p>
                        <w:pPr>
                          <w:pStyle w:val="TableParagraph"/>
                          <w:ind w:left="73"/>
                          <w:rPr>
                            <w:sz w:val="12"/>
                          </w:rPr>
                        </w:pPr>
                        <w:r>
                          <w:rPr>
                            <w:position w:val="1"/>
                            <w:sz w:val="18"/>
                          </w:rPr>
                          <w:t>b</w:t>
                        </w:r>
                        <w:r>
                          <w:rPr>
                            <w:sz w:val="12"/>
                          </w:rPr>
                          <w:t>21</w:t>
                        </w:r>
                      </w:p>
                    </w:tc>
                    <w:tc>
                      <w:tcPr>
                        <w:tcW w:w="1269" w:type="dxa"/>
                      </w:tcPr>
                      <w:p>
                        <w:pPr>
                          <w:pStyle w:val="TableParagraph"/>
                          <w:spacing w:before="10"/>
                          <w:rPr>
                            <w:sz w:val="17"/>
                          </w:rPr>
                        </w:pPr>
                      </w:p>
                      <w:p>
                        <w:pPr>
                          <w:pStyle w:val="TableParagraph"/>
                          <w:ind w:left="249"/>
                          <w:rPr>
                            <w:sz w:val="12"/>
                          </w:rPr>
                        </w:pPr>
                        <w:r>
                          <w:rPr>
                            <w:position w:val="1"/>
                            <w:sz w:val="18"/>
                          </w:rPr>
                          <w:t>(∆∆V</w:t>
                        </w:r>
                        <w:r>
                          <w:rPr>
                            <w:sz w:val="12"/>
                          </w:rPr>
                          <w:t>6</w:t>
                        </w:r>
                        <w:r>
                          <w:rPr>
                            <w:position w:val="1"/>
                            <w:sz w:val="18"/>
                          </w:rPr>
                          <w:t>(c</w:t>
                        </w:r>
                        <w:r>
                          <w:rPr>
                            <w:sz w:val="12"/>
                          </w:rPr>
                          <w:t>6</w:t>
                        </w:r>
                        <w:r>
                          <w:rPr>
                            <w:position w:val="1"/>
                            <w:sz w:val="18"/>
                          </w:rPr>
                          <w:t>))</w:t>
                        </w:r>
                        <w:r>
                          <w:rPr>
                            <w:position w:val="7"/>
                            <w:sz w:val="12"/>
                          </w:rPr>
                          <w:t>2</w:t>
                        </w:r>
                      </w:p>
                    </w:tc>
                    <w:tc>
                      <w:tcPr>
                        <w:tcW w:w="1072" w:type="dxa"/>
                      </w:tcPr>
                      <w:p>
                        <w:pPr>
                          <w:pStyle w:val="TableParagraph"/>
                          <w:spacing w:before="3"/>
                          <w:rPr>
                            <w:sz w:val="18"/>
                          </w:rPr>
                        </w:pPr>
                      </w:p>
                      <w:p>
                        <w:pPr>
                          <w:pStyle w:val="TableParagraph"/>
                          <w:ind w:left="118"/>
                          <w:rPr>
                            <w:sz w:val="18"/>
                          </w:rPr>
                        </w:pPr>
                        <w:r>
                          <w:rPr>
                            <w:sz w:val="18"/>
                          </w:rPr>
                          <w:t>-0.3115</w:t>
                        </w:r>
                      </w:p>
                    </w:tc>
                    <w:tc>
                      <w:tcPr>
                        <w:tcW w:w="3480" w:type="dxa"/>
                      </w:tcPr>
                      <w:p>
                        <w:pPr>
                          <w:pStyle w:val="TableParagraph"/>
                          <w:spacing w:line="205" w:lineRule="exact" w:before="3"/>
                          <w:ind w:left="1596"/>
                          <w:rPr>
                            <w:sz w:val="12"/>
                          </w:rPr>
                        </w:pPr>
                        <w:r>
                          <w:rPr>
                            <w:position w:val="1"/>
                            <w:sz w:val="18"/>
                          </w:rPr>
                          <w:t>= ΔV</w:t>
                        </w:r>
                        <w:r>
                          <w:rPr>
                            <w:sz w:val="12"/>
                          </w:rPr>
                          <w:t>6</w:t>
                        </w:r>
                        <w:r>
                          <w:rPr>
                            <w:position w:val="1"/>
                            <w:sz w:val="18"/>
                          </w:rPr>
                          <w:t>(c</w:t>
                        </w:r>
                        <w:r>
                          <w:rPr>
                            <w:sz w:val="12"/>
                          </w:rPr>
                          <w:t>6</w:t>
                        </w:r>
                        <w:r>
                          <w:rPr>
                            <w:position w:val="1"/>
                            <w:sz w:val="18"/>
                          </w:rPr>
                          <w:t>)</w:t>
                        </w:r>
                        <w:r>
                          <w:rPr>
                            <w:sz w:val="12"/>
                          </w:rPr>
                          <w:t>new </w:t>
                        </w:r>
                        <w:r>
                          <w:rPr>
                            <w:position w:val="1"/>
                            <w:sz w:val="18"/>
                          </w:rPr>
                          <w:t>– ΔV</w:t>
                        </w:r>
                        <w:r>
                          <w:rPr>
                            <w:sz w:val="12"/>
                          </w:rPr>
                          <w:t>6</w:t>
                        </w:r>
                        <w:r>
                          <w:rPr>
                            <w:position w:val="1"/>
                            <w:sz w:val="18"/>
                          </w:rPr>
                          <w:t>(c</w:t>
                        </w:r>
                        <w:r>
                          <w:rPr>
                            <w:sz w:val="12"/>
                          </w:rPr>
                          <w:t>6</w:t>
                        </w:r>
                        <w:r>
                          <w:rPr>
                            <w:position w:val="1"/>
                            <w:sz w:val="18"/>
                          </w:rPr>
                          <w:t>)</w:t>
                        </w:r>
                        <w:r>
                          <w:rPr>
                            <w:sz w:val="12"/>
                          </w:rPr>
                          <w:t>ref</w:t>
                        </w:r>
                      </w:p>
                      <w:p>
                        <w:pPr>
                          <w:pStyle w:val="TableParagraph"/>
                          <w:tabs>
                            <w:tab w:pos="1596" w:val="left" w:leader="none"/>
                          </w:tabs>
                          <w:spacing w:line="209" w:lineRule="exact"/>
                          <w:ind w:left="213"/>
                          <w:rPr>
                            <w:sz w:val="12"/>
                          </w:rPr>
                        </w:pPr>
                        <w:r>
                          <w:rPr>
                            <w:position w:val="1"/>
                            <w:sz w:val="18"/>
                          </w:rPr>
                          <w:t>V</w:t>
                        </w:r>
                        <w:r>
                          <w:rPr>
                            <w:sz w:val="12"/>
                          </w:rPr>
                          <w:t>6</w:t>
                        </w:r>
                        <w:r>
                          <w:rPr>
                            <w:spacing w:val="16"/>
                            <w:sz w:val="12"/>
                          </w:rPr>
                          <w:t> </w:t>
                        </w:r>
                        <w:r>
                          <w:rPr>
                            <w:position w:val="1"/>
                            <w:sz w:val="18"/>
                          </w:rPr>
                          <w:t>=</w:t>
                        </w:r>
                        <w:r>
                          <w:rPr>
                            <w:spacing w:val="1"/>
                            <w:position w:val="1"/>
                            <w:sz w:val="18"/>
                          </w:rPr>
                          <w:t> </w:t>
                        </w:r>
                        <w:r>
                          <w:rPr>
                            <w:spacing w:val="-3"/>
                            <w:position w:val="1"/>
                            <w:sz w:val="18"/>
                          </w:rPr>
                          <w:t>LogP</w:t>
                          <w:tab/>
                        </w:r>
                        <w:r>
                          <w:rPr>
                            <w:position w:val="1"/>
                            <w:sz w:val="18"/>
                          </w:rPr>
                          <w:t>&lt;V</w:t>
                        </w:r>
                        <w:r>
                          <w:rPr>
                            <w:sz w:val="12"/>
                          </w:rPr>
                          <w:t>6</w:t>
                        </w:r>
                        <w:r>
                          <w:rPr>
                            <w:position w:val="1"/>
                            <w:sz w:val="18"/>
                          </w:rPr>
                          <w:t>(c</w:t>
                        </w:r>
                        <w:r>
                          <w:rPr>
                            <w:sz w:val="12"/>
                          </w:rPr>
                          <w:t>6</w:t>
                        </w:r>
                        <w:r>
                          <w:rPr>
                            <w:position w:val="1"/>
                            <w:sz w:val="18"/>
                          </w:rPr>
                          <w:t>)&gt;</w:t>
                        </w:r>
                        <w:r>
                          <w:rPr>
                            <w:sz w:val="12"/>
                          </w:rPr>
                          <w:t>new</w:t>
                        </w:r>
                        <w:r>
                          <w:rPr>
                            <w:position w:val="1"/>
                            <w:sz w:val="18"/>
                          </w:rPr>
                          <w:t>) –</w:t>
                        </w:r>
                        <w:r>
                          <w:rPr>
                            <w:i/>
                            <w:position w:val="1"/>
                            <w:sz w:val="18"/>
                          </w:rPr>
                          <w:t>p</w:t>
                        </w:r>
                        <w:r>
                          <w:rPr>
                            <w:position w:val="1"/>
                            <w:sz w:val="18"/>
                          </w:rPr>
                          <w:t>(c</w:t>
                        </w:r>
                        <w:r>
                          <w:rPr>
                            <w:sz w:val="12"/>
                          </w:rPr>
                          <w:t>6</w:t>
                        </w:r>
                        <w:r>
                          <w:rPr>
                            <w:position w:val="1"/>
                            <w:sz w:val="18"/>
                          </w:rPr>
                          <w:t>)</w:t>
                        </w:r>
                        <w:r>
                          <w:rPr>
                            <w:sz w:val="12"/>
                          </w:rPr>
                          <w:t>ref </w:t>
                        </w:r>
                        <w:r>
                          <w:rPr>
                            <w:position w:val="1"/>
                            <w:sz w:val="18"/>
                          </w:rPr>
                          <w:t>· </w:t>
                        </w:r>
                        <w:r>
                          <w:rPr>
                            <w:spacing w:val="6"/>
                            <w:position w:val="1"/>
                            <w:sz w:val="18"/>
                          </w:rPr>
                          <w:t> </w:t>
                        </w:r>
                        <w:r>
                          <w:rPr>
                            <w:position w:val="1"/>
                            <w:sz w:val="18"/>
                          </w:rPr>
                          <w:t>(</w:t>
                        </w:r>
                        <w:r>
                          <w:rPr>
                            <w:position w:val="7"/>
                            <w:sz w:val="12"/>
                          </w:rPr>
                          <w:t>re</w:t>
                        </w:r>
                      </w:p>
                    </w:tc>
                  </w:tr>
                </w:tbl>
                <w:p>
                  <w:pPr>
                    <w:pStyle w:val="BodyText"/>
                  </w:pPr>
                </w:p>
              </w:txbxContent>
            </v:textbox>
            <w10:wrap type="none"/>
          </v:shape>
        </w:pict>
      </w:r>
      <w:r>
        <w:rPr>
          <w:rFonts w:ascii="Times New Roman" w:hAnsi="Times New Roman"/>
          <w:position w:val="1"/>
          <w:sz w:val="18"/>
        </w:rPr>
        <w:t>a</w:t>
      </w:r>
      <w:r>
        <w:rPr>
          <w:rFonts w:ascii="Times New Roman" w:hAnsi="Times New Roman"/>
          <w:sz w:val="12"/>
        </w:rPr>
        <w:t>1</w:t>
        <w:tab/>
      </w:r>
      <w:r>
        <w:rPr>
          <w:rFonts w:ascii="Times New Roman" w:hAnsi="Times New Roman"/>
          <w:position w:val="1"/>
          <w:sz w:val="18"/>
        </w:rPr>
        <w:t>ω-6_</w:t>
      </w:r>
      <w:r>
        <w:rPr>
          <w:rFonts w:ascii="Times New Roman" w:hAnsi="Times New Roman"/>
          <w:sz w:val="12"/>
        </w:rPr>
        <w:t>new</w:t>
        <w:tab/>
      </w:r>
      <w:r>
        <w:rPr>
          <w:rFonts w:ascii="Times New Roman" w:hAnsi="Times New Roman"/>
          <w:position w:val="-5"/>
          <w:sz w:val="18"/>
        </w:rPr>
        <w:t>4.8007</w:t>
        <w:tab/>
      </w:r>
      <w:r>
        <w:rPr>
          <w:rFonts w:ascii="Times New Roman" w:hAnsi="Times New Roman"/>
          <w:position w:val="1"/>
          <w:sz w:val="18"/>
        </w:rPr>
        <w:t>ω-6</w:t>
        <w:tab/>
        <w:t>Exogenous ω-6 </w:t>
      </w:r>
      <w:r>
        <w:rPr>
          <w:rFonts w:ascii="Times New Roman" w:hAnsi="Times New Roman"/>
          <w:spacing w:val="-3"/>
          <w:position w:val="1"/>
          <w:sz w:val="18"/>
        </w:rPr>
        <w:t>PUFAs </w:t>
      </w:r>
      <w:r>
        <w:rPr>
          <w:rFonts w:ascii="Times New Roman" w:hAnsi="Times New Roman"/>
          <w:position w:val="1"/>
          <w:sz w:val="18"/>
        </w:rPr>
        <w:t>in the new</w:t>
      </w:r>
      <w:r>
        <w:rPr>
          <w:rFonts w:ascii="Times New Roman" w:hAnsi="Times New Roman"/>
          <w:spacing w:val="8"/>
          <w:position w:val="1"/>
          <w:sz w:val="18"/>
        </w:rPr>
        <w:t> </w:t>
      </w:r>
      <w:r>
        <w:rPr>
          <w:rFonts w:ascii="Times New Roman" w:hAnsi="Times New Roman"/>
          <w:position w:val="1"/>
          <w:sz w:val="18"/>
        </w:rPr>
        <w:t>state</w:t>
      </w:r>
    </w:p>
    <w:p>
      <w:pPr>
        <w:pStyle w:val="BodyText"/>
        <w:spacing w:line="20" w:lineRule="exact"/>
        <w:ind w:left="423"/>
        <w:rPr>
          <w:rFonts w:ascii="Times New Roman"/>
          <w:sz w:val="2"/>
        </w:rPr>
      </w:pPr>
      <w:r>
        <w:rPr>
          <w:rFonts w:ascii="Times New Roman"/>
          <w:sz w:val="2"/>
        </w:rPr>
        <w:drawing>
          <wp:inline distT="0" distB="0" distL="0" distR="0">
            <wp:extent cx="5406513" cy="6096"/>
            <wp:effectExtent l="0" t="0" r="0" b="0"/>
            <wp:docPr id="161" name="image98.png" descr=""/>
            <wp:cNvGraphicFramePr>
              <a:graphicFrameLocks noChangeAspect="1"/>
            </wp:cNvGraphicFramePr>
            <a:graphic>
              <a:graphicData uri="http://schemas.openxmlformats.org/drawingml/2006/picture">
                <pic:pic>
                  <pic:nvPicPr>
                    <pic:cNvPr id="162" name="image98.png"/>
                    <pic:cNvPicPr/>
                  </pic:nvPicPr>
                  <pic:blipFill>
                    <a:blip r:embed="rId181" cstate="print"/>
                    <a:stretch>
                      <a:fillRect/>
                    </a:stretch>
                  </pic:blipFill>
                  <pic:spPr>
                    <a:xfrm>
                      <a:off x="0" y="0"/>
                      <a:ext cx="5406513" cy="6096"/>
                    </a:xfrm>
                    <a:prstGeom prst="rect">
                      <a:avLst/>
                    </a:prstGeom>
                  </pic:spPr>
                </pic:pic>
              </a:graphicData>
            </a:graphic>
          </wp:inline>
        </w:drawing>
      </w:r>
      <w:r>
        <w:rPr>
          <w:rFonts w:ascii="Times New Roman"/>
          <w:sz w:val="2"/>
        </w:rPr>
      </w:r>
    </w:p>
    <w:p>
      <w:pPr>
        <w:spacing w:before="52"/>
        <w:ind w:left="240" w:right="1585" w:firstLine="0"/>
        <w:jc w:val="right"/>
        <w:rPr>
          <w:rFonts w:ascii="Times New Roman"/>
          <w:sz w:val="18"/>
        </w:rPr>
      </w:pPr>
      <w:r>
        <w:rPr/>
        <w:drawing>
          <wp:anchor distT="0" distB="0" distL="0" distR="0" allowOverlap="1" layoutInCell="1" locked="0" behindDoc="0" simplePos="0" relativeHeight="5056">
            <wp:simplePos x="0" y="0"/>
            <wp:positionH relativeFrom="page">
              <wp:posOffset>1183233</wp:posOffset>
            </wp:positionH>
            <wp:positionV relativeFrom="paragraph">
              <wp:posOffset>209834</wp:posOffset>
            </wp:positionV>
            <wp:extent cx="5322036" cy="6000"/>
            <wp:effectExtent l="0" t="0" r="0" b="0"/>
            <wp:wrapTopAndBottom/>
            <wp:docPr id="163" name="image97.png" descr=""/>
            <wp:cNvGraphicFramePr>
              <a:graphicFrameLocks noChangeAspect="1"/>
            </wp:cNvGraphicFramePr>
            <a:graphic>
              <a:graphicData uri="http://schemas.openxmlformats.org/drawingml/2006/picture">
                <pic:pic>
                  <pic:nvPicPr>
                    <pic:cNvPr id="164" name="image97.png"/>
                    <pic:cNvPicPr/>
                  </pic:nvPicPr>
                  <pic:blipFill>
                    <a:blip r:embed="rId180" cstate="print"/>
                    <a:stretch>
                      <a:fillRect/>
                    </a:stretch>
                  </pic:blipFill>
                  <pic:spPr>
                    <a:xfrm>
                      <a:off x="0" y="0"/>
                      <a:ext cx="5322036" cy="6000"/>
                    </a:xfrm>
                    <a:prstGeom prst="rect">
                      <a:avLst/>
                    </a:prstGeom>
                  </pic:spPr>
                </pic:pic>
              </a:graphicData>
            </a:graphic>
          </wp:anchor>
        </w:drawing>
      </w:r>
      <w:r>
        <w:rPr>
          <w:rFonts w:ascii="Times New Roman"/>
          <w:sz w:val="18"/>
        </w:rPr>
        <w:t>the new state</w:t>
      </w:r>
    </w:p>
    <w:p>
      <w:pPr>
        <w:spacing w:before="0" w:after="4"/>
        <w:ind w:left="240" w:right="1166" w:firstLine="0"/>
        <w:jc w:val="right"/>
        <w:rPr>
          <w:rFonts w:ascii="Times New Roman"/>
          <w:sz w:val="18"/>
        </w:rPr>
      </w:pPr>
      <w:r>
        <w:rPr>
          <w:rFonts w:ascii="Times New Roman"/>
          <w:sz w:val="18"/>
        </w:rPr>
        <w:t>ion in the new state</w:t>
      </w:r>
    </w:p>
    <w:p>
      <w:pPr>
        <w:pStyle w:val="BodyText"/>
        <w:spacing w:line="20" w:lineRule="exact"/>
        <w:ind w:left="423"/>
        <w:rPr>
          <w:rFonts w:ascii="Times New Roman"/>
          <w:sz w:val="2"/>
        </w:rPr>
      </w:pPr>
      <w:r>
        <w:rPr>
          <w:rFonts w:ascii="Times New Roman"/>
          <w:sz w:val="2"/>
        </w:rPr>
        <w:drawing>
          <wp:inline distT="0" distB="0" distL="0" distR="0">
            <wp:extent cx="5405838" cy="6096"/>
            <wp:effectExtent l="0" t="0" r="0" b="0"/>
            <wp:docPr id="165" name="image99.png" descr=""/>
            <wp:cNvGraphicFramePr>
              <a:graphicFrameLocks noChangeAspect="1"/>
            </wp:cNvGraphicFramePr>
            <a:graphic>
              <a:graphicData uri="http://schemas.openxmlformats.org/drawingml/2006/picture">
                <pic:pic>
                  <pic:nvPicPr>
                    <pic:cNvPr id="166" name="image99.png"/>
                    <pic:cNvPicPr/>
                  </pic:nvPicPr>
                  <pic:blipFill>
                    <a:blip r:embed="rId182" cstate="print"/>
                    <a:stretch>
                      <a:fillRect/>
                    </a:stretch>
                  </pic:blipFill>
                  <pic:spPr>
                    <a:xfrm>
                      <a:off x="0" y="0"/>
                      <a:ext cx="5405838" cy="6096"/>
                    </a:xfrm>
                    <a:prstGeom prst="rect">
                      <a:avLst/>
                    </a:prstGeom>
                  </pic:spPr>
                </pic:pic>
              </a:graphicData>
            </a:graphic>
          </wp:inline>
        </w:drawing>
      </w:r>
      <w:r>
        <w:rPr>
          <w:rFonts w:ascii="Times New Roman"/>
          <w:sz w:val="2"/>
        </w:rPr>
      </w:r>
    </w:p>
    <w:p>
      <w:pPr>
        <w:spacing w:before="0"/>
        <w:ind w:left="240" w:right="637" w:firstLine="0"/>
        <w:jc w:val="right"/>
        <w:rPr>
          <w:rFonts w:ascii="Times New Roman"/>
          <w:sz w:val="18"/>
        </w:rPr>
      </w:pPr>
      <w:r>
        <w:rPr>
          <w:rFonts w:ascii="Times New Roman"/>
          <w:sz w:val="18"/>
        </w:rPr>
        <w:t>each fatty acid in the new</w:t>
      </w:r>
    </w:p>
    <w:p>
      <w:pPr>
        <w:spacing w:after="0"/>
        <w:jc w:val="right"/>
        <w:rPr>
          <w:rFonts w:ascii="Times New Roman"/>
          <w:sz w:val="18"/>
        </w:rPr>
        <w:sectPr>
          <w:pgSz w:w="12240" w:h="15840"/>
          <w:pgMar w:header="684" w:footer="1184" w:top="1380" w:bottom="1380" w:left="1440" w:right="1460"/>
        </w:sectPr>
      </w:pPr>
    </w:p>
    <w:p>
      <w:pPr>
        <w:spacing w:before="4"/>
        <w:ind w:left="0" w:right="778" w:firstLine="0"/>
        <w:jc w:val="right"/>
        <w:rPr>
          <w:rFonts w:ascii="Times New Roman"/>
          <w:sz w:val="18"/>
        </w:rPr>
      </w:pPr>
      <w:r>
        <w:rPr/>
        <w:drawing>
          <wp:anchor distT="0" distB="0" distL="0" distR="0" allowOverlap="1" layoutInCell="1" locked="0" behindDoc="0" simplePos="0" relativeHeight="5224">
            <wp:simplePos x="0" y="0"/>
            <wp:positionH relativeFrom="page">
              <wp:posOffset>1183233</wp:posOffset>
            </wp:positionH>
            <wp:positionV relativeFrom="paragraph">
              <wp:posOffset>136681</wp:posOffset>
            </wp:positionV>
            <wp:extent cx="5406289" cy="6096"/>
            <wp:effectExtent l="0" t="0" r="0" b="0"/>
            <wp:wrapNone/>
            <wp:docPr id="167" name="image99.png" descr=""/>
            <wp:cNvGraphicFramePr>
              <a:graphicFrameLocks noChangeAspect="1"/>
            </wp:cNvGraphicFramePr>
            <a:graphic>
              <a:graphicData uri="http://schemas.openxmlformats.org/drawingml/2006/picture">
                <pic:pic>
                  <pic:nvPicPr>
                    <pic:cNvPr id="168" name="image99.png"/>
                    <pic:cNvPicPr/>
                  </pic:nvPicPr>
                  <pic:blipFill>
                    <a:blip r:embed="rId182" cstate="print"/>
                    <a:stretch>
                      <a:fillRect/>
                    </a:stretch>
                  </pic:blipFill>
                  <pic:spPr>
                    <a:xfrm>
                      <a:off x="0" y="0"/>
                      <a:ext cx="5406289" cy="6096"/>
                    </a:xfrm>
                    <a:prstGeom prst="rect">
                      <a:avLst/>
                    </a:prstGeom>
                  </pic:spPr>
                </pic:pic>
              </a:graphicData>
            </a:graphic>
          </wp:anchor>
        </w:drawing>
      </w:r>
      <w:r>
        <w:rPr>
          <w:rFonts w:ascii="Times New Roman"/>
          <w:sz w:val="18"/>
        </w:rPr>
        <w:t>state</w:t>
      </w:r>
    </w:p>
    <w:p>
      <w:pPr>
        <w:pStyle w:val="BodyText"/>
        <w:rPr>
          <w:rFonts w:ascii="Times New Roman"/>
          <w:sz w:val="18"/>
        </w:rPr>
      </w:pPr>
    </w:p>
    <w:p>
      <w:pPr>
        <w:pStyle w:val="BodyText"/>
        <w:rPr>
          <w:rFonts w:ascii="Times New Roman"/>
          <w:sz w:val="18"/>
        </w:rPr>
      </w:pPr>
    </w:p>
    <w:p>
      <w:pPr>
        <w:spacing w:before="152"/>
        <w:ind w:left="4893" w:right="-18" w:firstLine="0"/>
        <w:jc w:val="left"/>
        <w:rPr>
          <w:rFonts w:ascii="Times New Roman"/>
          <w:sz w:val="18"/>
        </w:rPr>
      </w:pPr>
      <w:r>
        <w:rPr/>
        <w:drawing>
          <wp:anchor distT="0" distB="0" distL="0" distR="0" allowOverlap="1" layoutInCell="1" locked="0" behindDoc="1" simplePos="0" relativeHeight="268108439">
            <wp:simplePos x="0" y="0"/>
            <wp:positionH relativeFrom="page">
              <wp:posOffset>1183233</wp:posOffset>
            </wp:positionH>
            <wp:positionV relativeFrom="paragraph">
              <wp:posOffset>-37561</wp:posOffset>
            </wp:positionV>
            <wp:extent cx="5406288" cy="6095"/>
            <wp:effectExtent l="0" t="0" r="0" b="0"/>
            <wp:wrapNone/>
            <wp:docPr id="169" name="image97.png" descr=""/>
            <wp:cNvGraphicFramePr>
              <a:graphicFrameLocks noChangeAspect="1"/>
            </wp:cNvGraphicFramePr>
            <a:graphic>
              <a:graphicData uri="http://schemas.openxmlformats.org/drawingml/2006/picture">
                <pic:pic>
                  <pic:nvPicPr>
                    <pic:cNvPr id="170" name="image97.png"/>
                    <pic:cNvPicPr/>
                  </pic:nvPicPr>
                  <pic:blipFill>
                    <a:blip r:embed="rId180" cstate="print"/>
                    <a:stretch>
                      <a:fillRect/>
                    </a:stretch>
                  </pic:blipFill>
                  <pic:spPr>
                    <a:xfrm>
                      <a:off x="0" y="0"/>
                      <a:ext cx="5406288" cy="6095"/>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1183233</wp:posOffset>
            </wp:positionH>
            <wp:positionV relativeFrom="paragraph">
              <wp:posOffset>230661</wp:posOffset>
            </wp:positionV>
            <wp:extent cx="5406288" cy="6096"/>
            <wp:effectExtent l="0" t="0" r="0" b="0"/>
            <wp:wrapNone/>
            <wp:docPr id="171" name="image100.png" descr=""/>
            <wp:cNvGraphicFramePr>
              <a:graphicFrameLocks noChangeAspect="1"/>
            </wp:cNvGraphicFramePr>
            <a:graphic>
              <a:graphicData uri="http://schemas.openxmlformats.org/drawingml/2006/picture">
                <pic:pic>
                  <pic:nvPicPr>
                    <pic:cNvPr id="172" name="image100.png"/>
                    <pic:cNvPicPr/>
                  </pic:nvPicPr>
                  <pic:blipFill>
                    <a:blip r:embed="rId183" cstate="print"/>
                    <a:stretch>
                      <a:fillRect/>
                    </a:stretch>
                  </pic:blipFill>
                  <pic:spPr>
                    <a:xfrm>
                      <a:off x="0" y="0"/>
                      <a:ext cx="5406288" cy="6096"/>
                    </a:xfrm>
                    <a:prstGeom prst="rect">
                      <a:avLst/>
                    </a:prstGeom>
                  </pic:spPr>
                </pic:pic>
              </a:graphicData>
            </a:graphic>
          </wp:anchor>
        </w:drawing>
      </w:r>
      <w:r>
        <w:rPr>
          <w:rFonts w:ascii="Times New Roman"/>
          <w:sz w:val="18"/>
        </w:rPr>
        <w:t>reference states</w:t>
      </w:r>
    </w:p>
    <w:p>
      <w:pPr>
        <w:pStyle w:val="BodyText"/>
        <w:rPr>
          <w:rFonts w:ascii="Times New Roman"/>
          <w:sz w:val="18"/>
        </w:rPr>
      </w:pPr>
    </w:p>
    <w:p>
      <w:pPr>
        <w:pStyle w:val="BodyText"/>
        <w:rPr>
          <w:rFonts w:ascii="Times New Roman"/>
          <w:sz w:val="18"/>
        </w:rPr>
      </w:pPr>
    </w:p>
    <w:p>
      <w:pPr>
        <w:spacing w:before="152"/>
        <w:ind w:left="0" w:right="69" w:firstLine="0"/>
        <w:jc w:val="right"/>
        <w:rPr>
          <w:rFonts w:ascii="Times New Roman"/>
          <w:sz w:val="18"/>
        </w:rPr>
      </w:pPr>
      <w:r>
        <w:rPr/>
        <w:drawing>
          <wp:anchor distT="0" distB="0" distL="0" distR="0" allowOverlap="1" layoutInCell="1" locked="0" behindDoc="1" simplePos="0" relativeHeight="268108487">
            <wp:simplePos x="0" y="0"/>
            <wp:positionH relativeFrom="page">
              <wp:posOffset>1183233</wp:posOffset>
            </wp:positionH>
            <wp:positionV relativeFrom="paragraph">
              <wp:posOffset>-37562</wp:posOffset>
            </wp:positionV>
            <wp:extent cx="5406288" cy="6095"/>
            <wp:effectExtent l="0" t="0" r="0" b="0"/>
            <wp:wrapNone/>
            <wp:docPr id="173" name="image97.png" descr=""/>
            <wp:cNvGraphicFramePr>
              <a:graphicFrameLocks noChangeAspect="1"/>
            </wp:cNvGraphicFramePr>
            <a:graphic>
              <a:graphicData uri="http://schemas.openxmlformats.org/drawingml/2006/picture">
                <pic:pic>
                  <pic:nvPicPr>
                    <pic:cNvPr id="174" name="image97.png"/>
                    <pic:cNvPicPr/>
                  </pic:nvPicPr>
                  <pic:blipFill>
                    <a:blip r:embed="rId180" cstate="print"/>
                    <a:stretch>
                      <a:fillRect/>
                    </a:stretch>
                  </pic:blipFill>
                  <pic:spPr>
                    <a:xfrm>
                      <a:off x="0" y="0"/>
                      <a:ext cx="5406288" cy="6095"/>
                    </a:xfrm>
                    <a:prstGeom prst="rect">
                      <a:avLst/>
                    </a:prstGeom>
                  </pic:spPr>
                </pic:pic>
              </a:graphicData>
            </a:graphic>
          </wp:anchor>
        </w:drawing>
      </w:r>
      <w:r>
        <w:rPr>
          <w:rFonts w:ascii="Times New Roman"/>
          <w:sz w:val="18"/>
        </w:rPr>
        <w:t>reference state</w:t>
      </w:r>
    </w:p>
    <w:p>
      <w:pPr>
        <w:pStyle w:val="BodyText"/>
        <w:spacing w:before="11"/>
        <w:rPr>
          <w:rFonts w:ascii="Times New Roman"/>
        </w:rPr>
      </w:pPr>
      <w:r>
        <w:rPr/>
        <w:br w:type="column"/>
      </w:r>
      <w:r>
        <w:rPr>
          <w:rFonts w:ascii="Times New Roman"/>
        </w:rPr>
      </w:r>
    </w:p>
    <w:p>
      <w:pPr>
        <w:spacing w:before="0"/>
        <w:ind w:left="683" w:right="469" w:firstLine="0"/>
        <w:jc w:val="left"/>
        <w:rPr>
          <w:rFonts w:ascii="Times New Roman"/>
          <w:sz w:val="18"/>
        </w:rPr>
      </w:pPr>
      <w:r>
        <w:rPr>
          <w:rFonts w:ascii="Times New Roman"/>
          <w:sz w:val="18"/>
        </w:rPr>
        <w:t>he new and reference states</w:t>
      </w:r>
    </w:p>
    <w:p>
      <w:pPr>
        <w:spacing w:before="77"/>
        <w:ind w:left="781" w:right="469" w:firstLine="0"/>
        <w:jc w:val="left"/>
        <w:rPr>
          <w:rFonts w:ascii="Times New Roman" w:hAnsi="Times New Roman"/>
          <w:sz w:val="18"/>
        </w:rPr>
      </w:pPr>
      <w:r>
        <w:rPr>
          <w:rFonts w:ascii="Times New Roman" w:hAnsi="Times New Roman"/>
          <w:sz w:val="18"/>
        </w:rPr>
        <w:t>(∆P) in the new and</w:t>
      </w:r>
    </w:p>
    <w:p>
      <w:pPr>
        <w:pStyle w:val="BodyText"/>
        <w:spacing w:before="6"/>
        <w:rPr>
          <w:rFonts w:ascii="Times New Roman"/>
        </w:rPr>
      </w:pPr>
    </w:p>
    <w:p>
      <w:pPr>
        <w:spacing w:line="328" w:lineRule="auto" w:before="0"/>
        <w:ind w:left="608" w:right="469" w:firstLine="74"/>
        <w:jc w:val="left"/>
        <w:rPr>
          <w:rFonts w:ascii="Times New Roman"/>
          <w:sz w:val="18"/>
        </w:rPr>
      </w:pPr>
      <w:r>
        <w:rPr>
          <w:rFonts w:ascii="Times New Roman"/>
          <w:sz w:val="18"/>
        </w:rPr>
        <w:t>he new and reference states 8h fermentation in the</w:t>
      </w:r>
    </w:p>
    <w:p>
      <w:pPr>
        <w:spacing w:line="207" w:lineRule="exact" w:before="141"/>
        <w:ind w:left="752" w:right="469" w:firstLine="0"/>
        <w:jc w:val="left"/>
        <w:rPr>
          <w:rFonts w:ascii="Times New Roman" w:hAnsi="Times New Roman"/>
          <w:sz w:val="18"/>
        </w:rPr>
      </w:pPr>
      <w:r>
        <w:rPr/>
        <w:drawing>
          <wp:anchor distT="0" distB="0" distL="0" distR="0" allowOverlap="1" layoutInCell="1" locked="0" behindDoc="1" simplePos="0" relativeHeight="268108511">
            <wp:simplePos x="0" y="0"/>
            <wp:positionH relativeFrom="page">
              <wp:posOffset>1183233</wp:posOffset>
            </wp:positionH>
            <wp:positionV relativeFrom="paragraph">
              <wp:posOffset>86516</wp:posOffset>
            </wp:positionV>
            <wp:extent cx="5406288" cy="6096"/>
            <wp:effectExtent l="0" t="0" r="0" b="0"/>
            <wp:wrapNone/>
            <wp:docPr id="175" name="image100.png" descr=""/>
            <wp:cNvGraphicFramePr>
              <a:graphicFrameLocks noChangeAspect="1"/>
            </wp:cNvGraphicFramePr>
            <a:graphic>
              <a:graphicData uri="http://schemas.openxmlformats.org/drawingml/2006/picture">
                <pic:pic>
                  <pic:nvPicPr>
                    <pic:cNvPr id="176" name="image100.png"/>
                    <pic:cNvPicPr/>
                  </pic:nvPicPr>
                  <pic:blipFill>
                    <a:blip r:embed="rId183" cstate="print"/>
                    <a:stretch>
                      <a:fillRect/>
                    </a:stretch>
                  </pic:blipFill>
                  <pic:spPr>
                    <a:xfrm>
                      <a:off x="0" y="0"/>
                      <a:ext cx="5406288" cy="6096"/>
                    </a:xfrm>
                    <a:prstGeom prst="rect">
                      <a:avLst/>
                    </a:prstGeom>
                  </pic:spPr>
                </pic:pic>
              </a:graphicData>
            </a:graphic>
          </wp:anchor>
        </w:drawing>
      </w:r>
      <w:r>
        <w:rPr>
          <w:rFonts w:ascii="Times New Roman" w:hAnsi="Times New Roman"/>
          <w:sz w:val="18"/>
        </w:rPr>
        <w:t>Difference (∆) of</w:t>
      </w:r>
    </w:p>
    <w:p>
      <w:pPr>
        <w:spacing w:line="256" w:lineRule="auto" w:before="0"/>
        <w:ind w:left="651" w:right="752" w:firstLine="93"/>
        <w:jc w:val="left"/>
        <w:rPr>
          <w:rFonts w:ascii="Times New Roman"/>
          <w:sz w:val="18"/>
        </w:rPr>
      </w:pPr>
      <w:r>
        <w:rPr/>
        <w:drawing>
          <wp:anchor distT="0" distB="0" distL="0" distR="0" allowOverlap="1" layoutInCell="1" locked="0" behindDoc="1" simplePos="0" relativeHeight="268108535">
            <wp:simplePos x="0" y="0"/>
            <wp:positionH relativeFrom="page">
              <wp:posOffset>1183233</wp:posOffset>
            </wp:positionH>
            <wp:positionV relativeFrom="paragraph">
              <wp:posOffset>134395</wp:posOffset>
            </wp:positionV>
            <wp:extent cx="5406288" cy="6096"/>
            <wp:effectExtent l="0" t="0" r="0" b="0"/>
            <wp:wrapNone/>
            <wp:docPr id="177" name="image98.png" descr=""/>
            <wp:cNvGraphicFramePr>
              <a:graphicFrameLocks noChangeAspect="1"/>
            </wp:cNvGraphicFramePr>
            <a:graphic>
              <a:graphicData uri="http://schemas.openxmlformats.org/drawingml/2006/picture">
                <pic:pic>
                  <pic:nvPicPr>
                    <pic:cNvPr id="178" name="image98.png"/>
                    <pic:cNvPicPr/>
                  </pic:nvPicPr>
                  <pic:blipFill>
                    <a:blip r:embed="rId181" cstate="print"/>
                    <a:stretch>
                      <a:fillRect/>
                    </a:stretch>
                  </pic:blipFill>
                  <pic:spPr>
                    <a:xfrm>
                      <a:off x="0" y="0"/>
                      <a:ext cx="5406288" cy="6096"/>
                    </a:xfrm>
                    <a:prstGeom prst="rect">
                      <a:avLst/>
                    </a:prstGeom>
                  </pic:spPr>
                </pic:pic>
              </a:graphicData>
            </a:graphic>
          </wp:anchor>
        </w:drawing>
      </w:r>
      <w:r>
        <w:rPr>
          <w:rFonts w:ascii="Times New Roman"/>
          <w:sz w:val="18"/>
        </w:rPr>
        <w:t>te and reference states me fatty acid in different</w:t>
      </w:r>
    </w:p>
    <w:p>
      <w:pPr>
        <w:spacing w:line="192" w:lineRule="exact" w:before="0"/>
        <w:ind w:left="767" w:right="469" w:firstLine="0"/>
        <w:jc w:val="left"/>
        <w:rPr>
          <w:rFonts w:ascii="Times New Roman"/>
          <w:sz w:val="18"/>
        </w:rPr>
      </w:pPr>
      <w:r>
        <w:rPr/>
        <w:drawing>
          <wp:anchor distT="0" distB="0" distL="0" distR="0" allowOverlap="1" layoutInCell="1" locked="0" behindDoc="0" simplePos="0" relativeHeight="5368">
            <wp:simplePos x="0" y="0"/>
            <wp:positionH relativeFrom="page">
              <wp:posOffset>1183233</wp:posOffset>
            </wp:positionH>
            <wp:positionV relativeFrom="paragraph">
              <wp:posOffset>124911</wp:posOffset>
            </wp:positionV>
            <wp:extent cx="5406288" cy="6096"/>
            <wp:effectExtent l="0" t="0" r="0" b="0"/>
            <wp:wrapNone/>
            <wp:docPr id="179" name="image98.png" descr=""/>
            <wp:cNvGraphicFramePr>
              <a:graphicFrameLocks noChangeAspect="1"/>
            </wp:cNvGraphicFramePr>
            <a:graphic>
              <a:graphicData uri="http://schemas.openxmlformats.org/drawingml/2006/picture">
                <pic:pic>
                  <pic:nvPicPr>
                    <pic:cNvPr id="180" name="image98.png"/>
                    <pic:cNvPicPr/>
                  </pic:nvPicPr>
                  <pic:blipFill>
                    <a:blip r:embed="rId181" cstate="print"/>
                    <a:stretch>
                      <a:fillRect/>
                    </a:stretch>
                  </pic:blipFill>
                  <pic:spPr>
                    <a:xfrm>
                      <a:off x="0" y="0"/>
                      <a:ext cx="5406288" cy="6096"/>
                    </a:xfrm>
                    <a:prstGeom prst="rect">
                      <a:avLst/>
                    </a:prstGeom>
                  </pic:spPr>
                </pic:pic>
              </a:graphicData>
            </a:graphic>
          </wp:anchor>
        </w:drawing>
      </w:r>
      <w:r>
        <w:rPr>
          <w:rFonts w:ascii="Times New Roman"/>
          <w:sz w:val="18"/>
        </w:rPr>
        <w:t>rence state</w:t>
      </w:r>
    </w:p>
    <w:p>
      <w:pPr>
        <w:spacing w:line="405" w:lineRule="auto" w:before="76"/>
        <w:ind w:left="747" w:right="1473" w:hanging="25"/>
        <w:jc w:val="left"/>
        <w:rPr>
          <w:rFonts w:ascii="Times New Roman"/>
          <w:sz w:val="18"/>
        </w:rPr>
      </w:pPr>
      <w:r>
        <w:rPr/>
        <w:drawing>
          <wp:anchor distT="0" distB="0" distL="0" distR="0" allowOverlap="1" layoutInCell="1" locked="0" behindDoc="1" simplePos="0" relativeHeight="268108583">
            <wp:simplePos x="0" y="0"/>
            <wp:positionH relativeFrom="page">
              <wp:posOffset>1183233</wp:posOffset>
            </wp:positionH>
            <wp:positionV relativeFrom="paragraph">
              <wp:posOffset>225073</wp:posOffset>
            </wp:positionV>
            <wp:extent cx="5406288" cy="6095"/>
            <wp:effectExtent l="0" t="0" r="0" b="0"/>
            <wp:wrapNone/>
            <wp:docPr id="181" name="image97.png" descr=""/>
            <wp:cNvGraphicFramePr>
              <a:graphicFrameLocks noChangeAspect="1"/>
            </wp:cNvGraphicFramePr>
            <a:graphic>
              <a:graphicData uri="http://schemas.openxmlformats.org/drawingml/2006/picture">
                <pic:pic>
                  <pic:nvPicPr>
                    <pic:cNvPr id="182" name="image97.png"/>
                    <pic:cNvPicPr/>
                  </pic:nvPicPr>
                  <pic:blipFill>
                    <a:blip r:embed="rId180" cstate="print"/>
                    <a:stretch>
                      <a:fillRect/>
                    </a:stretch>
                  </pic:blipFill>
                  <pic:spPr>
                    <a:xfrm>
                      <a:off x="0" y="0"/>
                      <a:ext cx="5406288" cy="6095"/>
                    </a:xfrm>
                    <a:prstGeom prst="rect">
                      <a:avLst/>
                    </a:prstGeom>
                  </pic:spPr>
                </pic:pic>
              </a:graphicData>
            </a:graphic>
          </wp:anchor>
        </w:drawing>
      </w:r>
      <w:r>
        <w:rPr/>
        <w:drawing>
          <wp:anchor distT="0" distB="0" distL="0" distR="0" allowOverlap="1" layoutInCell="1" locked="0" behindDoc="1" simplePos="0" relativeHeight="268108607">
            <wp:simplePos x="0" y="0"/>
            <wp:positionH relativeFrom="page">
              <wp:posOffset>1183233</wp:posOffset>
            </wp:positionH>
            <wp:positionV relativeFrom="paragraph">
              <wp:posOffset>447577</wp:posOffset>
            </wp:positionV>
            <wp:extent cx="5406288" cy="6096"/>
            <wp:effectExtent l="0" t="0" r="0" b="0"/>
            <wp:wrapNone/>
            <wp:docPr id="183" name="image100.png" descr=""/>
            <wp:cNvGraphicFramePr>
              <a:graphicFrameLocks noChangeAspect="1"/>
            </wp:cNvGraphicFramePr>
            <a:graphic>
              <a:graphicData uri="http://schemas.openxmlformats.org/drawingml/2006/picture">
                <pic:pic>
                  <pic:nvPicPr>
                    <pic:cNvPr id="184" name="image100.png"/>
                    <pic:cNvPicPr/>
                  </pic:nvPicPr>
                  <pic:blipFill>
                    <a:blip r:embed="rId183" cstate="print"/>
                    <a:stretch>
                      <a:fillRect/>
                    </a:stretch>
                  </pic:blipFill>
                  <pic:spPr>
                    <a:xfrm>
                      <a:off x="0" y="0"/>
                      <a:ext cx="5406288" cy="6096"/>
                    </a:xfrm>
                    <a:prstGeom prst="rect">
                      <a:avLst/>
                    </a:prstGeom>
                  </pic:spPr>
                </pic:pic>
              </a:graphicData>
            </a:graphic>
          </wp:anchor>
        </w:drawing>
      </w:r>
      <w:r>
        <w:rPr>
          <w:rFonts w:ascii="Times New Roman"/>
          <w:sz w:val="18"/>
        </w:rPr>
        <w:t>n the new state ate</w:t>
      </w:r>
    </w:p>
    <w:p>
      <w:pPr>
        <w:spacing w:after="0" w:line="405" w:lineRule="auto"/>
        <w:jc w:val="left"/>
        <w:rPr>
          <w:rFonts w:ascii="Times New Roman"/>
          <w:sz w:val="18"/>
        </w:rPr>
        <w:sectPr>
          <w:type w:val="continuous"/>
          <w:pgSz w:w="12240" w:h="15840"/>
          <w:pgMar w:top="3080" w:bottom="2780" w:left="1440" w:right="1460"/>
          <w:cols w:num="2" w:equalWidth="0">
            <w:col w:w="6010" w:space="40"/>
            <w:col w:w="3290"/>
          </w:cols>
        </w:sectPr>
      </w:pPr>
    </w:p>
    <w:p>
      <w:pPr>
        <w:pStyle w:val="BodyText"/>
        <w:spacing w:before="8"/>
        <w:rPr>
          <w:rFonts w:ascii="Times New Roman"/>
        </w:rPr>
      </w:pPr>
    </w:p>
    <w:p>
      <w:pPr>
        <w:pStyle w:val="BodyText"/>
        <w:spacing w:line="20" w:lineRule="exact"/>
        <w:ind w:left="423"/>
        <w:rPr>
          <w:rFonts w:ascii="Times New Roman"/>
          <w:sz w:val="2"/>
        </w:rPr>
      </w:pPr>
      <w:r>
        <w:rPr>
          <w:rFonts w:ascii="Times New Roman"/>
          <w:sz w:val="2"/>
        </w:rPr>
        <w:drawing>
          <wp:inline distT="0" distB="0" distL="0" distR="0">
            <wp:extent cx="5406176" cy="6096"/>
            <wp:effectExtent l="0" t="0" r="0" b="0"/>
            <wp:docPr id="185" name="image100.png" descr=""/>
            <wp:cNvGraphicFramePr>
              <a:graphicFrameLocks noChangeAspect="1"/>
            </wp:cNvGraphicFramePr>
            <a:graphic>
              <a:graphicData uri="http://schemas.openxmlformats.org/drawingml/2006/picture">
                <pic:pic>
                  <pic:nvPicPr>
                    <pic:cNvPr id="186" name="image100.png"/>
                    <pic:cNvPicPr/>
                  </pic:nvPicPr>
                  <pic:blipFill>
                    <a:blip r:embed="rId183" cstate="print"/>
                    <a:stretch>
                      <a:fillRect/>
                    </a:stretch>
                  </pic:blipFill>
                  <pic:spPr>
                    <a:xfrm>
                      <a:off x="0" y="0"/>
                      <a:ext cx="5406176" cy="6096"/>
                    </a:xfrm>
                    <a:prstGeom prst="rect">
                      <a:avLst/>
                    </a:prstGeom>
                  </pic:spPr>
                </pic:pic>
              </a:graphicData>
            </a:graphic>
          </wp:inline>
        </w:drawing>
      </w:r>
      <w:r>
        <w:rPr>
          <w:rFonts w:ascii="Times New Roman"/>
          <w:sz w:val="2"/>
        </w:rPr>
      </w:r>
    </w:p>
    <w:p>
      <w:pPr>
        <w:pStyle w:val="BodyText"/>
        <w:spacing w:before="11"/>
        <w:rPr>
          <w:rFonts w:ascii="Times New Roman"/>
        </w:rPr>
      </w:pPr>
      <w:r>
        <w:rPr/>
        <w:drawing>
          <wp:anchor distT="0" distB="0" distL="0" distR="0" allowOverlap="1" layoutInCell="1" locked="0" behindDoc="0" simplePos="0" relativeHeight="5080">
            <wp:simplePos x="0" y="0"/>
            <wp:positionH relativeFrom="page">
              <wp:posOffset>1183233</wp:posOffset>
            </wp:positionH>
            <wp:positionV relativeFrom="paragraph">
              <wp:posOffset>207009</wp:posOffset>
            </wp:positionV>
            <wp:extent cx="5406176" cy="6096"/>
            <wp:effectExtent l="0" t="0" r="0" b="0"/>
            <wp:wrapTopAndBottom/>
            <wp:docPr id="187" name="image100.png" descr=""/>
            <wp:cNvGraphicFramePr>
              <a:graphicFrameLocks noChangeAspect="1"/>
            </wp:cNvGraphicFramePr>
            <a:graphic>
              <a:graphicData uri="http://schemas.openxmlformats.org/drawingml/2006/picture">
                <pic:pic>
                  <pic:nvPicPr>
                    <pic:cNvPr id="188" name="image100.png"/>
                    <pic:cNvPicPr/>
                  </pic:nvPicPr>
                  <pic:blipFill>
                    <a:blip r:embed="rId183" cstate="print"/>
                    <a:stretch>
                      <a:fillRect/>
                    </a:stretch>
                  </pic:blipFill>
                  <pic:spPr>
                    <a:xfrm>
                      <a:off x="0" y="0"/>
                      <a:ext cx="5406176" cy="6096"/>
                    </a:xfrm>
                    <a:prstGeom prst="rect">
                      <a:avLst/>
                    </a:prstGeom>
                  </pic:spPr>
                </pic:pic>
              </a:graphicData>
            </a:graphic>
          </wp:anchor>
        </w:drawing>
      </w:r>
    </w:p>
    <w:p>
      <w:pPr>
        <w:spacing w:line="177" w:lineRule="exact" w:before="0"/>
        <w:ind w:left="240" w:right="912" w:firstLine="0"/>
        <w:jc w:val="right"/>
        <w:rPr>
          <w:rFonts w:ascii="Times New Roman" w:hAnsi="Times New Roman"/>
          <w:sz w:val="12"/>
        </w:rPr>
      </w:pP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1</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1 </w:t>
      </w:r>
      <w:r>
        <w:rPr>
          <w:rFonts w:ascii="Times New Roman" w:hAnsi="Times New Roman"/>
          <w:position w:val="1"/>
          <w:sz w:val="18"/>
        </w:rPr>
        <w:t>- &lt;V</w:t>
      </w:r>
      <w:r>
        <w:rPr>
          <w:rFonts w:ascii="Times New Roman" w:hAnsi="Times New Roman"/>
          <w:sz w:val="12"/>
        </w:rPr>
        <w:t>1</w:t>
      </w:r>
    </w:p>
    <w:p>
      <w:pPr>
        <w:spacing w:line="207" w:lineRule="exact" w:before="0"/>
        <w:ind w:left="240" w:right="735" w:firstLine="0"/>
        <w:jc w:val="right"/>
        <w:rPr>
          <w:rFonts w:ascii="Times New Roman"/>
          <w:sz w:val="18"/>
        </w:rPr>
      </w:pPr>
      <w:r>
        <w:rPr>
          <w:rFonts w:ascii="Times New Roman"/>
          <w:position w:val="1"/>
          <w:sz w:val="18"/>
        </w:rPr>
        <w:t>&lt;V</w:t>
      </w:r>
      <w:r>
        <w:rPr>
          <w:rFonts w:ascii="Times New Roman"/>
          <w:sz w:val="12"/>
        </w:rPr>
        <w:t>1</w:t>
      </w:r>
      <w:r>
        <w:rPr>
          <w:rFonts w:ascii="Times New Roman"/>
          <w:position w:val="1"/>
          <w:sz w:val="18"/>
        </w:rPr>
        <w:t>(c</w:t>
      </w:r>
      <w:r>
        <w:rPr>
          <w:rFonts w:ascii="Times New Roman"/>
          <w:sz w:val="12"/>
        </w:rPr>
        <w:t>1</w:t>
      </w:r>
      <w:r>
        <w:rPr>
          <w:rFonts w:ascii="Times New Roman"/>
          <w:position w:val="1"/>
          <w:sz w:val="18"/>
        </w:rPr>
        <w:t>)&gt;</w:t>
      </w:r>
      <w:r>
        <w:rPr>
          <w:rFonts w:ascii="Times New Roman"/>
          <w:sz w:val="12"/>
        </w:rPr>
        <w:t>ref</w:t>
      </w:r>
      <w:r>
        <w:rPr>
          <w:rFonts w:ascii="Times New Roman"/>
          <w:position w:val="1"/>
          <w:sz w:val="18"/>
        </w:rPr>
        <w:t>); &lt;V</w:t>
      </w:r>
      <w:r>
        <w:rPr>
          <w:rFonts w:ascii="Times New Roman"/>
          <w:sz w:val="12"/>
        </w:rPr>
        <w:t>1</w:t>
      </w:r>
      <w:r>
        <w:rPr>
          <w:rFonts w:ascii="Times New Roman"/>
          <w:position w:val="1"/>
          <w:sz w:val="18"/>
        </w:rPr>
        <w:t>(c</w:t>
      </w:r>
      <w:r>
        <w:rPr>
          <w:rFonts w:ascii="Times New Roman"/>
          <w:sz w:val="12"/>
        </w:rPr>
        <w:t>1</w:t>
      </w:r>
      <w:r>
        <w:rPr>
          <w:rFonts w:ascii="Times New Roman"/>
          <w:position w:val="1"/>
          <w:sz w:val="18"/>
        </w:rPr>
        <w:t>)&gt; =</w:t>
      </w:r>
    </w:p>
    <w:p>
      <w:pPr>
        <w:pStyle w:val="BodyText"/>
        <w:spacing w:before="11"/>
        <w:rPr>
          <w:rFonts w:ascii="Times New Roman"/>
          <w:sz w:val="14"/>
        </w:rPr>
      </w:pPr>
      <w:r>
        <w:rPr/>
        <w:drawing>
          <wp:anchor distT="0" distB="0" distL="0" distR="0" allowOverlap="1" layoutInCell="1" locked="0" behindDoc="0" simplePos="0" relativeHeight="5104">
            <wp:simplePos x="0" y="0"/>
            <wp:positionH relativeFrom="page">
              <wp:posOffset>1183233</wp:posOffset>
            </wp:positionH>
            <wp:positionV relativeFrom="paragraph">
              <wp:posOffset>134025</wp:posOffset>
            </wp:positionV>
            <wp:extent cx="5406176" cy="6096"/>
            <wp:effectExtent l="0" t="0" r="0" b="0"/>
            <wp:wrapTopAndBottom/>
            <wp:docPr id="189" name="image100.png" descr=""/>
            <wp:cNvGraphicFramePr>
              <a:graphicFrameLocks noChangeAspect="1"/>
            </wp:cNvGraphicFramePr>
            <a:graphic>
              <a:graphicData uri="http://schemas.openxmlformats.org/drawingml/2006/picture">
                <pic:pic>
                  <pic:nvPicPr>
                    <pic:cNvPr id="190" name="image100.png"/>
                    <pic:cNvPicPr/>
                  </pic:nvPicPr>
                  <pic:blipFill>
                    <a:blip r:embed="rId183" cstate="print"/>
                    <a:stretch>
                      <a:fillRect/>
                    </a:stretch>
                  </pic:blipFill>
                  <pic:spPr>
                    <a:xfrm>
                      <a:off x="0" y="0"/>
                      <a:ext cx="5406176" cy="6096"/>
                    </a:xfrm>
                    <a:prstGeom prst="rect">
                      <a:avLst/>
                    </a:prstGeom>
                  </pic:spPr>
                </pic:pic>
              </a:graphicData>
            </a:graphic>
          </wp:anchor>
        </w:drawing>
      </w:r>
    </w:p>
    <w:p>
      <w:pPr>
        <w:spacing w:line="170" w:lineRule="exact" w:before="0"/>
        <w:ind w:left="240" w:right="1199" w:firstLine="0"/>
        <w:jc w:val="right"/>
        <w:rPr>
          <w:rFonts w:ascii="Times New Roman" w:hAnsi="Times New Roman"/>
          <w:sz w:val="18"/>
        </w:rPr>
      </w:pPr>
      <w:r>
        <w:rPr>
          <w:rFonts w:ascii="Times New Roman" w:hAnsi="Times New Roman"/>
          <w:position w:val="1"/>
          <w:sz w:val="18"/>
        </w:rPr>
        <w:t>=</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3</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6 </w:t>
      </w:r>
      <w:r>
        <w:rPr>
          <w:rFonts w:ascii="Times New Roman" w:hAnsi="Times New Roman"/>
          <w:position w:val="1"/>
          <w:sz w:val="18"/>
        </w:rPr>
        <w:t>-</w:t>
      </w:r>
    </w:p>
    <w:p>
      <w:pPr>
        <w:spacing w:line="209" w:lineRule="exact" w:before="0"/>
        <w:ind w:left="240" w:right="590" w:firstLine="0"/>
        <w:jc w:val="right"/>
        <w:rPr>
          <w:rFonts w:ascii="Times New Roman"/>
          <w:sz w:val="18"/>
        </w:rPr>
      </w:pPr>
      <w:r>
        <w:rPr>
          <w:rFonts w:ascii="Times New Roman"/>
          <w:position w:val="7"/>
          <w:sz w:val="12"/>
        </w:rPr>
        <w:t>f</w:t>
      </w:r>
      <w:r>
        <w:rPr>
          <w:rFonts w:ascii="Times New Roman"/>
          <w:position w:val="1"/>
          <w:sz w:val="18"/>
        </w:rPr>
        <w:t>V</w:t>
      </w:r>
      <w:r>
        <w:rPr>
          <w:rFonts w:ascii="Times New Roman"/>
          <w:sz w:val="12"/>
        </w:rPr>
        <w:t>6 </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3</w:t>
      </w:r>
      <w:r>
        <w:rPr>
          <w:rFonts w:ascii="Times New Roman"/>
          <w:position w:val="1"/>
          <w:sz w:val="18"/>
        </w:rPr>
        <w:t>)&gt;</w:t>
      </w:r>
      <w:r>
        <w:rPr>
          <w:rFonts w:ascii="Times New Roman"/>
          <w:sz w:val="12"/>
        </w:rPr>
        <w:t>ref</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3</w:t>
      </w:r>
      <w:r>
        <w:rPr>
          <w:rFonts w:ascii="Times New Roman"/>
          <w:position w:val="1"/>
          <w:sz w:val="18"/>
        </w:rPr>
        <w:t>)&gt;</w:t>
      </w:r>
    </w:p>
    <w:p>
      <w:pPr>
        <w:pStyle w:val="BodyText"/>
        <w:spacing w:before="11"/>
        <w:rPr>
          <w:rFonts w:ascii="Times New Roman"/>
          <w:sz w:val="14"/>
        </w:rPr>
      </w:pPr>
      <w:r>
        <w:rPr/>
        <w:drawing>
          <wp:anchor distT="0" distB="0" distL="0" distR="0" allowOverlap="1" layoutInCell="1" locked="0" behindDoc="0" simplePos="0" relativeHeight="5128">
            <wp:simplePos x="0" y="0"/>
            <wp:positionH relativeFrom="page">
              <wp:posOffset>1183233</wp:posOffset>
            </wp:positionH>
            <wp:positionV relativeFrom="paragraph">
              <wp:posOffset>134025</wp:posOffset>
            </wp:positionV>
            <wp:extent cx="5405838" cy="6096"/>
            <wp:effectExtent l="0" t="0" r="0" b="0"/>
            <wp:wrapTopAndBottom/>
            <wp:docPr id="191" name="image101.png" descr=""/>
            <wp:cNvGraphicFramePr>
              <a:graphicFrameLocks noChangeAspect="1"/>
            </wp:cNvGraphicFramePr>
            <a:graphic>
              <a:graphicData uri="http://schemas.openxmlformats.org/drawingml/2006/picture">
                <pic:pic>
                  <pic:nvPicPr>
                    <pic:cNvPr id="192" name="image101.png"/>
                    <pic:cNvPicPr/>
                  </pic:nvPicPr>
                  <pic:blipFill>
                    <a:blip r:embed="rId184" cstate="print"/>
                    <a:stretch>
                      <a:fillRect/>
                    </a:stretch>
                  </pic:blipFill>
                  <pic:spPr>
                    <a:xfrm>
                      <a:off x="0" y="0"/>
                      <a:ext cx="5405838" cy="6096"/>
                    </a:xfrm>
                    <a:prstGeom prst="rect">
                      <a:avLst/>
                    </a:prstGeom>
                  </pic:spPr>
                </pic:pic>
              </a:graphicData>
            </a:graphic>
          </wp:anchor>
        </w:drawing>
      </w:r>
    </w:p>
    <w:p>
      <w:pPr>
        <w:spacing w:before="0"/>
        <w:ind w:left="240" w:right="1199" w:firstLine="0"/>
        <w:jc w:val="right"/>
        <w:rPr>
          <w:rFonts w:ascii="Times New Roman" w:hAnsi="Times New Roman"/>
          <w:sz w:val="18"/>
        </w:rPr>
      </w:pPr>
      <w:r>
        <w:rPr>
          <w:rFonts w:ascii="Times New Roman" w:hAnsi="Times New Roman"/>
          <w:position w:val="1"/>
          <w:sz w:val="18"/>
        </w:rPr>
        <w:t>=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4</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1 </w:t>
      </w:r>
      <w:r>
        <w:rPr>
          <w:rFonts w:ascii="Times New Roman" w:hAnsi="Times New Roman"/>
          <w:position w:val="1"/>
          <w:sz w:val="18"/>
        </w:rPr>
        <w:t>-</w:t>
      </w:r>
    </w:p>
    <w:p>
      <w:pPr>
        <w:spacing w:before="1"/>
        <w:ind w:left="240" w:right="590" w:firstLine="0"/>
        <w:jc w:val="right"/>
        <w:rPr>
          <w:rFonts w:ascii="Times New Roman"/>
          <w:sz w:val="18"/>
        </w:rPr>
      </w:pPr>
      <w:r>
        <w:rPr>
          <w:rFonts w:ascii="Times New Roman"/>
          <w:position w:val="7"/>
          <w:sz w:val="12"/>
        </w:rPr>
        <w:t>f</w:t>
      </w:r>
      <w:r>
        <w:rPr>
          <w:rFonts w:ascii="Times New Roman"/>
          <w:position w:val="1"/>
          <w:sz w:val="18"/>
        </w:rPr>
        <w:t>V</w:t>
      </w:r>
      <w:r>
        <w:rPr>
          <w:rFonts w:ascii="Times New Roman"/>
          <w:sz w:val="12"/>
        </w:rPr>
        <w:t>1 </w:t>
      </w:r>
      <w:r>
        <w:rPr>
          <w:rFonts w:ascii="Times New Roman"/>
          <w:position w:val="1"/>
          <w:sz w:val="18"/>
        </w:rPr>
        <w:t>- &lt;V</w:t>
      </w:r>
      <w:r>
        <w:rPr>
          <w:rFonts w:ascii="Times New Roman"/>
          <w:sz w:val="12"/>
        </w:rPr>
        <w:t>1</w:t>
      </w:r>
      <w:r>
        <w:rPr>
          <w:rFonts w:ascii="Times New Roman"/>
          <w:position w:val="1"/>
          <w:sz w:val="18"/>
        </w:rPr>
        <w:t>(c</w:t>
      </w:r>
      <w:r>
        <w:rPr>
          <w:rFonts w:ascii="Times New Roman"/>
          <w:sz w:val="12"/>
        </w:rPr>
        <w:t>4</w:t>
      </w:r>
      <w:r>
        <w:rPr>
          <w:rFonts w:ascii="Times New Roman"/>
          <w:position w:val="1"/>
          <w:sz w:val="18"/>
        </w:rPr>
        <w:t>)&gt;</w:t>
      </w:r>
      <w:r>
        <w:rPr>
          <w:rFonts w:ascii="Times New Roman"/>
          <w:sz w:val="12"/>
        </w:rPr>
        <w:t>ref</w:t>
      </w:r>
      <w:r>
        <w:rPr>
          <w:rFonts w:ascii="Times New Roman"/>
          <w:position w:val="1"/>
          <w:sz w:val="18"/>
        </w:rPr>
        <w:t>); &lt;V</w:t>
      </w:r>
      <w:r>
        <w:rPr>
          <w:rFonts w:ascii="Times New Roman"/>
          <w:sz w:val="12"/>
        </w:rPr>
        <w:t>1</w:t>
      </w:r>
      <w:r>
        <w:rPr>
          <w:rFonts w:ascii="Times New Roman"/>
          <w:position w:val="1"/>
          <w:sz w:val="18"/>
        </w:rPr>
        <w:t>(c</w:t>
      </w:r>
      <w:r>
        <w:rPr>
          <w:rFonts w:ascii="Times New Roman"/>
          <w:sz w:val="12"/>
        </w:rPr>
        <w:t>4</w:t>
      </w:r>
      <w:r>
        <w:rPr>
          <w:rFonts w:ascii="Times New Roman"/>
          <w:position w:val="1"/>
          <w:sz w:val="18"/>
        </w:rPr>
        <w:t>)&gt;</w:t>
      </w:r>
    </w:p>
    <w:p>
      <w:pPr>
        <w:pStyle w:val="BodyText"/>
        <w:spacing w:before="11"/>
        <w:rPr>
          <w:rFonts w:ascii="Times New Roman"/>
          <w:sz w:val="14"/>
        </w:rPr>
      </w:pPr>
      <w:r>
        <w:rPr/>
        <w:drawing>
          <wp:anchor distT="0" distB="0" distL="0" distR="0" allowOverlap="1" layoutInCell="1" locked="0" behindDoc="0" simplePos="0" relativeHeight="5152">
            <wp:simplePos x="0" y="0"/>
            <wp:positionH relativeFrom="page">
              <wp:posOffset>1183233</wp:posOffset>
            </wp:positionH>
            <wp:positionV relativeFrom="paragraph">
              <wp:posOffset>134026</wp:posOffset>
            </wp:positionV>
            <wp:extent cx="5406513" cy="6095"/>
            <wp:effectExtent l="0" t="0" r="0" b="0"/>
            <wp:wrapTopAndBottom/>
            <wp:docPr id="193" name="image97.png" descr=""/>
            <wp:cNvGraphicFramePr>
              <a:graphicFrameLocks noChangeAspect="1"/>
            </wp:cNvGraphicFramePr>
            <a:graphic>
              <a:graphicData uri="http://schemas.openxmlformats.org/drawingml/2006/picture">
                <pic:pic>
                  <pic:nvPicPr>
                    <pic:cNvPr id="194" name="image97.png"/>
                    <pic:cNvPicPr/>
                  </pic:nvPicPr>
                  <pic:blipFill>
                    <a:blip r:embed="rId180" cstate="print"/>
                    <a:stretch>
                      <a:fillRect/>
                    </a:stretch>
                  </pic:blipFill>
                  <pic:spPr>
                    <a:xfrm>
                      <a:off x="0" y="0"/>
                      <a:ext cx="5406513" cy="6095"/>
                    </a:xfrm>
                    <a:prstGeom prst="rect">
                      <a:avLst/>
                    </a:prstGeom>
                  </pic:spPr>
                </pic:pic>
              </a:graphicData>
            </a:graphic>
          </wp:anchor>
        </w:drawing>
      </w:r>
    </w:p>
    <w:p>
      <w:pPr>
        <w:spacing w:line="170" w:lineRule="exact" w:before="0"/>
        <w:ind w:left="240" w:right="1142" w:firstLine="0"/>
        <w:jc w:val="right"/>
        <w:rPr>
          <w:rFonts w:ascii="Times New Roman" w:hAnsi="Times New Roman"/>
          <w:sz w:val="18"/>
        </w:rPr>
      </w:pPr>
      <w:r>
        <w:rPr>
          <w:rFonts w:ascii="Times New Roman" w:hAnsi="Times New Roman"/>
          <w:position w:val="1"/>
          <w:sz w:val="18"/>
        </w:rPr>
        <w:t>=</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5</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5 </w:t>
      </w:r>
      <w:r>
        <w:rPr>
          <w:rFonts w:ascii="Times New Roman" w:hAnsi="Times New Roman"/>
          <w:position w:val="1"/>
          <w:sz w:val="18"/>
        </w:rPr>
        <w:t>-</w:t>
      </w:r>
    </w:p>
    <w:p>
      <w:pPr>
        <w:spacing w:line="208" w:lineRule="exact" w:before="0"/>
        <w:ind w:left="240" w:right="1171" w:firstLine="0"/>
        <w:jc w:val="right"/>
        <w:rPr>
          <w:rFonts w:ascii="Times New Roman"/>
          <w:sz w:val="18"/>
        </w:rPr>
      </w:pPr>
      <w:r>
        <w:rPr>
          <w:rFonts w:ascii="Times New Roman"/>
          <w:position w:val="7"/>
          <w:sz w:val="12"/>
        </w:rPr>
        <w:t>f</w:t>
      </w:r>
      <w:r>
        <w:rPr>
          <w:rFonts w:ascii="Times New Roman"/>
          <w:position w:val="1"/>
          <w:sz w:val="18"/>
        </w:rPr>
        <w:t>V</w:t>
      </w:r>
      <w:r>
        <w:rPr>
          <w:rFonts w:ascii="Times New Roman"/>
          <w:sz w:val="12"/>
        </w:rPr>
        <w:t>5 </w:t>
      </w:r>
      <w:r>
        <w:rPr>
          <w:rFonts w:ascii="Times New Roman"/>
          <w:position w:val="1"/>
          <w:sz w:val="18"/>
        </w:rPr>
        <w:t>- &lt;V</w:t>
      </w:r>
      <w:r>
        <w:rPr>
          <w:rFonts w:ascii="Times New Roman"/>
          <w:sz w:val="12"/>
        </w:rPr>
        <w:t>5</w:t>
      </w:r>
      <w:r>
        <w:rPr>
          <w:rFonts w:ascii="Times New Roman"/>
          <w:position w:val="1"/>
          <w:sz w:val="18"/>
        </w:rPr>
        <w:t>(c</w:t>
      </w:r>
      <w:r>
        <w:rPr>
          <w:rFonts w:ascii="Times New Roman"/>
          <w:sz w:val="12"/>
        </w:rPr>
        <w:t>5</w:t>
      </w:r>
      <w:r>
        <w:rPr>
          <w:rFonts w:ascii="Times New Roman"/>
          <w:position w:val="1"/>
          <w:sz w:val="18"/>
        </w:rPr>
        <w:t>)&gt;</w:t>
      </w:r>
      <w:r>
        <w:rPr>
          <w:rFonts w:ascii="Times New Roman"/>
          <w:sz w:val="12"/>
        </w:rPr>
        <w:t>ref</w:t>
      </w:r>
      <w:r>
        <w:rPr>
          <w:rFonts w:ascii="Times New Roman"/>
          <w:position w:val="1"/>
          <w:sz w:val="18"/>
        </w:rPr>
        <w:t>)]</w:t>
      </w:r>
      <w:r>
        <w:rPr>
          <w:rFonts w:ascii="Times New Roman"/>
          <w:position w:val="7"/>
          <w:sz w:val="12"/>
        </w:rPr>
        <w:t>2</w:t>
      </w:r>
      <w:r>
        <w:rPr>
          <w:rFonts w:ascii="Times New Roman"/>
          <w:position w:val="1"/>
          <w:sz w:val="18"/>
        </w:rPr>
        <w:t>;</w:t>
      </w:r>
    </w:p>
    <w:p>
      <w:pPr>
        <w:spacing w:line="207" w:lineRule="exact" w:before="0" w:after="5"/>
        <w:ind w:left="240" w:right="2117" w:firstLine="0"/>
        <w:jc w:val="right"/>
        <w:rPr>
          <w:rFonts w:ascii="Times New Roman"/>
          <w:sz w:val="12"/>
        </w:rPr>
      </w:pPr>
      <w:r>
        <w:rPr>
          <w:rFonts w:ascii="Times New Roman"/>
          <w:position w:val="1"/>
          <w:sz w:val="18"/>
        </w:rPr>
        <w:t>for c</w:t>
      </w:r>
      <w:r>
        <w:rPr>
          <w:rFonts w:ascii="Times New Roman"/>
          <w:sz w:val="12"/>
        </w:rPr>
        <w:t>5</w:t>
      </w:r>
    </w:p>
    <w:p>
      <w:pPr>
        <w:pStyle w:val="BodyText"/>
        <w:spacing w:line="20" w:lineRule="exact"/>
        <w:ind w:left="423"/>
        <w:rPr>
          <w:rFonts w:ascii="Times New Roman"/>
          <w:sz w:val="2"/>
        </w:rPr>
      </w:pPr>
      <w:r>
        <w:rPr>
          <w:rFonts w:ascii="Times New Roman"/>
          <w:sz w:val="2"/>
        </w:rPr>
        <w:drawing>
          <wp:inline distT="0" distB="0" distL="0" distR="0">
            <wp:extent cx="5406513" cy="6095"/>
            <wp:effectExtent l="0" t="0" r="0" b="0"/>
            <wp:docPr id="195" name="image98.png" descr=""/>
            <wp:cNvGraphicFramePr>
              <a:graphicFrameLocks noChangeAspect="1"/>
            </wp:cNvGraphicFramePr>
            <a:graphic>
              <a:graphicData uri="http://schemas.openxmlformats.org/drawingml/2006/picture">
                <pic:pic>
                  <pic:nvPicPr>
                    <pic:cNvPr id="196" name="image98.png"/>
                    <pic:cNvPicPr/>
                  </pic:nvPicPr>
                  <pic:blipFill>
                    <a:blip r:embed="rId181" cstate="print"/>
                    <a:stretch>
                      <a:fillRect/>
                    </a:stretch>
                  </pic:blipFill>
                  <pic:spPr>
                    <a:xfrm>
                      <a:off x="0" y="0"/>
                      <a:ext cx="5406513" cy="6095"/>
                    </a:xfrm>
                    <a:prstGeom prst="rect">
                      <a:avLst/>
                    </a:prstGeom>
                  </pic:spPr>
                </pic:pic>
              </a:graphicData>
            </a:graphic>
          </wp:inline>
        </w:drawing>
      </w:r>
      <w:r>
        <w:rPr>
          <w:rFonts w:ascii="Times New Roman"/>
          <w:sz w:val="2"/>
        </w:rPr>
      </w:r>
    </w:p>
    <w:p>
      <w:pPr>
        <w:pStyle w:val="BodyText"/>
        <w:spacing w:before="3"/>
        <w:rPr>
          <w:rFonts w:ascii="Times New Roman"/>
          <w:sz w:val="25"/>
        </w:rPr>
      </w:pPr>
      <w:r>
        <w:rPr/>
        <w:drawing>
          <wp:anchor distT="0" distB="0" distL="0" distR="0" allowOverlap="1" layoutInCell="1" locked="0" behindDoc="0" simplePos="0" relativeHeight="5176">
            <wp:simplePos x="0" y="0"/>
            <wp:positionH relativeFrom="page">
              <wp:posOffset>1183233</wp:posOffset>
            </wp:positionH>
            <wp:positionV relativeFrom="paragraph">
              <wp:posOffset>209803</wp:posOffset>
            </wp:positionV>
            <wp:extent cx="5405838" cy="6095"/>
            <wp:effectExtent l="0" t="0" r="0" b="0"/>
            <wp:wrapTopAndBottom/>
            <wp:docPr id="197" name="image101.png" descr=""/>
            <wp:cNvGraphicFramePr>
              <a:graphicFrameLocks noChangeAspect="1"/>
            </wp:cNvGraphicFramePr>
            <a:graphic>
              <a:graphicData uri="http://schemas.openxmlformats.org/drawingml/2006/picture">
                <pic:pic>
                  <pic:nvPicPr>
                    <pic:cNvPr id="198" name="image101.png"/>
                    <pic:cNvPicPr/>
                  </pic:nvPicPr>
                  <pic:blipFill>
                    <a:blip r:embed="rId184" cstate="print"/>
                    <a:stretch>
                      <a:fillRect/>
                    </a:stretch>
                  </pic:blipFill>
                  <pic:spPr>
                    <a:xfrm>
                      <a:off x="0" y="0"/>
                      <a:ext cx="5405838" cy="6095"/>
                    </a:xfrm>
                    <a:prstGeom prst="rect">
                      <a:avLst/>
                    </a:prstGeom>
                  </pic:spPr>
                </pic:pic>
              </a:graphicData>
            </a:graphic>
          </wp:anchor>
        </w:drawing>
      </w:r>
    </w:p>
    <w:p>
      <w:pPr>
        <w:spacing w:line="170" w:lineRule="exact" w:before="0"/>
        <w:ind w:left="240" w:right="1199" w:firstLine="0"/>
        <w:jc w:val="right"/>
        <w:rPr>
          <w:rFonts w:ascii="Times New Roman" w:hAnsi="Times New Roman"/>
          <w:sz w:val="18"/>
        </w:rPr>
      </w:pPr>
      <w:r>
        <w:rPr>
          <w:rFonts w:ascii="Times New Roman" w:hAnsi="Times New Roman"/>
          <w:position w:val="1"/>
          <w:sz w:val="18"/>
        </w:rPr>
        <w:t>=</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2</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6 </w:t>
      </w:r>
      <w:r>
        <w:rPr>
          <w:rFonts w:ascii="Times New Roman" w:hAnsi="Times New Roman"/>
          <w:position w:val="1"/>
          <w:sz w:val="18"/>
        </w:rPr>
        <w:t>-</w:t>
      </w:r>
    </w:p>
    <w:p>
      <w:pPr>
        <w:spacing w:line="209" w:lineRule="exact" w:before="0"/>
        <w:ind w:left="240" w:right="590" w:firstLine="0"/>
        <w:jc w:val="right"/>
        <w:rPr>
          <w:rFonts w:ascii="Times New Roman"/>
          <w:sz w:val="18"/>
        </w:rPr>
      </w:pPr>
      <w:r>
        <w:rPr>
          <w:rFonts w:ascii="Times New Roman"/>
          <w:position w:val="7"/>
          <w:sz w:val="12"/>
        </w:rPr>
        <w:t>f</w:t>
      </w:r>
      <w:r>
        <w:rPr>
          <w:rFonts w:ascii="Times New Roman"/>
          <w:position w:val="1"/>
          <w:sz w:val="18"/>
        </w:rPr>
        <w:t>V</w:t>
      </w:r>
      <w:r>
        <w:rPr>
          <w:rFonts w:ascii="Times New Roman"/>
          <w:sz w:val="12"/>
        </w:rPr>
        <w:t>6 </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2</w:t>
      </w:r>
      <w:r>
        <w:rPr>
          <w:rFonts w:ascii="Times New Roman"/>
          <w:position w:val="1"/>
          <w:sz w:val="18"/>
        </w:rPr>
        <w:t>)&gt;</w:t>
      </w:r>
      <w:r>
        <w:rPr>
          <w:rFonts w:ascii="Times New Roman"/>
          <w:sz w:val="12"/>
        </w:rPr>
        <w:t>ref</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2</w:t>
      </w:r>
      <w:r>
        <w:rPr>
          <w:rFonts w:ascii="Times New Roman"/>
          <w:position w:val="1"/>
          <w:sz w:val="18"/>
        </w:rPr>
        <w:t>)&gt;</w:t>
      </w:r>
    </w:p>
    <w:p>
      <w:pPr>
        <w:pStyle w:val="BodyText"/>
        <w:spacing w:before="8" w:after="1"/>
        <w:rPr>
          <w:rFonts w:ascii="Times New Roman"/>
          <w:sz w:val="18"/>
        </w:rPr>
      </w:pPr>
    </w:p>
    <w:p>
      <w:pPr>
        <w:pStyle w:val="BodyText"/>
        <w:spacing w:line="20" w:lineRule="exact"/>
        <w:ind w:left="423"/>
        <w:rPr>
          <w:rFonts w:ascii="Times New Roman"/>
          <w:sz w:val="2"/>
        </w:rPr>
      </w:pPr>
      <w:r>
        <w:rPr>
          <w:rFonts w:ascii="Times New Roman"/>
          <w:sz w:val="2"/>
        </w:rPr>
        <w:drawing>
          <wp:inline distT="0" distB="0" distL="0" distR="0">
            <wp:extent cx="5405838" cy="6095"/>
            <wp:effectExtent l="0" t="0" r="0" b="0"/>
            <wp:docPr id="199" name="image101.png" descr=""/>
            <wp:cNvGraphicFramePr>
              <a:graphicFrameLocks noChangeAspect="1"/>
            </wp:cNvGraphicFramePr>
            <a:graphic>
              <a:graphicData uri="http://schemas.openxmlformats.org/drawingml/2006/picture">
                <pic:pic>
                  <pic:nvPicPr>
                    <pic:cNvPr id="200" name="image101.png"/>
                    <pic:cNvPicPr/>
                  </pic:nvPicPr>
                  <pic:blipFill>
                    <a:blip r:embed="rId184" cstate="print"/>
                    <a:stretch>
                      <a:fillRect/>
                    </a:stretch>
                  </pic:blipFill>
                  <pic:spPr>
                    <a:xfrm>
                      <a:off x="0" y="0"/>
                      <a:ext cx="5405838" cy="6095"/>
                    </a:xfrm>
                    <a:prstGeom prst="rect">
                      <a:avLst/>
                    </a:prstGeom>
                  </pic:spPr>
                </pic:pic>
              </a:graphicData>
            </a:graphic>
          </wp:inline>
        </w:drawing>
      </w:r>
      <w:r>
        <w:rPr>
          <w:rFonts w:ascii="Times New Roman"/>
          <w:sz w:val="2"/>
        </w:rPr>
      </w:r>
    </w:p>
    <w:p>
      <w:pPr>
        <w:spacing w:after="0" w:line="20" w:lineRule="exact"/>
        <w:rPr>
          <w:rFonts w:ascii="Times New Roman"/>
          <w:sz w:val="2"/>
        </w:rPr>
        <w:sectPr>
          <w:type w:val="continuous"/>
          <w:pgSz w:w="12240" w:h="15840"/>
          <w:pgMar w:top="3080" w:bottom="2780" w:left="1440" w:right="1460"/>
        </w:sectPr>
      </w:pPr>
    </w:p>
    <w:p>
      <w:pPr>
        <w:pStyle w:val="BodyText"/>
        <w:rPr>
          <w:rFonts w:ascii="Times New Roman"/>
          <w:sz w:val="18"/>
        </w:rPr>
      </w:pPr>
    </w:p>
    <w:p>
      <w:pPr>
        <w:pStyle w:val="BodyText"/>
        <w:spacing w:before="6"/>
        <w:rPr>
          <w:rFonts w:ascii="Times New Roman"/>
          <w:sz w:val="16"/>
        </w:rPr>
      </w:pPr>
    </w:p>
    <w:p>
      <w:pPr>
        <w:spacing w:before="0"/>
        <w:ind w:left="0" w:right="0" w:firstLine="0"/>
        <w:jc w:val="right"/>
        <w:rPr>
          <w:rFonts w:ascii="Times New Roman"/>
          <w:sz w:val="12"/>
        </w:rPr>
      </w:pPr>
      <w:r>
        <w:rPr>
          <w:rFonts w:ascii="Times New Roman"/>
          <w:position w:val="1"/>
          <w:sz w:val="18"/>
        </w:rPr>
        <w:t>= Average of Mw for c</w:t>
      </w:r>
      <w:r>
        <w:rPr>
          <w:rFonts w:ascii="Times New Roman"/>
          <w:sz w:val="12"/>
        </w:rPr>
        <w:t>6</w:t>
      </w:r>
    </w:p>
    <w:p>
      <w:pPr>
        <w:spacing w:line="189" w:lineRule="exact" w:before="0"/>
        <w:ind w:left="67" w:right="0" w:firstLine="0"/>
        <w:jc w:val="left"/>
        <w:rPr>
          <w:rFonts w:ascii="Times New Roman" w:hAnsi="Times New Roman"/>
          <w:sz w:val="18"/>
        </w:rPr>
      </w:pPr>
      <w:r>
        <w:rPr/>
        <w:br w:type="column"/>
      </w:r>
      <w:r>
        <w:rPr>
          <w:rFonts w:ascii="Times New Roman" w:hAnsi="Times New Roman"/>
          <w:position w:val="1"/>
          <w:sz w:val="18"/>
        </w:rPr>
        <w:t>=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6</w:t>
      </w:r>
      <w:r>
        <w:rPr>
          <w:rFonts w:ascii="Times New Roman" w:hAnsi="Times New Roman"/>
          <w:position w:val="1"/>
          <w:sz w:val="18"/>
        </w:rPr>
        <w:t>)</w:t>
      </w:r>
      <w:r>
        <w:rPr>
          <w:rFonts w:ascii="Times New Roman" w:hAnsi="Times New Roman"/>
          <w:sz w:val="12"/>
        </w:rPr>
        <w:t>new </w:t>
      </w:r>
      <w:r>
        <w:rPr>
          <w:rFonts w:ascii="Times New Roman" w:hAnsi="Times New Roman"/>
          <w:position w:val="1"/>
          <w:sz w:val="18"/>
        </w:rPr>
        <w:t>· (</w:t>
      </w:r>
      <w:r>
        <w:rPr>
          <w:rFonts w:ascii="Times New Roman" w:hAnsi="Times New Roman"/>
          <w:position w:val="7"/>
          <w:sz w:val="12"/>
        </w:rPr>
        <w:t>new</w:t>
      </w:r>
      <w:r>
        <w:rPr>
          <w:rFonts w:ascii="Times New Roman" w:hAnsi="Times New Roman"/>
          <w:position w:val="1"/>
          <w:sz w:val="18"/>
        </w:rPr>
        <w:t>V</w:t>
      </w:r>
      <w:r>
        <w:rPr>
          <w:rFonts w:ascii="Times New Roman" w:hAnsi="Times New Roman"/>
          <w:sz w:val="12"/>
        </w:rPr>
        <w:t>6 </w:t>
      </w:r>
      <w:r>
        <w:rPr>
          <w:rFonts w:ascii="Times New Roman" w:hAnsi="Times New Roman"/>
          <w:position w:val="1"/>
          <w:sz w:val="18"/>
        </w:rPr>
        <w:t>-</w:t>
      </w:r>
    </w:p>
    <w:p>
      <w:pPr>
        <w:spacing w:line="209" w:lineRule="exact" w:before="0"/>
        <w:ind w:left="116" w:right="0" w:firstLine="0"/>
        <w:jc w:val="left"/>
        <w:rPr>
          <w:rFonts w:ascii="Times New Roman"/>
          <w:sz w:val="18"/>
        </w:rPr>
      </w:pPr>
      <w:r>
        <w:rPr>
          <w:rFonts w:ascii="Times New Roman"/>
          <w:position w:val="7"/>
          <w:sz w:val="12"/>
        </w:rPr>
        <w:t>f</w:t>
      </w:r>
      <w:r>
        <w:rPr>
          <w:rFonts w:ascii="Times New Roman"/>
          <w:position w:val="1"/>
          <w:sz w:val="18"/>
        </w:rPr>
        <w:t>V</w:t>
      </w:r>
      <w:r>
        <w:rPr>
          <w:rFonts w:ascii="Times New Roman"/>
          <w:sz w:val="12"/>
        </w:rPr>
        <w:t>6 </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6</w:t>
      </w:r>
      <w:r>
        <w:rPr>
          <w:rFonts w:ascii="Times New Roman"/>
          <w:position w:val="1"/>
          <w:sz w:val="18"/>
        </w:rPr>
        <w:t>)&gt;</w:t>
      </w:r>
      <w:r>
        <w:rPr>
          <w:rFonts w:ascii="Times New Roman"/>
          <w:sz w:val="12"/>
        </w:rPr>
        <w:t>ref</w:t>
      </w:r>
      <w:r>
        <w:rPr>
          <w:rFonts w:ascii="Times New Roman"/>
          <w:position w:val="1"/>
          <w:sz w:val="18"/>
        </w:rPr>
        <w:t>); &lt;V</w:t>
      </w:r>
      <w:r>
        <w:rPr>
          <w:rFonts w:ascii="Times New Roman"/>
          <w:sz w:val="12"/>
        </w:rPr>
        <w:t>6</w:t>
      </w:r>
      <w:r>
        <w:rPr>
          <w:rFonts w:ascii="Times New Roman"/>
          <w:position w:val="1"/>
          <w:sz w:val="18"/>
        </w:rPr>
        <w:t>(c</w:t>
      </w:r>
      <w:r>
        <w:rPr>
          <w:rFonts w:ascii="Times New Roman"/>
          <w:sz w:val="12"/>
        </w:rPr>
        <w:t>6</w:t>
      </w:r>
      <w:r>
        <w:rPr>
          <w:rFonts w:ascii="Times New Roman"/>
          <w:position w:val="1"/>
          <w:sz w:val="18"/>
        </w:rPr>
        <w:t>)&gt;</w:t>
      </w:r>
    </w:p>
    <w:p>
      <w:pPr>
        <w:spacing w:after="0" w:line="209" w:lineRule="exact"/>
        <w:jc w:val="left"/>
        <w:rPr>
          <w:rFonts w:ascii="Times New Roman"/>
          <w:sz w:val="18"/>
        </w:rPr>
        <w:sectPr>
          <w:type w:val="continuous"/>
          <w:pgSz w:w="12240" w:h="15840"/>
          <w:pgMar w:top="3080" w:bottom="2780" w:left="1440" w:right="1460"/>
          <w:cols w:num="2" w:equalWidth="0">
            <w:col w:w="6621" w:space="40"/>
            <w:col w:w="2679"/>
          </w:cols>
        </w:sectPr>
      </w:pPr>
    </w:p>
    <w:p>
      <w:pPr>
        <w:pStyle w:val="BodyText"/>
        <w:spacing w:line="28" w:lineRule="exact"/>
        <w:ind w:left="399"/>
        <w:rPr>
          <w:rFonts w:ascii="Times New Roman"/>
          <w:sz w:val="2"/>
        </w:rPr>
      </w:pPr>
      <w:r>
        <w:rPr>
          <w:rFonts w:ascii="Times New Roman"/>
          <w:position w:val="0"/>
          <w:sz w:val="2"/>
        </w:rPr>
        <w:drawing>
          <wp:inline distT="0" distB="0" distL="0" distR="0">
            <wp:extent cx="5427624" cy="18287"/>
            <wp:effectExtent l="0" t="0" r="0" b="0"/>
            <wp:docPr id="201" name="image102.png" descr=""/>
            <wp:cNvGraphicFramePr>
              <a:graphicFrameLocks noChangeAspect="1"/>
            </wp:cNvGraphicFramePr>
            <a:graphic>
              <a:graphicData uri="http://schemas.openxmlformats.org/drawingml/2006/picture">
                <pic:pic>
                  <pic:nvPicPr>
                    <pic:cNvPr id="202" name="image102.png"/>
                    <pic:cNvPicPr/>
                  </pic:nvPicPr>
                  <pic:blipFill>
                    <a:blip r:embed="rId185" cstate="print"/>
                    <a:stretch>
                      <a:fillRect/>
                    </a:stretch>
                  </pic:blipFill>
                  <pic:spPr>
                    <a:xfrm>
                      <a:off x="0" y="0"/>
                      <a:ext cx="5427624" cy="18287"/>
                    </a:xfrm>
                    <a:prstGeom prst="rect">
                      <a:avLst/>
                    </a:prstGeom>
                  </pic:spPr>
                </pic:pic>
              </a:graphicData>
            </a:graphic>
          </wp:inline>
        </w:drawing>
      </w:r>
      <w:r>
        <w:rPr>
          <w:rFonts w:ascii="Times New Roman"/>
          <w:position w:val="0"/>
          <w:sz w:val="2"/>
        </w:rPr>
      </w:r>
    </w:p>
    <w:p>
      <w:pPr>
        <w:spacing w:line="207" w:lineRule="exact" w:before="0"/>
        <w:ind w:left="259" w:right="0" w:firstLine="0"/>
        <w:jc w:val="left"/>
        <w:rPr>
          <w:rFonts w:ascii="Times New Roman" w:hAnsi="Times New Roman"/>
          <w:sz w:val="12"/>
        </w:rPr>
      </w:pPr>
      <w:r>
        <w:rPr>
          <w:rFonts w:ascii="Times New Roman" w:hAnsi="Times New Roman"/>
          <w:position w:val="7"/>
          <w:sz w:val="12"/>
        </w:rPr>
        <w:t>a </w:t>
      </w:r>
      <w:r>
        <w:rPr>
          <w:rFonts w:ascii="Times New Roman" w:hAnsi="Times New Roman"/>
          <w:i/>
          <w:position w:val="1"/>
          <w:sz w:val="18"/>
        </w:rPr>
        <w:t>f</w:t>
      </w:r>
      <w:r>
        <w:rPr>
          <w:rFonts w:ascii="Times New Roman" w:hAnsi="Times New Roman"/>
          <w:position w:val="1"/>
          <w:sz w:val="18"/>
        </w:rPr>
        <w:t>(ε</w:t>
      </w:r>
      <w:r>
        <w:rPr>
          <w:rFonts w:ascii="Times New Roman" w:hAnsi="Times New Roman"/>
          <w:sz w:val="12"/>
        </w:rPr>
        <w:t>ij</w:t>
      </w:r>
      <w:r>
        <w:rPr>
          <w:rFonts w:ascii="Times New Roman" w:hAnsi="Times New Roman"/>
          <w:position w:val="1"/>
          <w:sz w:val="18"/>
        </w:rPr>
        <w:t>)</w:t>
      </w:r>
      <w:r>
        <w:rPr>
          <w:rFonts w:ascii="Times New Roman" w:hAnsi="Times New Roman"/>
          <w:sz w:val="12"/>
        </w:rPr>
        <w:t>ref  </w:t>
      </w:r>
      <w:r>
        <w:rPr>
          <w:rFonts w:ascii="Times New Roman" w:hAnsi="Times New Roman"/>
          <w:position w:val="1"/>
          <w:sz w:val="18"/>
        </w:rPr>
        <w:t>= &lt;ε</w:t>
      </w:r>
      <w:r>
        <w:rPr>
          <w:rFonts w:ascii="Times New Roman" w:hAnsi="Times New Roman"/>
          <w:sz w:val="12"/>
        </w:rPr>
        <w:t>ij</w:t>
      </w:r>
      <w:r>
        <w:rPr>
          <w:rFonts w:ascii="Times New Roman" w:hAnsi="Times New Roman"/>
          <w:position w:val="1"/>
          <w:sz w:val="18"/>
        </w:rPr>
        <w:t>&gt;</w:t>
      </w:r>
      <w:r>
        <w:rPr>
          <w:rFonts w:ascii="Times New Roman" w:hAnsi="Times New Roman"/>
          <w:sz w:val="12"/>
        </w:rPr>
        <w:t>ref  </w:t>
      </w:r>
      <w:r>
        <w:rPr>
          <w:rFonts w:ascii="Times New Roman" w:hAnsi="Times New Roman"/>
          <w:position w:val="1"/>
          <w:sz w:val="18"/>
        </w:rPr>
        <w:t>= &lt;IPA(%)&gt;</w:t>
      </w:r>
      <w:r>
        <w:rPr>
          <w:rFonts w:ascii="Times New Roman" w:hAnsi="Times New Roman"/>
          <w:sz w:val="12"/>
        </w:rPr>
        <w:t>ref  </w:t>
      </w:r>
      <w:r>
        <w:rPr>
          <w:rFonts w:ascii="Times New Roman" w:hAnsi="Times New Roman"/>
          <w:position w:val="1"/>
          <w:sz w:val="18"/>
        </w:rPr>
        <w:t>average of reference entries for conditions of c</w:t>
      </w:r>
      <w:r>
        <w:rPr>
          <w:rFonts w:ascii="Times New Roman" w:hAnsi="Times New Roman"/>
          <w:sz w:val="12"/>
        </w:rPr>
        <w:t>1</w:t>
      </w:r>
      <w:r>
        <w:rPr>
          <w:rFonts w:ascii="Times New Roman" w:hAnsi="Times New Roman"/>
          <w:position w:val="1"/>
          <w:sz w:val="18"/>
        </w:rPr>
        <w:t>, c</w:t>
      </w:r>
      <w:r>
        <w:rPr>
          <w:rFonts w:ascii="Times New Roman" w:hAnsi="Times New Roman"/>
          <w:sz w:val="12"/>
        </w:rPr>
        <w:t>3</w:t>
      </w:r>
      <w:r>
        <w:rPr>
          <w:rFonts w:ascii="Times New Roman" w:hAnsi="Times New Roman"/>
          <w:position w:val="1"/>
          <w:sz w:val="18"/>
        </w:rPr>
        <w:t>, c</w:t>
      </w:r>
      <w:r>
        <w:rPr>
          <w:rFonts w:ascii="Times New Roman" w:hAnsi="Times New Roman"/>
          <w:sz w:val="12"/>
        </w:rPr>
        <w:t>4</w:t>
      </w:r>
      <w:r>
        <w:rPr>
          <w:rFonts w:ascii="Times New Roman" w:hAnsi="Times New Roman"/>
          <w:position w:val="1"/>
          <w:sz w:val="18"/>
        </w:rPr>
        <w:t>, and c</w:t>
      </w:r>
      <w:r>
        <w:rPr>
          <w:rFonts w:ascii="Times New Roman" w:hAnsi="Times New Roman"/>
          <w:sz w:val="12"/>
        </w:rPr>
        <w:t>5; </w:t>
      </w:r>
      <w:r>
        <w:rPr>
          <w:rFonts w:ascii="Times New Roman" w:hAnsi="Times New Roman"/>
          <w:position w:val="1"/>
          <w:sz w:val="18"/>
        </w:rPr>
        <w:t>among, c</w:t>
      </w:r>
      <w:r>
        <w:rPr>
          <w:rFonts w:ascii="Times New Roman" w:hAnsi="Times New Roman"/>
          <w:sz w:val="12"/>
        </w:rPr>
        <w:t>1  </w:t>
      </w:r>
      <w:r>
        <w:rPr>
          <w:rFonts w:ascii="Times New Roman" w:hAnsi="Times New Roman"/>
          <w:position w:val="1"/>
          <w:sz w:val="18"/>
        </w:rPr>
        <w:t>= treatments, c</w:t>
      </w:r>
      <w:r>
        <w:rPr>
          <w:rFonts w:ascii="Times New Roman" w:hAnsi="Times New Roman"/>
          <w:sz w:val="12"/>
        </w:rPr>
        <w:t>2</w:t>
      </w:r>
    </w:p>
    <w:p>
      <w:pPr>
        <w:spacing w:line="207" w:lineRule="exact" w:before="0"/>
        <w:ind w:left="259" w:right="0" w:firstLine="0"/>
        <w:jc w:val="left"/>
        <w:rPr>
          <w:rFonts w:ascii="Times New Roman"/>
          <w:sz w:val="18"/>
        </w:rPr>
      </w:pPr>
      <w:r>
        <w:rPr>
          <w:rFonts w:ascii="Times New Roman"/>
          <w:position w:val="1"/>
          <w:sz w:val="18"/>
        </w:rPr>
        <w:t>= with/without fermentation, c</w:t>
      </w:r>
      <w:r>
        <w:rPr>
          <w:rFonts w:ascii="Times New Roman"/>
          <w:sz w:val="12"/>
        </w:rPr>
        <w:t>3 </w:t>
      </w:r>
      <w:r>
        <w:rPr>
          <w:rFonts w:ascii="Times New Roman"/>
          <w:position w:val="1"/>
          <w:sz w:val="18"/>
        </w:rPr>
        <w:t>= phase, c</w:t>
      </w:r>
      <w:r>
        <w:rPr>
          <w:rFonts w:ascii="Times New Roman"/>
          <w:sz w:val="12"/>
        </w:rPr>
        <w:t>4 </w:t>
      </w:r>
      <w:r>
        <w:rPr>
          <w:rFonts w:ascii="Times New Roman"/>
          <w:position w:val="1"/>
          <w:sz w:val="18"/>
        </w:rPr>
        <w:t>= gas chromatography column, c</w:t>
      </w:r>
      <w:r>
        <w:rPr>
          <w:rFonts w:ascii="Times New Roman"/>
          <w:sz w:val="12"/>
        </w:rPr>
        <w:t>5 </w:t>
      </w:r>
      <w:r>
        <w:rPr>
          <w:rFonts w:ascii="Times New Roman"/>
          <w:position w:val="1"/>
          <w:sz w:val="18"/>
        </w:rPr>
        <w:t>= replicates, and c</w:t>
      </w:r>
      <w:r>
        <w:rPr>
          <w:rFonts w:ascii="Times New Roman"/>
          <w:sz w:val="12"/>
        </w:rPr>
        <w:t>6 </w:t>
      </w:r>
      <w:r>
        <w:rPr>
          <w:rFonts w:ascii="Times New Roman"/>
          <w:position w:val="1"/>
          <w:sz w:val="18"/>
        </w:rPr>
        <w:t>= </w:t>
      </w:r>
      <w:r>
        <w:rPr>
          <w:rFonts w:ascii="Times New Roman"/>
          <w:i/>
          <w:position w:val="1"/>
          <w:sz w:val="18"/>
        </w:rPr>
        <w:t>cis</w:t>
      </w:r>
      <w:r>
        <w:rPr>
          <w:rFonts w:ascii="Times New Roman"/>
          <w:position w:val="1"/>
          <w:sz w:val="18"/>
        </w:rPr>
        <w:t>/</w:t>
      </w:r>
      <w:r>
        <w:rPr>
          <w:rFonts w:ascii="Times New Roman"/>
          <w:i/>
          <w:position w:val="1"/>
          <w:sz w:val="18"/>
        </w:rPr>
        <w:t>trans  </w:t>
      </w:r>
      <w:r>
        <w:rPr>
          <w:rFonts w:ascii="Times New Roman"/>
          <w:position w:val="1"/>
          <w:sz w:val="18"/>
        </w:rPr>
        <w:t>pattern.</w:t>
      </w:r>
    </w:p>
    <w:p>
      <w:pPr>
        <w:spacing w:after="0" w:line="207" w:lineRule="exact"/>
        <w:jc w:val="left"/>
        <w:rPr>
          <w:rFonts w:ascii="Times New Roman"/>
          <w:sz w:val="18"/>
        </w:rPr>
        <w:sectPr>
          <w:type w:val="continuous"/>
          <w:pgSz w:w="12240" w:h="15840"/>
          <w:pgMar w:top="3080" w:bottom="2780" w:left="1440" w:right="1460"/>
        </w:sectPr>
      </w:pPr>
    </w:p>
    <w:p>
      <w:pPr>
        <w:pStyle w:val="BodyText"/>
        <w:spacing w:before="6"/>
        <w:rPr>
          <w:rFonts w:ascii="Times New Roman"/>
          <w:sz w:val="13"/>
        </w:rPr>
      </w:pPr>
    </w:p>
    <w:p>
      <w:pPr>
        <w:spacing w:before="87"/>
        <w:ind w:left="259" w:right="262" w:firstLine="0"/>
        <w:jc w:val="both"/>
        <w:rPr>
          <w:rFonts w:ascii="Times New Roman"/>
          <w:sz w:val="18"/>
        </w:rPr>
      </w:pPr>
      <w:r>
        <w:rPr>
          <w:rFonts w:ascii="Times New Roman"/>
          <w:position w:val="7"/>
          <w:sz w:val="12"/>
        </w:rPr>
        <w:t>b </w:t>
      </w:r>
      <w:r>
        <w:rPr>
          <w:rFonts w:ascii="Times New Roman"/>
          <w:position w:val="1"/>
          <w:sz w:val="18"/>
        </w:rPr>
        <w:t>Symbols of molecular descriptors were calculated with DRAGON software:V</w:t>
      </w:r>
      <w:r>
        <w:rPr>
          <w:rFonts w:ascii="Times New Roman"/>
          <w:sz w:val="12"/>
        </w:rPr>
        <w:t>1 </w:t>
      </w:r>
      <w:r>
        <w:rPr>
          <w:rFonts w:ascii="Times New Roman"/>
          <w:position w:val="1"/>
          <w:sz w:val="18"/>
        </w:rPr>
        <w:t>= Mw, V</w:t>
      </w:r>
      <w:r>
        <w:rPr>
          <w:rFonts w:ascii="Times New Roman"/>
          <w:sz w:val="12"/>
        </w:rPr>
        <w:t>2 </w:t>
      </w:r>
      <w:r>
        <w:rPr>
          <w:rFonts w:ascii="Times New Roman"/>
          <w:position w:val="1"/>
          <w:sz w:val="18"/>
        </w:rPr>
        <w:t>= Aeigv, V</w:t>
      </w:r>
      <w:r>
        <w:rPr>
          <w:rFonts w:ascii="Times New Roman"/>
          <w:sz w:val="12"/>
        </w:rPr>
        <w:t>3 </w:t>
      </w:r>
      <w:r>
        <w:rPr>
          <w:rFonts w:ascii="Times New Roman"/>
          <w:position w:val="1"/>
          <w:sz w:val="18"/>
        </w:rPr>
        <w:t>= Aeige, V</w:t>
      </w:r>
      <w:r>
        <w:rPr>
          <w:rFonts w:ascii="Times New Roman"/>
          <w:sz w:val="12"/>
        </w:rPr>
        <w:t>4 </w:t>
      </w:r>
      <w:r>
        <w:rPr>
          <w:rFonts w:ascii="Times New Roman"/>
          <w:position w:val="1"/>
          <w:sz w:val="18"/>
        </w:rPr>
        <w:t>= Aeigp, V</w:t>
      </w:r>
      <w:r>
        <w:rPr>
          <w:rFonts w:ascii="Times New Roman"/>
          <w:sz w:val="12"/>
        </w:rPr>
        <w:t>5 </w:t>
      </w:r>
      <w:r>
        <w:rPr>
          <w:rFonts w:ascii="Times New Roman"/>
          <w:position w:val="1"/>
          <w:sz w:val="18"/>
        </w:rPr>
        <w:t>= AMR, and V</w:t>
      </w:r>
      <w:r>
        <w:rPr>
          <w:rFonts w:ascii="Times New Roman"/>
          <w:sz w:val="12"/>
        </w:rPr>
        <w:t>6 </w:t>
      </w:r>
      <w:r>
        <w:rPr>
          <w:rFonts w:ascii="Times New Roman"/>
          <w:position w:val="1"/>
          <w:sz w:val="18"/>
        </w:rPr>
        <w:t>= LogP; V</w:t>
      </w:r>
      <w:r>
        <w:rPr>
          <w:rFonts w:ascii="Times New Roman"/>
          <w:sz w:val="12"/>
        </w:rPr>
        <w:t>2</w:t>
      </w:r>
      <w:r>
        <w:rPr>
          <w:rFonts w:ascii="Times New Roman"/>
          <w:position w:val="1"/>
          <w:sz w:val="18"/>
        </w:rPr>
        <w:t>, V</w:t>
      </w:r>
      <w:r>
        <w:rPr>
          <w:rFonts w:ascii="Times New Roman"/>
          <w:sz w:val="12"/>
        </w:rPr>
        <w:t>3</w:t>
      </w:r>
      <w:r>
        <w:rPr>
          <w:rFonts w:ascii="Times New Roman"/>
          <w:position w:val="1"/>
          <w:sz w:val="18"/>
        </w:rPr>
        <w:t>, and V</w:t>
      </w:r>
      <w:r>
        <w:rPr>
          <w:rFonts w:ascii="Times New Roman"/>
          <w:sz w:val="12"/>
        </w:rPr>
        <w:t>4 </w:t>
      </w:r>
      <w:r>
        <w:rPr>
          <w:rFonts w:ascii="Times New Roman"/>
          <w:position w:val="1"/>
          <w:sz w:val="18"/>
        </w:rPr>
        <w:t>are function of eigenvalues of the topological distance matrix weighted </w:t>
      </w:r>
      <w:r>
        <w:rPr>
          <w:rFonts w:ascii="Times New Roman"/>
          <w:sz w:val="18"/>
        </w:rPr>
        <w:t>with atomic van der Waals volumes (v), Electronegativities (e), or Polarizabilities (p).</w:t>
      </w:r>
    </w:p>
    <w:p>
      <w:pPr>
        <w:spacing w:line="209" w:lineRule="exact" w:before="0"/>
        <w:ind w:left="259" w:right="0" w:firstLine="0"/>
        <w:jc w:val="both"/>
        <w:rPr>
          <w:rFonts w:ascii="Times New Roman" w:hAnsi="Times New Roman"/>
          <w:sz w:val="18"/>
        </w:rPr>
      </w:pPr>
      <w:r>
        <w:rPr>
          <w:rFonts w:ascii="Times New Roman" w:hAnsi="Times New Roman"/>
          <w:position w:val="7"/>
          <w:sz w:val="12"/>
        </w:rPr>
        <w:t>c   </w:t>
      </w:r>
      <w:r>
        <w:rPr>
          <w:rFonts w:ascii="Times New Roman" w:hAnsi="Times New Roman"/>
          <w:position w:val="1"/>
          <w:sz w:val="18"/>
        </w:rPr>
        <w:t>The  parameters  Δ</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  are  Moving  Averages,  and  ΔΔ</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  =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w:t>
      </w:r>
      <w:r>
        <w:rPr>
          <w:rFonts w:ascii="Times New Roman" w:hAnsi="Times New Roman"/>
          <w:sz w:val="12"/>
        </w:rPr>
        <w:t>new</w:t>
      </w:r>
      <w:r>
        <w:rPr>
          <w:rFonts w:ascii="Times New Roman" w:hAnsi="Times New Roman"/>
          <w:position w:val="1"/>
          <w:sz w:val="18"/>
        </w:rPr>
        <w:t>·(</w:t>
      </w:r>
      <w:r>
        <w:rPr>
          <w:rFonts w:ascii="Times New Roman" w:hAnsi="Times New Roman"/>
          <w:position w:val="7"/>
          <w:sz w:val="12"/>
        </w:rPr>
        <w:t>new   i</w:t>
      </w:r>
      <w:r>
        <w:rPr>
          <w:rFonts w:ascii="Times New Roman" w:hAnsi="Times New Roman"/>
          <w:position w:val="1"/>
          <w:sz w:val="18"/>
        </w:rPr>
        <w:t>V</w:t>
      </w:r>
      <w:r>
        <w:rPr>
          <w:rFonts w:ascii="Times New Roman" w:hAnsi="Times New Roman"/>
          <w:sz w:val="12"/>
        </w:rPr>
        <w:t>k   </w:t>
      </w:r>
      <w:r>
        <w:rPr>
          <w:rFonts w:ascii="Times New Roman" w:hAnsi="Times New Roman"/>
          <w:position w:val="1"/>
          <w:sz w:val="18"/>
        </w:rPr>
        <w:t>-  &lt;</w:t>
      </w:r>
      <w:r>
        <w:rPr>
          <w:rFonts w:ascii="Times New Roman" w:hAnsi="Times New Roman"/>
          <w:position w:val="7"/>
          <w:sz w:val="12"/>
        </w:rPr>
        <w:t>i</w:t>
      </w:r>
      <w:r>
        <w:rPr>
          <w:rFonts w:ascii="Times New Roman" w:hAnsi="Times New Roman"/>
          <w:position w:val="1"/>
          <w:sz w:val="18"/>
        </w:rPr>
        <w:t>V</w:t>
      </w:r>
      <w:r>
        <w:rPr>
          <w:rFonts w:ascii="Times New Roman" w:hAnsi="Times New Roman"/>
          <w:sz w:val="12"/>
        </w:rPr>
        <w:t>k</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)&gt;</w:t>
      </w:r>
      <w:r>
        <w:rPr>
          <w:rFonts w:ascii="Times New Roman" w:hAnsi="Times New Roman"/>
          <w:sz w:val="12"/>
        </w:rPr>
        <w:t>new</w:t>
      </w:r>
      <w:r>
        <w:rPr>
          <w:rFonts w:ascii="Times New Roman" w:hAnsi="Times New Roman"/>
          <w:position w:val="1"/>
          <w:sz w:val="18"/>
        </w:rPr>
        <w:t>)  –</w:t>
      </w:r>
      <w:r>
        <w:rPr>
          <w:rFonts w:ascii="Times New Roman" w:hAnsi="Times New Roman"/>
          <w:i/>
          <w:position w:val="1"/>
          <w:sz w:val="18"/>
        </w:rPr>
        <w:t>p</w:t>
      </w:r>
      <w:r>
        <w:rPr>
          <w:rFonts w:ascii="Times New Roman" w:hAnsi="Times New Roman"/>
          <w:position w:val="1"/>
          <w:sz w:val="18"/>
        </w:rPr>
        <w:t>(c</w:t>
      </w:r>
      <w:r>
        <w:rPr>
          <w:rFonts w:ascii="Times New Roman" w:hAnsi="Times New Roman"/>
          <w:sz w:val="12"/>
        </w:rPr>
        <w:t>j</w:t>
      </w:r>
      <w:r>
        <w:rPr>
          <w:rFonts w:ascii="Times New Roman" w:hAnsi="Times New Roman"/>
          <w:position w:val="1"/>
          <w:sz w:val="18"/>
        </w:rPr>
        <w:t>)</w:t>
      </w:r>
      <w:r>
        <w:rPr>
          <w:rFonts w:ascii="Times New Roman" w:hAnsi="Times New Roman"/>
          <w:sz w:val="12"/>
        </w:rPr>
        <w:t>ref</w:t>
      </w:r>
      <w:r>
        <w:rPr>
          <w:rFonts w:ascii="Times New Roman" w:hAnsi="Times New Roman"/>
          <w:position w:val="1"/>
          <w:sz w:val="18"/>
        </w:rPr>
        <w:t>·(</w:t>
      </w:r>
      <w:r>
        <w:rPr>
          <w:rFonts w:ascii="Times New Roman" w:hAnsi="Times New Roman"/>
          <w:position w:val="7"/>
          <w:sz w:val="12"/>
        </w:rPr>
        <w:t>ref   i</w:t>
      </w:r>
      <w:r>
        <w:rPr>
          <w:rFonts w:ascii="Times New Roman" w:hAnsi="Times New Roman"/>
          <w:position w:val="1"/>
          <w:sz w:val="18"/>
        </w:rPr>
        <w:t>V</w:t>
      </w:r>
      <w:r>
        <w:rPr>
          <w:rFonts w:ascii="Times New Roman" w:hAnsi="Times New Roman"/>
          <w:sz w:val="12"/>
        </w:rPr>
        <w:t>k   </w:t>
      </w:r>
      <w:r>
        <w:rPr>
          <w:rFonts w:ascii="Times New Roman" w:hAnsi="Times New Roman"/>
          <w:position w:val="1"/>
          <w:sz w:val="18"/>
        </w:rPr>
        <w:t>-</w:t>
      </w:r>
    </w:p>
    <w:p>
      <w:pPr>
        <w:spacing w:line="209" w:lineRule="exact" w:before="0"/>
        <w:ind w:left="259" w:right="0" w:firstLine="0"/>
        <w:jc w:val="both"/>
        <w:rPr>
          <w:rFonts w:ascii="Times New Roman"/>
          <w:sz w:val="18"/>
        </w:rPr>
      </w:pPr>
      <w:r>
        <w:rPr>
          <w:rFonts w:ascii="Times New Roman"/>
          <w:position w:val="1"/>
          <w:sz w:val="18"/>
        </w:rPr>
        <w:t>&lt;</w:t>
      </w:r>
      <w:r>
        <w:rPr>
          <w:rFonts w:ascii="Times New Roman"/>
          <w:position w:val="7"/>
          <w:sz w:val="12"/>
        </w:rPr>
        <w:t>i</w:t>
      </w:r>
      <w:r>
        <w:rPr>
          <w:rFonts w:ascii="Times New Roman"/>
          <w:position w:val="1"/>
          <w:sz w:val="18"/>
        </w:rPr>
        <w:t>V</w:t>
      </w:r>
      <w:r>
        <w:rPr>
          <w:rFonts w:ascii="Times New Roman"/>
          <w:sz w:val="12"/>
        </w:rPr>
        <w:t>k</w:t>
      </w:r>
      <w:r>
        <w:rPr>
          <w:rFonts w:ascii="Times New Roman"/>
          <w:position w:val="1"/>
          <w:sz w:val="18"/>
        </w:rPr>
        <w:t>(c</w:t>
      </w:r>
      <w:r>
        <w:rPr>
          <w:rFonts w:ascii="Times New Roman"/>
          <w:sz w:val="12"/>
        </w:rPr>
        <w:t>j</w:t>
      </w:r>
      <w:r>
        <w:rPr>
          <w:rFonts w:ascii="Times New Roman"/>
          <w:position w:val="1"/>
          <w:sz w:val="18"/>
        </w:rPr>
        <w:t>)&gt;</w:t>
      </w:r>
      <w:r>
        <w:rPr>
          <w:rFonts w:ascii="Times New Roman"/>
          <w:sz w:val="12"/>
        </w:rPr>
        <w:t>ref</w:t>
      </w:r>
      <w:r>
        <w:rPr>
          <w:rFonts w:ascii="Times New Roman"/>
          <w:position w:val="1"/>
          <w:sz w:val="18"/>
        </w:rPr>
        <w:t>) are PT operators.</w:t>
      </w:r>
    </w:p>
    <w:p>
      <w:pPr>
        <w:pStyle w:val="BodyText"/>
        <w:spacing w:before="1"/>
        <w:rPr>
          <w:rFonts w:ascii="Times New Roman"/>
          <w:sz w:val="22"/>
        </w:rPr>
      </w:pPr>
    </w:p>
    <w:p>
      <w:pPr>
        <w:pStyle w:val="BodyText"/>
        <w:spacing w:after="8"/>
        <w:ind w:left="240" w:right="748"/>
        <w:jc w:val="right"/>
        <w:rPr>
          <w:rFonts w:ascii="Times New Roman"/>
        </w:rPr>
      </w:pPr>
      <w:r>
        <w:rPr>
          <w:rFonts w:ascii="Times New Roman"/>
          <w:b/>
          <w:position w:val="2"/>
        </w:rPr>
        <w:t>Table 8. </w:t>
      </w:r>
      <w:r>
        <w:rPr>
          <w:rFonts w:ascii="Times New Roman"/>
          <w:position w:val="2"/>
        </w:rPr>
        <w:t>Molecular descriptors (</w:t>
      </w:r>
      <w:r>
        <w:rPr>
          <w:rFonts w:ascii="Times New Roman"/>
          <w:position w:val="11"/>
          <w:sz w:val="16"/>
        </w:rPr>
        <w:t>i</w:t>
      </w:r>
      <w:r>
        <w:rPr>
          <w:rFonts w:ascii="Times New Roman"/>
          <w:position w:val="2"/>
        </w:rPr>
        <w:t>V</w:t>
      </w:r>
      <w:r>
        <w:rPr>
          <w:rFonts w:ascii="Times New Roman"/>
          <w:sz w:val="16"/>
        </w:rPr>
        <w:t>k</w:t>
      </w:r>
      <w:r>
        <w:rPr>
          <w:rFonts w:ascii="Times New Roman"/>
          <w:position w:val="2"/>
        </w:rPr>
        <w:t>) of fatty acids obtained from ChEBI database</w:t>
      </w:r>
    </w:p>
    <w:p>
      <w:pPr>
        <w:pStyle w:val="BodyText"/>
        <w:spacing w:line="20" w:lineRule="exact"/>
        <w:ind w:left="182"/>
        <w:rPr>
          <w:rFonts w:ascii="Times New Roman"/>
          <w:sz w:val="2"/>
        </w:rPr>
      </w:pPr>
      <w:r>
        <w:rPr>
          <w:rFonts w:ascii="Times New Roman"/>
          <w:sz w:val="2"/>
        </w:rPr>
        <w:pict>
          <v:group style="width:449.75pt;height:.5pt;mso-position-horizontal-relative:char;mso-position-vertical-relative:line" coordorigin="0,0" coordsize="8995,10">
            <v:line style="position:absolute" from="5,5" to="3419,5" stroked="true" strokeweight=".48001pt" strokecolor="#000000"/>
            <v:line style="position:absolute" from="3419,5" to="3429,5" stroked="true" strokeweight=".48001pt" strokecolor="#000000"/>
            <v:line style="position:absolute" from="3429,5" to="4466,5" stroked="true" strokeweight=".48001pt" strokecolor="#000000"/>
            <v:line style="position:absolute" from="4466,5" to="4476,5" stroked="true" strokeweight=".48001pt" strokecolor="#000000"/>
            <v:line style="position:absolute" from="4476,5" to="8990,5" stroked="true" strokeweight=".48001pt" strokecolor="#000000"/>
          </v:group>
        </w:pict>
      </w:r>
      <w:r>
        <w:rPr>
          <w:rFonts w:ascii="Times New Roman"/>
          <w:sz w:val="2"/>
        </w:rPr>
      </w:r>
    </w:p>
    <w:p>
      <w:pPr>
        <w:spacing w:line="31" w:lineRule="exact" w:before="75"/>
        <w:ind w:left="0" w:right="843" w:firstLine="0"/>
        <w:jc w:val="right"/>
        <w:rPr>
          <w:rFonts w:ascii="Times New Roman"/>
          <w:i/>
          <w:sz w:val="13"/>
        </w:rPr>
      </w:pPr>
      <w:r>
        <w:rPr>
          <w:rFonts w:ascii="Times New Roman"/>
          <w:i/>
          <w:w w:val="99"/>
          <w:sz w:val="13"/>
        </w:rPr>
        <w:t>c</w:t>
      </w:r>
    </w:p>
    <w:p>
      <w:pPr>
        <w:spacing w:after="0" w:line="31" w:lineRule="exact"/>
        <w:jc w:val="right"/>
        <w:rPr>
          <w:rFonts w:ascii="Times New Roman"/>
          <w:sz w:val="13"/>
        </w:rPr>
        <w:sectPr>
          <w:pgSz w:w="12240" w:h="15840"/>
          <w:pgMar w:header="684" w:footer="1184" w:top="1380" w:bottom="1380" w:left="1440" w:right="1460"/>
        </w:sectPr>
      </w:pPr>
    </w:p>
    <w:p>
      <w:pPr>
        <w:tabs>
          <w:tab w:pos="3779" w:val="left" w:leader="none"/>
        </w:tabs>
        <w:spacing w:line="340" w:lineRule="exact" w:before="0"/>
        <w:ind w:left="259" w:right="0" w:firstLine="0"/>
        <w:jc w:val="left"/>
        <w:rPr>
          <w:rFonts w:ascii="Times New Roman"/>
          <w:i/>
          <w:sz w:val="20"/>
        </w:rPr>
      </w:pPr>
      <w:r>
        <w:rPr/>
        <w:pict>
          <v:shape style="position:absolute;margin-left:81.384003pt;margin-top:16.031111pt;width:449.25pt;height:361.35pt;mso-position-horizontal-relative:page;mso-position-vertical-relative:paragraph;z-index:54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00"/>
                    <w:gridCol w:w="961"/>
                    <w:gridCol w:w="955"/>
                    <w:gridCol w:w="853"/>
                    <w:gridCol w:w="787"/>
                    <w:gridCol w:w="719"/>
                    <w:gridCol w:w="691"/>
                    <w:gridCol w:w="519"/>
                  </w:tblGrid>
                  <w:tr>
                    <w:trPr>
                      <w:trHeight w:val="269" w:hRule="exact"/>
                    </w:trPr>
                    <w:tc>
                      <w:tcPr>
                        <w:tcW w:w="3500" w:type="dxa"/>
                        <w:tcBorders>
                          <w:bottom w:val="single" w:sz="4" w:space="0" w:color="000000"/>
                        </w:tcBorders>
                      </w:tcPr>
                      <w:p>
                        <w:pPr/>
                      </w:p>
                    </w:tc>
                    <w:tc>
                      <w:tcPr>
                        <w:tcW w:w="961" w:type="dxa"/>
                        <w:tcBorders>
                          <w:bottom w:val="single" w:sz="4" w:space="0" w:color="000000"/>
                        </w:tcBorders>
                      </w:tcPr>
                      <w:p>
                        <w:pPr>
                          <w:pStyle w:val="TableParagraph"/>
                          <w:spacing w:line="134" w:lineRule="exact"/>
                          <w:ind w:left="84" w:right="165"/>
                          <w:jc w:val="center"/>
                          <w:rPr>
                            <w:i/>
                            <w:sz w:val="13"/>
                          </w:rPr>
                        </w:pPr>
                        <w:r>
                          <w:rPr>
                            <w:sz w:val="20"/>
                          </w:rPr>
                          <w:t>pattern </w:t>
                        </w:r>
                        <w:r>
                          <w:rPr>
                            <w:i/>
                            <w:position w:val="7"/>
                            <w:sz w:val="13"/>
                          </w:rPr>
                          <w:t>b</w:t>
                        </w:r>
                      </w:p>
                    </w:tc>
                    <w:tc>
                      <w:tcPr>
                        <w:tcW w:w="955" w:type="dxa"/>
                        <w:tcBorders>
                          <w:top w:val="single" w:sz="4" w:space="0" w:color="000000"/>
                          <w:bottom w:val="single" w:sz="4" w:space="0" w:color="000000"/>
                        </w:tcBorders>
                      </w:tcPr>
                      <w:p>
                        <w:pPr>
                          <w:pStyle w:val="TableParagraph"/>
                          <w:spacing w:before="5"/>
                          <w:ind w:left="533"/>
                          <w:rPr>
                            <w:i/>
                            <w:sz w:val="20"/>
                          </w:rPr>
                        </w:pPr>
                        <w:r>
                          <w:rPr>
                            <w:i/>
                            <w:w w:val="100"/>
                            <w:sz w:val="20"/>
                          </w:rPr>
                          <w:t>V</w:t>
                        </w:r>
                      </w:p>
                    </w:tc>
                    <w:tc>
                      <w:tcPr>
                        <w:tcW w:w="853" w:type="dxa"/>
                        <w:tcBorders>
                          <w:top w:val="single" w:sz="4" w:space="0" w:color="000000"/>
                          <w:bottom w:val="single" w:sz="4" w:space="0" w:color="000000"/>
                        </w:tcBorders>
                      </w:tcPr>
                      <w:p>
                        <w:pPr>
                          <w:pStyle w:val="TableParagraph"/>
                          <w:spacing w:before="5"/>
                          <w:ind w:left="494"/>
                          <w:rPr>
                            <w:i/>
                            <w:sz w:val="20"/>
                          </w:rPr>
                        </w:pPr>
                        <w:r>
                          <w:rPr>
                            <w:i/>
                            <w:w w:val="100"/>
                            <w:sz w:val="20"/>
                          </w:rPr>
                          <w:t>V</w:t>
                        </w:r>
                      </w:p>
                    </w:tc>
                    <w:tc>
                      <w:tcPr>
                        <w:tcW w:w="787" w:type="dxa"/>
                        <w:tcBorders>
                          <w:top w:val="single" w:sz="4" w:space="0" w:color="000000"/>
                          <w:bottom w:val="single" w:sz="4" w:space="0" w:color="000000"/>
                        </w:tcBorders>
                      </w:tcPr>
                      <w:p>
                        <w:pPr>
                          <w:pStyle w:val="TableParagraph"/>
                          <w:spacing w:before="5"/>
                          <w:ind w:right="231"/>
                          <w:jc w:val="right"/>
                          <w:rPr>
                            <w:i/>
                            <w:sz w:val="20"/>
                          </w:rPr>
                        </w:pPr>
                        <w:r>
                          <w:rPr>
                            <w:i/>
                            <w:w w:val="100"/>
                            <w:sz w:val="20"/>
                          </w:rPr>
                          <w:t>V</w:t>
                        </w:r>
                      </w:p>
                    </w:tc>
                    <w:tc>
                      <w:tcPr>
                        <w:tcW w:w="719" w:type="dxa"/>
                        <w:tcBorders>
                          <w:top w:val="single" w:sz="4" w:space="0" w:color="000000"/>
                          <w:bottom w:val="single" w:sz="4" w:space="0" w:color="000000"/>
                        </w:tcBorders>
                      </w:tcPr>
                      <w:p>
                        <w:pPr>
                          <w:pStyle w:val="TableParagraph"/>
                          <w:spacing w:before="5"/>
                          <w:ind w:left="426"/>
                          <w:rPr>
                            <w:i/>
                            <w:sz w:val="20"/>
                          </w:rPr>
                        </w:pPr>
                        <w:r>
                          <w:rPr>
                            <w:i/>
                            <w:w w:val="100"/>
                            <w:sz w:val="20"/>
                          </w:rPr>
                          <w:t>V</w:t>
                        </w:r>
                      </w:p>
                    </w:tc>
                    <w:tc>
                      <w:tcPr>
                        <w:tcW w:w="691" w:type="dxa"/>
                        <w:tcBorders>
                          <w:top w:val="single" w:sz="4" w:space="0" w:color="000000"/>
                          <w:bottom w:val="single" w:sz="4" w:space="0" w:color="000000"/>
                        </w:tcBorders>
                      </w:tcPr>
                      <w:p>
                        <w:pPr>
                          <w:pStyle w:val="TableParagraph"/>
                          <w:spacing w:before="5"/>
                          <w:ind w:right="201"/>
                          <w:jc w:val="right"/>
                          <w:rPr>
                            <w:i/>
                            <w:sz w:val="20"/>
                          </w:rPr>
                        </w:pPr>
                        <w:r>
                          <w:rPr>
                            <w:i/>
                            <w:w w:val="100"/>
                            <w:sz w:val="20"/>
                          </w:rPr>
                          <w:t>V</w:t>
                        </w:r>
                      </w:p>
                    </w:tc>
                    <w:tc>
                      <w:tcPr>
                        <w:tcW w:w="519" w:type="dxa"/>
                        <w:tcBorders>
                          <w:top w:val="single" w:sz="4" w:space="0" w:color="000000"/>
                          <w:bottom w:val="single" w:sz="4" w:space="0" w:color="000000"/>
                        </w:tcBorders>
                      </w:tcPr>
                      <w:p>
                        <w:pPr>
                          <w:pStyle w:val="TableParagraph"/>
                          <w:spacing w:before="5"/>
                          <w:ind w:left="133"/>
                          <w:jc w:val="center"/>
                          <w:rPr>
                            <w:i/>
                            <w:sz w:val="20"/>
                          </w:rPr>
                        </w:pPr>
                        <w:r>
                          <w:rPr>
                            <w:i/>
                            <w:w w:val="100"/>
                            <w:sz w:val="20"/>
                          </w:rPr>
                          <w:t>V</w:t>
                        </w:r>
                      </w:p>
                    </w:tc>
                  </w:tr>
                  <w:tr>
                    <w:trPr>
                      <w:trHeight w:val="270" w:hRule="exact"/>
                    </w:trPr>
                    <w:tc>
                      <w:tcPr>
                        <w:tcW w:w="3500" w:type="dxa"/>
                        <w:tcBorders>
                          <w:top w:val="single" w:sz="4" w:space="0" w:color="000000"/>
                        </w:tcBorders>
                      </w:tcPr>
                      <w:p>
                        <w:pPr>
                          <w:pStyle w:val="TableParagraph"/>
                          <w:spacing w:before="20"/>
                          <w:ind w:left="71"/>
                          <w:rPr>
                            <w:sz w:val="20"/>
                          </w:rPr>
                        </w:pPr>
                        <w:r>
                          <w:rPr>
                            <w:sz w:val="20"/>
                          </w:rPr>
                          <w:t>Lauric Acid</w:t>
                        </w:r>
                      </w:p>
                    </w:tc>
                    <w:tc>
                      <w:tcPr>
                        <w:tcW w:w="961" w:type="dxa"/>
                        <w:tcBorders>
                          <w:top w:val="single" w:sz="4" w:space="0" w:color="000000"/>
                        </w:tcBorders>
                      </w:tcPr>
                      <w:p>
                        <w:pPr>
                          <w:pStyle w:val="TableParagraph"/>
                          <w:spacing w:before="5"/>
                          <w:ind w:right="85"/>
                          <w:jc w:val="center"/>
                          <w:rPr>
                            <w:i/>
                            <w:sz w:val="20"/>
                          </w:rPr>
                        </w:pPr>
                        <w:r>
                          <w:rPr>
                            <w:i/>
                            <w:w w:val="100"/>
                            <w:sz w:val="20"/>
                          </w:rPr>
                          <w:t>l</w:t>
                        </w:r>
                      </w:p>
                    </w:tc>
                    <w:tc>
                      <w:tcPr>
                        <w:tcW w:w="955" w:type="dxa"/>
                        <w:tcBorders>
                          <w:top w:val="single" w:sz="4" w:space="0" w:color="000000"/>
                        </w:tcBorders>
                      </w:tcPr>
                      <w:p>
                        <w:pPr>
                          <w:pStyle w:val="TableParagraph"/>
                          <w:spacing w:before="5"/>
                          <w:ind w:right="228"/>
                          <w:jc w:val="right"/>
                          <w:rPr>
                            <w:sz w:val="20"/>
                          </w:rPr>
                        </w:pPr>
                        <w:r>
                          <w:rPr>
                            <w:sz w:val="20"/>
                          </w:rPr>
                          <w:t>200.4</w:t>
                        </w:r>
                      </w:p>
                    </w:tc>
                    <w:tc>
                      <w:tcPr>
                        <w:tcW w:w="853" w:type="dxa"/>
                        <w:tcBorders>
                          <w:top w:val="single" w:sz="4" w:space="0" w:color="000000"/>
                        </w:tcBorders>
                      </w:tcPr>
                      <w:p>
                        <w:pPr>
                          <w:pStyle w:val="TableParagraph"/>
                          <w:spacing w:before="5"/>
                          <w:ind w:right="165"/>
                          <w:jc w:val="right"/>
                          <w:rPr>
                            <w:sz w:val="20"/>
                          </w:rPr>
                        </w:pPr>
                        <w:r>
                          <w:rPr>
                            <w:sz w:val="20"/>
                          </w:rPr>
                          <w:t>137.4</w:t>
                        </w:r>
                      </w:p>
                    </w:tc>
                    <w:tc>
                      <w:tcPr>
                        <w:tcW w:w="787" w:type="dxa"/>
                        <w:tcBorders>
                          <w:top w:val="single" w:sz="4" w:space="0" w:color="000000"/>
                        </w:tcBorders>
                      </w:tcPr>
                      <w:p>
                        <w:pPr>
                          <w:pStyle w:val="TableParagraph"/>
                          <w:spacing w:before="5"/>
                          <w:ind w:right="162"/>
                          <w:jc w:val="right"/>
                          <w:rPr>
                            <w:sz w:val="20"/>
                          </w:rPr>
                        </w:pPr>
                        <w:r>
                          <w:rPr>
                            <w:sz w:val="20"/>
                          </w:rPr>
                          <w:t>127.6</w:t>
                        </w:r>
                      </w:p>
                    </w:tc>
                    <w:tc>
                      <w:tcPr>
                        <w:tcW w:w="719" w:type="dxa"/>
                        <w:tcBorders>
                          <w:top w:val="single" w:sz="4" w:space="0" w:color="000000"/>
                        </w:tcBorders>
                      </w:tcPr>
                      <w:p>
                        <w:pPr>
                          <w:pStyle w:val="TableParagraph"/>
                          <w:spacing w:before="5"/>
                          <w:ind w:right="98"/>
                          <w:jc w:val="right"/>
                          <w:rPr>
                            <w:sz w:val="20"/>
                          </w:rPr>
                        </w:pPr>
                        <w:r>
                          <w:rPr>
                            <w:sz w:val="20"/>
                          </w:rPr>
                          <w:t>139.5</w:t>
                        </w:r>
                      </w:p>
                    </w:tc>
                    <w:tc>
                      <w:tcPr>
                        <w:tcW w:w="691" w:type="dxa"/>
                        <w:tcBorders>
                          <w:top w:val="single" w:sz="4" w:space="0" w:color="000000"/>
                        </w:tcBorders>
                      </w:tcPr>
                      <w:p>
                        <w:pPr>
                          <w:pStyle w:val="TableParagraph"/>
                          <w:spacing w:before="5"/>
                          <w:ind w:right="132"/>
                          <w:jc w:val="right"/>
                          <w:rPr>
                            <w:sz w:val="20"/>
                          </w:rPr>
                        </w:pPr>
                        <w:r>
                          <w:rPr>
                            <w:sz w:val="20"/>
                          </w:rPr>
                          <w:t>58.7</w:t>
                        </w:r>
                      </w:p>
                    </w:tc>
                    <w:tc>
                      <w:tcPr>
                        <w:tcW w:w="519" w:type="dxa"/>
                        <w:tcBorders>
                          <w:top w:val="single" w:sz="4" w:space="0" w:color="000000"/>
                        </w:tcBorders>
                      </w:tcPr>
                      <w:p>
                        <w:pPr>
                          <w:pStyle w:val="TableParagraph"/>
                          <w:spacing w:before="5"/>
                          <w:ind w:left="183" w:right="44"/>
                          <w:jc w:val="center"/>
                          <w:rPr>
                            <w:sz w:val="20"/>
                          </w:rPr>
                        </w:pPr>
                        <w:r>
                          <w:rPr>
                            <w:sz w:val="20"/>
                          </w:rPr>
                          <w:t>4.5</w:t>
                        </w:r>
                      </w:p>
                    </w:tc>
                  </w:tr>
                  <w:tr>
                    <w:trPr>
                      <w:trHeight w:val="257" w:hRule="exact"/>
                    </w:trPr>
                    <w:tc>
                      <w:tcPr>
                        <w:tcW w:w="3500" w:type="dxa"/>
                      </w:tcPr>
                      <w:p>
                        <w:pPr>
                          <w:pStyle w:val="TableParagraph"/>
                          <w:spacing w:before="9"/>
                          <w:ind w:left="71"/>
                          <w:rPr>
                            <w:sz w:val="20"/>
                          </w:rPr>
                        </w:pPr>
                        <w:r>
                          <w:rPr>
                            <w:sz w:val="20"/>
                          </w:rPr>
                          <w:t>Myristic Acid</w:t>
                        </w:r>
                      </w:p>
                    </w:tc>
                    <w:tc>
                      <w:tcPr>
                        <w:tcW w:w="961" w:type="dxa"/>
                      </w:tcPr>
                      <w:p>
                        <w:pPr>
                          <w:pStyle w:val="TableParagraph"/>
                          <w:spacing w:line="225" w:lineRule="exact"/>
                          <w:ind w:right="85"/>
                          <w:jc w:val="center"/>
                          <w:rPr>
                            <w:i/>
                            <w:sz w:val="20"/>
                          </w:rPr>
                        </w:pPr>
                        <w:r>
                          <w:rPr>
                            <w:i/>
                            <w:w w:val="100"/>
                            <w:sz w:val="20"/>
                          </w:rPr>
                          <w:t>l</w:t>
                        </w:r>
                      </w:p>
                    </w:tc>
                    <w:tc>
                      <w:tcPr>
                        <w:tcW w:w="955" w:type="dxa"/>
                      </w:tcPr>
                      <w:p>
                        <w:pPr>
                          <w:pStyle w:val="TableParagraph"/>
                          <w:spacing w:line="225" w:lineRule="exact"/>
                          <w:ind w:right="228"/>
                          <w:jc w:val="right"/>
                          <w:rPr>
                            <w:sz w:val="20"/>
                          </w:rPr>
                        </w:pPr>
                        <w:r>
                          <w:rPr>
                            <w:sz w:val="20"/>
                          </w:rPr>
                          <w:t>228.4</w:t>
                        </w:r>
                      </w:p>
                    </w:tc>
                    <w:tc>
                      <w:tcPr>
                        <w:tcW w:w="853" w:type="dxa"/>
                      </w:tcPr>
                      <w:p>
                        <w:pPr>
                          <w:pStyle w:val="TableParagraph"/>
                          <w:spacing w:line="225" w:lineRule="exact"/>
                          <w:ind w:right="165"/>
                          <w:jc w:val="right"/>
                          <w:rPr>
                            <w:sz w:val="20"/>
                          </w:rPr>
                        </w:pPr>
                        <w:r>
                          <w:rPr>
                            <w:sz w:val="20"/>
                          </w:rPr>
                          <w:t>179.1</w:t>
                        </w:r>
                      </w:p>
                    </w:tc>
                    <w:tc>
                      <w:tcPr>
                        <w:tcW w:w="787" w:type="dxa"/>
                      </w:tcPr>
                      <w:p>
                        <w:pPr>
                          <w:pStyle w:val="TableParagraph"/>
                          <w:spacing w:line="225" w:lineRule="exact"/>
                          <w:ind w:right="162"/>
                          <w:jc w:val="right"/>
                          <w:rPr>
                            <w:sz w:val="20"/>
                          </w:rPr>
                        </w:pPr>
                        <w:r>
                          <w:rPr>
                            <w:sz w:val="20"/>
                          </w:rPr>
                          <w:t>169.0</w:t>
                        </w:r>
                      </w:p>
                    </w:tc>
                    <w:tc>
                      <w:tcPr>
                        <w:tcW w:w="719" w:type="dxa"/>
                      </w:tcPr>
                      <w:p>
                        <w:pPr>
                          <w:pStyle w:val="TableParagraph"/>
                          <w:spacing w:line="225" w:lineRule="exact"/>
                          <w:ind w:right="98"/>
                          <w:jc w:val="right"/>
                          <w:rPr>
                            <w:sz w:val="20"/>
                          </w:rPr>
                        </w:pPr>
                        <w:r>
                          <w:rPr>
                            <w:sz w:val="20"/>
                          </w:rPr>
                          <w:t>181.2</w:t>
                        </w:r>
                      </w:p>
                    </w:tc>
                    <w:tc>
                      <w:tcPr>
                        <w:tcW w:w="691" w:type="dxa"/>
                      </w:tcPr>
                      <w:p>
                        <w:pPr>
                          <w:pStyle w:val="TableParagraph"/>
                          <w:spacing w:line="225" w:lineRule="exact"/>
                          <w:ind w:right="132"/>
                          <w:jc w:val="right"/>
                          <w:rPr>
                            <w:sz w:val="20"/>
                          </w:rPr>
                        </w:pPr>
                        <w:r>
                          <w:rPr>
                            <w:sz w:val="20"/>
                          </w:rPr>
                          <w:t>67.9</w:t>
                        </w:r>
                      </w:p>
                    </w:tc>
                    <w:tc>
                      <w:tcPr>
                        <w:tcW w:w="519" w:type="dxa"/>
                      </w:tcPr>
                      <w:p>
                        <w:pPr>
                          <w:pStyle w:val="TableParagraph"/>
                          <w:spacing w:line="225" w:lineRule="exact"/>
                          <w:ind w:left="183" w:right="44"/>
                          <w:jc w:val="center"/>
                          <w:rPr>
                            <w:sz w:val="20"/>
                          </w:rPr>
                        </w:pPr>
                        <w:r>
                          <w:rPr>
                            <w:sz w:val="20"/>
                          </w:rPr>
                          <w:t>5.5</w:t>
                        </w:r>
                      </w:p>
                    </w:tc>
                  </w:tr>
                  <w:tr>
                    <w:trPr>
                      <w:trHeight w:val="259" w:hRule="exact"/>
                    </w:trPr>
                    <w:tc>
                      <w:tcPr>
                        <w:tcW w:w="3500" w:type="dxa"/>
                      </w:tcPr>
                      <w:p>
                        <w:pPr>
                          <w:pStyle w:val="TableParagraph"/>
                          <w:spacing w:before="11"/>
                          <w:ind w:left="71"/>
                          <w:rPr>
                            <w:sz w:val="20"/>
                          </w:rPr>
                        </w:pPr>
                        <w:r>
                          <w:rPr>
                            <w:sz w:val="20"/>
                          </w:rPr>
                          <w:t>Myristoleic Acid</w:t>
                        </w:r>
                      </w:p>
                    </w:tc>
                    <w:tc>
                      <w:tcPr>
                        <w:tcW w:w="961" w:type="dxa"/>
                      </w:tcPr>
                      <w:p>
                        <w:pPr>
                          <w:pStyle w:val="TableParagraph"/>
                          <w:spacing w:line="227" w:lineRule="exact"/>
                          <w:ind w:right="80"/>
                          <w:jc w:val="center"/>
                          <w:rPr>
                            <w:i/>
                            <w:sz w:val="20"/>
                          </w:rPr>
                        </w:pPr>
                        <w:r>
                          <w:rPr>
                            <w:i/>
                            <w:w w:val="100"/>
                            <w:sz w:val="20"/>
                          </w:rPr>
                          <w:t>c</w:t>
                        </w:r>
                      </w:p>
                    </w:tc>
                    <w:tc>
                      <w:tcPr>
                        <w:tcW w:w="955" w:type="dxa"/>
                      </w:tcPr>
                      <w:p>
                        <w:pPr>
                          <w:pStyle w:val="TableParagraph"/>
                          <w:spacing w:line="227" w:lineRule="exact"/>
                          <w:ind w:right="228"/>
                          <w:jc w:val="right"/>
                          <w:rPr>
                            <w:sz w:val="20"/>
                          </w:rPr>
                        </w:pPr>
                        <w:r>
                          <w:rPr>
                            <w:sz w:val="20"/>
                          </w:rPr>
                          <w:t>226.4</w:t>
                        </w:r>
                      </w:p>
                    </w:tc>
                    <w:tc>
                      <w:tcPr>
                        <w:tcW w:w="853" w:type="dxa"/>
                      </w:tcPr>
                      <w:p>
                        <w:pPr>
                          <w:pStyle w:val="TableParagraph"/>
                          <w:spacing w:line="227" w:lineRule="exact"/>
                          <w:ind w:right="165"/>
                          <w:jc w:val="right"/>
                          <w:rPr>
                            <w:sz w:val="20"/>
                          </w:rPr>
                        </w:pPr>
                        <w:r>
                          <w:rPr>
                            <w:sz w:val="20"/>
                          </w:rPr>
                          <w:t>172.1</w:t>
                        </w:r>
                      </w:p>
                    </w:tc>
                    <w:tc>
                      <w:tcPr>
                        <w:tcW w:w="787" w:type="dxa"/>
                      </w:tcPr>
                      <w:p>
                        <w:pPr>
                          <w:pStyle w:val="TableParagraph"/>
                          <w:spacing w:line="227" w:lineRule="exact"/>
                          <w:ind w:right="162"/>
                          <w:jc w:val="right"/>
                          <w:rPr>
                            <w:sz w:val="20"/>
                          </w:rPr>
                        </w:pPr>
                        <w:r>
                          <w:rPr>
                            <w:sz w:val="20"/>
                          </w:rPr>
                          <w:t>162.0</w:t>
                        </w:r>
                      </w:p>
                    </w:tc>
                    <w:tc>
                      <w:tcPr>
                        <w:tcW w:w="719" w:type="dxa"/>
                      </w:tcPr>
                      <w:p>
                        <w:pPr>
                          <w:pStyle w:val="TableParagraph"/>
                          <w:spacing w:line="227" w:lineRule="exact"/>
                          <w:ind w:right="98"/>
                          <w:jc w:val="right"/>
                          <w:rPr>
                            <w:sz w:val="20"/>
                          </w:rPr>
                        </w:pPr>
                        <w:r>
                          <w:rPr>
                            <w:sz w:val="20"/>
                          </w:rPr>
                          <w:t>174.2</w:t>
                        </w:r>
                      </w:p>
                    </w:tc>
                    <w:tc>
                      <w:tcPr>
                        <w:tcW w:w="691" w:type="dxa"/>
                      </w:tcPr>
                      <w:p>
                        <w:pPr>
                          <w:pStyle w:val="TableParagraph"/>
                          <w:spacing w:line="227" w:lineRule="exact"/>
                          <w:ind w:right="132"/>
                          <w:jc w:val="right"/>
                          <w:rPr>
                            <w:sz w:val="20"/>
                          </w:rPr>
                        </w:pPr>
                        <w:r>
                          <w:rPr>
                            <w:sz w:val="20"/>
                          </w:rPr>
                          <w:t>69.0</w:t>
                        </w:r>
                      </w:p>
                    </w:tc>
                    <w:tc>
                      <w:tcPr>
                        <w:tcW w:w="519" w:type="dxa"/>
                      </w:tcPr>
                      <w:p>
                        <w:pPr>
                          <w:pStyle w:val="TableParagraph"/>
                          <w:spacing w:line="227" w:lineRule="exact"/>
                          <w:ind w:left="183" w:right="44"/>
                          <w:jc w:val="center"/>
                          <w:rPr>
                            <w:sz w:val="20"/>
                          </w:rPr>
                        </w:pPr>
                        <w:r>
                          <w:rPr>
                            <w:sz w:val="20"/>
                          </w:rPr>
                          <w:t>5.0</w:t>
                        </w:r>
                      </w:p>
                    </w:tc>
                  </w:tr>
                  <w:tr>
                    <w:trPr>
                      <w:trHeight w:val="259" w:hRule="exact"/>
                    </w:trPr>
                    <w:tc>
                      <w:tcPr>
                        <w:tcW w:w="3500" w:type="dxa"/>
                      </w:tcPr>
                      <w:p>
                        <w:pPr>
                          <w:pStyle w:val="TableParagraph"/>
                          <w:spacing w:before="11"/>
                          <w:ind w:left="71"/>
                          <w:rPr>
                            <w:sz w:val="20"/>
                          </w:rPr>
                        </w:pPr>
                        <w:r>
                          <w:rPr>
                            <w:sz w:val="20"/>
                          </w:rPr>
                          <w:t>Pentadecanoic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242.5</w:t>
                        </w:r>
                      </w:p>
                    </w:tc>
                    <w:tc>
                      <w:tcPr>
                        <w:tcW w:w="853" w:type="dxa"/>
                      </w:tcPr>
                      <w:p>
                        <w:pPr>
                          <w:pStyle w:val="TableParagraph"/>
                          <w:spacing w:line="227" w:lineRule="exact"/>
                          <w:ind w:right="165"/>
                          <w:jc w:val="right"/>
                          <w:rPr>
                            <w:sz w:val="20"/>
                          </w:rPr>
                        </w:pPr>
                        <w:r>
                          <w:rPr>
                            <w:sz w:val="20"/>
                          </w:rPr>
                          <w:t>202.0</w:t>
                        </w:r>
                      </w:p>
                    </w:tc>
                    <w:tc>
                      <w:tcPr>
                        <w:tcW w:w="787" w:type="dxa"/>
                      </w:tcPr>
                      <w:p>
                        <w:pPr>
                          <w:pStyle w:val="TableParagraph"/>
                          <w:spacing w:line="227" w:lineRule="exact"/>
                          <w:ind w:right="160"/>
                          <w:jc w:val="right"/>
                          <w:rPr>
                            <w:sz w:val="20"/>
                          </w:rPr>
                        </w:pPr>
                        <w:r>
                          <w:rPr>
                            <w:sz w:val="20"/>
                          </w:rPr>
                          <w:t>191.8</w:t>
                        </w:r>
                      </w:p>
                    </w:tc>
                    <w:tc>
                      <w:tcPr>
                        <w:tcW w:w="719" w:type="dxa"/>
                      </w:tcPr>
                      <w:p>
                        <w:pPr>
                          <w:pStyle w:val="TableParagraph"/>
                          <w:spacing w:line="227" w:lineRule="exact"/>
                          <w:ind w:right="98"/>
                          <w:jc w:val="right"/>
                          <w:rPr>
                            <w:sz w:val="20"/>
                          </w:rPr>
                        </w:pPr>
                        <w:r>
                          <w:rPr>
                            <w:sz w:val="20"/>
                          </w:rPr>
                          <w:t>204.1</w:t>
                        </w:r>
                      </w:p>
                    </w:tc>
                    <w:tc>
                      <w:tcPr>
                        <w:tcW w:w="691" w:type="dxa"/>
                      </w:tcPr>
                      <w:p>
                        <w:pPr>
                          <w:pStyle w:val="TableParagraph"/>
                          <w:spacing w:line="227" w:lineRule="exact"/>
                          <w:ind w:right="132"/>
                          <w:jc w:val="right"/>
                          <w:rPr>
                            <w:sz w:val="20"/>
                          </w:rPr>
                        </w:pPr>
                        <w:r>
                          <w:rPr>
                            <w:sz w:val="20"/>
                          </w:rPr>
                          <w:t>72.5</w:t>
                        </w:r>
                      </w:p>
                    </w:tc>
                    <w:tc>
                      <w:tcPr>
                        <w:tcW w:w="519" w:type="dxa"/>
                      </w:tcPr>
                      <w:p>
                        <w:pPr>
                          <w:pStyle w:val="TableParagraph"/>
                          <w:spacing w:line="227" w:lineRule="exact"/>
                          <w:ind w:left="183" w:right="44"/>
                          <w:jc w:val="center"/>
                          <w:rPr>
                            <w:sz w:val="20"/>
                          </w:rPr>
                        </w:pPr>
                        <w:r>
                          <w:rPr>
                            <w:sz w:val="20"/>
                          </w:rPr>
                          <w:t>5.9</w:t>
                        </w:r>
                      </w:p>
                    </w:tc>
                  </w:tr>
                  <w:tr>
                    <w:trPr>
                      <w:trHeight w:val="257" w:hRule="exact"/>
                    </w:trPr>
                    <w:tc>
                      <w:tcPr>
                        <w:tcW w:w="3500" w:type="dxa"/>
                      </w:tcPr>
                      <w:p>
                        <w:pPr>
                          <w:pStyle w:val="TableParagraph"/>
                          <w:spacing w:before="11"/>
                          <w:ind w:left="71"/>
                          <w:rPr>
                            <w:sz w:val="20"/>
                          </w:rPr>
                        </w:pPr>
                        <w:r>
                          <w:rPr>
                            <w:i/>
                            <w:sz w:val="20"/>
                          </w:rPr>
                          <w:t>cis</w:t>
                        </w:r>
                        <w:r>
                          <w:rPr>
                            <w:sz w:val="20"/>
                          </w:rPr>
                          <w:t>-10-Pentadecenoic acid</w:t>
                        </w:r>
                      </w:p>
                    </w:tc>
                    <w:tc>
                      <w:tcPr>
                        <w:tcW w:w="961" w:type="dxa"/>
                      </w:tcPr>
                      <w:p>
                        <w:pPr>
                          <w:pStyle w:val="TableParagraph"/>
                          <w:spacing w:line="227" w:lineRule="exact"/>
                          <w:ind w:right="80"/>
                          <w:jc w:val="center"/>
                          <w:rPr>
                            <w:i/>
                            <w:sz w:val="20"/>
                          </w:rPr>
                        </w:pPr>
                        <w:r>
                          <w:rPr>
                            <w:i/>
                            <w:w w:val="100"/>
                            <w:sz w:val="20"/>
                          </w:rPr>
                          <w:t>c</w:t>
                        </w:r>
                      </w:p>
                    </w:tc>
                    <w:tc>
                      <w:tcPr>
                        <w:tcW w:w="955" w:type="dxa"/>
                      </w:tcPr>
                      <w:p>
                        <w:pPr>
                          <w:pStyle w:val="TableParagraph"/>
                          <w:spacing w:line="227" w:lineRule="exact"/>
                          <w:ind w:right="228"/>
                          <w:jc w:val="right"/>
                          <w:rPr>
                            <w:sz w:val="20"/>
                          </w:rPr>
                        </w:pPr>
                        <w:r>
                          <w:rPr>
                            <w:sz w:val="20"/>
                          </w:rPr>
                          <w:t>240.4</w:t>
                        </w:r>
                      </w:p>
                    </w:tc>
                    <w:tc>
                      <w:tcPr>
                        <w:tcW w:w="853" w:type="dxa"/>
                      </w:tcPr>
                      <w:p>
                        <w:pPr>
                          <w:pStyle w:val="TableParagraph"/>
                          <w:spacing w:line="227" w:lineRule="exact"/>
                          <w:ind w:right="165"/>
                          <w:jc w:val="right"/>
                          <w:rPr>
                            <w:sz w:val="20"/>
                          </w:rPr>
                        </w:pPr>
                        <w:r>
                          <w:rPr>
                            <w:sz w:val="20"/>
                          </w:rPr>
                          <w:t>194.8</w:t>
                        </w:r>
                      </w:p>
                    </w:tc>
                    <w:tc>
                      <w:tcPr>
                        <w:tcW w:w="787" w:type="dxa"/>
                      </w:tcPr>
                      <w:p>
                        <w:pPr>
                          <w:pStyle w:val="TableParagraph"/>
                          <w:spacing w:line="227" w:lineRule="exact"/>
                          <w:ind w:right="162"/>
                          <w:jc w:val="right"/>
                          <w:rPr>
                            <w:sz w:val="20"/>
                          </w:rPr>
                        </w:pPr>
                        <w:r>
                          <w:rPr>
                            <w:sz w:val="20"/>
                          </w:rPr>
                          <w:t>184.5</w:t>
                        </w:r>
                      </w:p>
                    </w:tc>
                    <w:tc>
                      <w:tcPr>
                        <w:tcW w:w="719" w:type="dxa"/>
                      </w:tcPr>
                      <w:p>
                        <w:pPr>
                          <w:pStyle w:val="TableParagraph"/>
                          <w:spacing w:line="227" w:lineRule="exact"/>
                          <w:ind w:right="98"/>
                          <w:jc w:val="right"/>
                          <w:rPr>
                            <w:sz w:val="20"/>
                          </w:rPr>
                        </w:pPr>
                        <w:r>
                          <w:rPr>
                            <w:sz w:val="20"/>
                          </w:rPr>
                          <w:t>196.9</w:t>
                        </w:r>
                      </w:p>
                    </w:tc>
                    <w:tc>
                      <w:tcPr>
                        <w:tcW w:w="691" w:type="dxa"/>
                      </w:tcPr>
                      <w:p>
                        <w:pPr>
                          <w:pStyle w:val="TableParagraph"/>
                          <w:spacing w:line="227" w:lineRule="exact"/>
                          <w:ind w:right="132"/>
                          <w:jc w:val="right"/>
                          <w:rPr>
                            <w:sz w:val="20"/>
                          </w:rPr>
                        </w:pPr>
                        <w:r>
                          <w:rPr>
                            <w:sz w:val="20"/>
                          </w:rPr>
                          <w:t>73.6</w:t>
                        </w:r>
                      </w:p>
                    </w:tc>
                    <w:tc>
                      <w:tcPr>
                        <w:tcW w:w="519" w:type="dxa"/>
                      </w:tcPr>
                      <w:p>
                        <w:pPr>
                          <w:pStyle w:val="TableParagraph"/>
                          <w:spacing w:line="227" w:lineRule="exact"/>
                          <w:ind w:left="183" w:right="44"/>
                          <w:jc w:val="center"/>
                          <w:rPr>
                            <w:sz w:val="20"/>
                          </w:rPr>
                        </w:pPr>
                        <w:r>
                          <w:rPr>
                            <w:sz w:val="20"/>
                          </w:rPr>
                          <w:t>5.5</w:t>
                        </w:r>
                      </w:p>
                    </w:tc>
                  </w:tr>
                  <w:tr>
                    <w:trPr>
                      <w:trHeight w:val="257" w:hRule="exact"/>
                    </w:trPr>
                    <w:tc>
                      <w:tcPr>
                        <w:tcW w:w="3500" w:type="dxa"/>
                      </w:tcPr>
                      <w:p>
                        <w:pPr>
                          <w:pStyle w:val="TableParagraph"/>
                          <w:spacing w:before="9"/>
                          <w:ind w:left="71"/>
                          <w:rPr>
                            <w:sz w:val="20"/>
                          </w:rPr>
                        </w:pPr>
                        <w:r>
                          <w:rPr>
                            <w:sz w:val="20"/>
                          </w:rPr>
                          <w:t>Palmitic Acid</w:t>
                        </w:r>
                      </w:p>
                    </w:tc>
                    <w:tc>
                      <w:tcPr>
                        <w:tcW w:w="961" w:type="dxa"/>
                      </w:tcPr>
                      <w:p>
                        <w:pPr>
                          <w:pStyle w:val="TableParagraph"/>
                          <w:spacing w:line="225" w:lineRule="exact"/>
                          <w:ind w:right="85"/>
                          <w:jc w:val="center"/>
                          <w:rPr>
                            <w:i/>
                            <w:sz w:val="20"/>
                          </w:rPr>
                        </w:pPr>
                        <w:r>
                          <w:rPr>
                            <w:i/>
                            <w:w w:val="100"/>
                            <w:sz w:val="20"/>
                          </w:rPr>
                          <w:t>l</w:t>
                        </w:r>
                      </w:p>
                    </w:tc>
                    <w:tc>
                      <w:tcPr>
                        <w:tcW w:w="955" w:type="dxa"/>
                      </w:tcPr>
                      <w:p>
                        <w:pPr>
                          <w:pStyle w:val="TableParagraph"/>
                          <w:spacing w:line="225" w:lineRule="exact"/>
                          <w:ind w:right="228"/>
                          <w:jc w:val="right"/>
                          <w:rPr>
                            <w:sz w:val="20"/>
                          </w:rPr>
                        </w:pPr>
                        <w:r>
                          <w:rPr>
                            <w:sz w:val="20"/>
                          </w:rPr>
                          <w:t>256.5</w:t>
                        </w:r>
                      </w:p>
                    </w:tc>
                    <w:tc>
                      <w:tcPr>
                        <w:tcW w:w="853" w:type="dxa"/>
                      </w:tcPr>
                      <w:p>
                        <w:pPr>
                          <w:pStyle w:val="TableParagraph"/>
                          <w:spacing w:line="225" w:lineRule="exact"/>
                          <w:ind w:right="165"/>
                          <w:jc w:val="right"/>
                          <w:rPr>
                            <w:sz w:val="20"/>
                          </w:rPr>
                        </w:pPr>
                        <w:r>
                          <w:rPr>
                            <w:sz w:val="20"/>
                          </w:rPr>
                          <w:t>226.3</w:t>
                        </w:r>
                      </w:p>
                    </w:tc>
                    <w:tc>
                      <w:tcPr>
                        <w:tcW w:w="787" w:type="dxa"/>
                      </w:tcPr>
                      <w:p>
                        <w:pPr>
                          <w:pStyle w:val="TableParagraph"/>
                          <w:spacing w:line="225" w:lineRule="exact"/>
                          <w:ind w:right="162"/>
                          <w:jc w:val="right"/>
                          <w:rPr>
                            <w:sz w:val="20"/>
                          </w:rPr>
                        </w:pPr>
                        <w:r>
                          <w:rPr>
                            <w:sz w:val="20"/>
                          </w:rPr>
                          <w:t>216.0</w:t>
                        </w:r>
                      </w:p>
                    </w:tc>
                    <w:tc>
                      <w:tcPr>
                        <w:tcW w:w="719" w:type="dxa"/>
                      </w:tcPr>
                      <w:p>
                        <w:pPr>
                          <w:pStyle w:val="TableParagraph"/>
                          <w:spacing w:line="225" w:lineRule="exact"/>
                          <w:ind w:right="98"/>
                          <w:jc w:val="right"/>
                          <w:rPr>
                            <w:sz w:val="20"/>
                          </w:rPr>
                        </w:pPr>
                        <w:r>
                          <w:rPr>
                            <w:sz w:val="20"/>
                          </w:rPr>
                          <w:t>228.4</w:t>
                        </w:r>
                      </w:p>
                    </w:tc>
                    <w:tc>
                      <w:tcPr>
                        <w:tcW w:w="691" w:type="dxa"/>
                      </w:tcPr>
                      <w:p>
                        <w:pPr>
                          <w:pStyle w:val="TableParagraph"/>
                          <w:spacing w:line="225" w:lineRule="exact"/>
                          <w:ind w:right="132"/>
                          <w:jc w:val="right"/>
                          <w:rPr>
                            <w:sz w:val="20"/>
                          </w:rPr>
                        </w:pPr>
                        <w:r>
                          <w:rPr>
                            <w:sz w:val="20"/>
                          </w:rPr>
                          <w:t>77.1</w:t>
                        </w:r>
                      </w:p>
                    </w:tc>
                    <w:tc>
                      <w:tcPr>
                        <w:tcW w:w="519" w:type="dxa"/>
                      </w:tcPr>
                      <w:p>
                        <w:pPr>
                          <w:pStyle w:val="TableParagraph"/>
                          <w:spacing w:line="225" w:lineRule="exact"/>
                          <w:ind w:left="183" w:right="44"/>
                          <w:jc w:val="center"/>
                          <w:rPr>
                            <w:sz w:val="20"/>
                          </w:rPr>
                        </w:pPr>
                        <w:r>
                          <w:rPr>
                            <w:sz w:val="20"/>
                          </w:rPr>
                          <w:t>6.4</w:t>
                        </w:r>
                      </w:p>
                    </w:tc>
                  </w:tr>
                  <w:tr>
                    <w:trPr>
                      <w:trHeight w:val="260" w:hRule="exact"/>
                    </w:trPr>
                    <w:tc>
                      <w:tcPr>
                        <w:tcW w:w="3500" w:type="dxa"/>
                      </w:tcPr>
                      <w:p>
                        <w:pPr>
                          <w:pStyle w:val="TableParagraph"/>
                          <w:spacing w:before="11"/>
                          <w:ind w:left="71"/>
                          <w:rPr>
                            <w:sz w:val="20"/>
                          </w:rPr>
                        </w:pPr>
                        <w:r>
                          <w:rPr>
                            <w:sz w:val="20"/>
                          </w:rPr>
                          <w:t>Palmitoleic Acid</w:t>
                        </w:r>
                      </w:p>
                    </w:tc>
                    <w:tc>
                      <w:tcPr>
                        <w:tcW w:w="961" w:type="dxa"/>
                      </w:tcPr>
                      <w:p>
                        <w:pPr>
                          <w:pStyle w:val="TableParagraph"/>
                          <w:spacing w:line="227" w:lineRule="exact"/>
                          <w:ind w:right="80"/>
                          <w:jc w:val="center"/>
                          <w:rPr>
                            <w:i/>
                            <w:sz w:val="20"/>
                          </w:rPr>
                        </w:pPr>
                        <w:r>
                          <w:rPr>
                            <w:i/>
                            <w:w w:val="100"/>
                            <w:sz w:val="20"/>
                          </w:rPr>
                          <w:t>c</w:t>
                        </w:r>
                      </w:p>
                    </w:tc>
                    <w:tc>
                      <w:tcPr>
                        <w:tcW w:w="955" w:type="dxa"/>
                      </w:tcPr>
                      <w:p>
                        <w:pPr>
                          <w:pStyle w:val="TableParagraph"/>
                          <w:spacing w:line="227" w:lineRule="exact"/>
                          <w:ind w:right="228"/>
                          <w:jc w:val="right"/>
                          <w:rPr>
                            <w:sz w:val="20"/>
                          </w:rPr>
                        </w:pPr>
                        <w:r>
                          <w:rPr>
                            <w:sz w:val="20"/>
                          </w:rPr>
                          <w:t>254.5</w:t>
                        </w:r>
                      </w:p>
                    </w:tc>
                    <w:tc>
                      <w:tcPr>
                        <w:tcW w:w="853" w:type="dxa"/>
                      </w:tcPr>
                      <w:p>
                        <w:pPr>
                          <w:pStyle w:val="TableParagraph"/>
                          <w:spacing w:line="227" w:lineRule="exact"/>
                          <w:ind w:right="165"/>
                          <w:jc w:val="right"/>
                          <w:rPr>
                            <w:sz w:val="20"/>
                          </w:rPr>
                        </w:pPr>
                        <w:r>
                          <w:rPr>
                            <w:sz w:val="20"/>
                          </w:rPr>
                          <w:t>217.9</w:t>
                        </w:r>
                      </w:p>
                    </w:tc>
                    <w:tc>
                      <w:tcPr>
                        <w:tcW w:w="787" w:type="dxa"/>
                      </w:tcPr>
                      <w:p>
                        <w:pPr>
                          <w:pStyle w:val="TableParagraph"/>
                          <w:spacing w:line="227" w:lineRule="exact"/>
                          <w:ind w:right="162"/>
                          <w:jc w:val="right"/>
                          <w:rPr>
                            <w:sz w:val="20"/>
                          </w:rPr>
                        </w:pPr>
                        <w:r>
                          <w:rPr>
                            <w:sz w:val="20"/>
                          </w:rPr>
                          <w:t>207.6</w:t>
                        </w:r>
                      </w:p>
                    </w:tc>
                    <w:tc>
                      <w:tcPr>
                        <w:tcW w:w="719" w:type="dxa"/>
                      </w:tcPr>
                      <w:p>
                        <w:pPr>
                          <w:pStyle w:val="TableParagraph"/>
                          <w:spacing w:line="227" w:lineRule="exact"/>
                          <w:ind w:right="98"/>
                          <w:jc w:val="right"/>
                          <w:rPr>
                            <w:sz w:val="20"/>
                          </w:rPr>
                        </w:pPr>
                        <w:r>
                          <w:rPr>
                            <w:sz w:val="20"/>
                          </w:rPr>
                          <w:t>220.1</w:t>
                        </w:r>
                      </w:p>
                    </w:tc>
                    <w:tc>
                      <w:tcPr>
                        <w:tcW w:w="691" w:type="dxa"/>
                      </w:tcPr>
                      <w:p>
                        <w:pPr>
                          <w:pStyle w:val="TableParagraph"/>
                          <w:spacing w:line="227" w:lineRule="exact"/>
                          <w:ind w:right="132"/>
                          <w:jc w:val="right"/>
                          <w:rPr>
                            <w:sz w:val="20"/>
                          </w:rPr>
                        </w:pPr>
                        <w:r>
                          <w:rPr>
                            <w:sz w:val="20"/>
                          </w:rPr>
                          <w:t>78.2</w:t>
                        </w:r>
                      </w:p>
                    </w:tc>
                    <w:tc>
                      <w:tcPr>
                        <w:tcW w:w="519" w:type="dxa"/>
                      </w:tcPr>
                      <w:p>
                        <w:pPr>
                          <w:pStyle w:val="TableParagraph"/>
                          <w:spacing w:line="227" w:lineRule="exact"/>
                          <w:ind w:left="183" w:right="44"/>
                          <w:jc w:val="center"/>
                          <w:rPr>
                            <w:sz w:val="20"/>
                          </w:rPr>
                        </w:pPr>
                        <w:r>
                          <w:rPr>
                            <w:sz w:val="20"/>
                          </w:rPr>
                          <w:t>5.9</w:t>
                        </w:r>
                      </w:p>
                    </w:tc>
                  </w:tr>
                  <w:tr>
                    <w:trPr>
                      <w:trHeight w:val="260" w:hRule="exact"/>
                    </w:trPr>
                    <w:tc>
                      <w:tcPr>
                        <w:tcW w:w="3500" w:type="dxa"/>
                      </w:tcPr>
                      <w:p>
                        <w:pPr>
                          <w:pStyle w:val="TableParagraph"/>
                          <w:spacing w:before="12"/>
                          <w:ind w:left="71"/>
                          <w:rPr>
                            <w:sz w:val="20"/>
                          </w:rPr>
                        </w:pPr>
                        <w:r>
                          <w:rPr>
                            <w:sz w:val="20"/>
                          </w:rPr>
                          <w:t>Heptadecanoic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270.5</w:t>
                        </w:r>
                      </w:p>
                    </w:tc>
                    <w:tc>
                      <w:tcPr>
                        <w:tcW w:w="853" w:type="dxa"/>
                      </w:tcPr>
                      <w:p>
                        <w:pPr>
                          <w:pStyle w:val="TableParagraph"/>
                          <w:spacing w:line="227" w:lineRule="exact"/>
                          <w:ind w:right="165"/>
                          <w:jc w:val="right"/>
                          <w:rPr>
                            <w:sz w:val="20"/>
                          </w:rPr>
                        </w:pPr>
                        <w:r>
                          <w:rPr>
                            <w:sz w:val="20"/>
                          </w:rPr>
                          <w:t>252.0</w:t>
                        </w:r>
                      </w:p>
                    </w:tc>
                    <w:tc>
                      <w:tcPr>
                        <w:tcW w:w="787" w:type="dxa"/>
                      </w:tcPr>
                      <w:p>
                        <w:pPr>
                          <w:pStyle w:val="TableParagraph"/>
                          <w:spacing w:line="227" w:lineRule="exact"/>
                          <w:ind w:right="162"/>
                          <w:jc w:val="right"/>
                          <w:rPr>
                            <w:sz w:val="20"/>
                          </w:rPr>
                        </w:pPr>
                        <w:r>
                          <w:rPr>
                            <w:sz w:val="20"/>
                          </w:rPr>
                          <w:t>241.6</w:t>
                        </w:r>
                      </w:p>
                    </w:tc>
                    <w:tc>
                      <w:tcPr>
                        <w:tcW w:w="719" w:type="dxa"/>
                      </w:tcPr>
                      <w:p>
                        <w:pPr>
                          <w:pStyle w:val="TableParagraph"/>
                          <w:spacing w:line="227" w:lineRule="exact"/>
                          <w:ind w:right="98"/>
                          <w:jc w:val="right"/>
                          <w:rPr>
                            <w:sz w:val="20"/>
                          </w:rPr>
                        </w:pPr>
                        <w:r>
                          <w:rPr>
                            <w:sz w:val="20"/>
                          </w:rPr>
                          <w:t>254.1</w:t>
                        </w:r>
                      </w:p>
                    </w:tc>
                    <w:tc>
                      <w:tcPr>
                        <w:tcW w:w="691" w:type="dxa"/>
                      </w:tcPr>
                      <w:p>
                        <w:pPr>
                          <w:pStyle w:val="TableParagraph"/>
                          <w:spacing w:line="227" w:lineRule="exact"/>
                          <w:ind w:right="132"/>
                          <w:jc w:val="right"/>
                          <w:rPr>
                            <w:sz w:val="20"/>
                          </w:rPr>
                        </w:pPr>
                        <w:r>
                          <w:rPr>
                            <w:sz w:val="20"/>
                          </w:rPr>
                          <w:t>81.7</w:t>
                        </w:r>
                      </w:p>
                    </w:tc>
                    <w:tc>
                      <w:tcPr>
                        <w:tcW w:w="519" w:type="dxa"/>
                      </w:tcPr>
                      <w:p>
                        <w:pPr>
                          <w:pStyle w:val="TableParagraph"/>
                          <w:spacing w:line="227" w:lineRule="exact"/>
                          <w:ind w:left="183" w:right="44"/>
                          <w:jc w:val="center"/>
                          <w:rPr>
                            <w:sz w:val="20"/>
                          </w:rPr>
                        </w:pPr>
                        <w:r>
                          <w:rPr>
                            <w:sz w:val="20"/>
                          </w:rPr>
                          <w:t>6.8</w:t>
                        </w:r>
                      </w:p>
                    </w:tc>
                  </w:tr>
                  <w:tr>
                    <w:trPr>
                      <w:trHeight w:val="252" w:hRule="exact"/>
                    </w:trPr>
                    <w:tc>
                      <w:tcPr>
                        <w:tcW w:w="3500" w:type="dxa"/>
                      </w:tcPr>
                      <w:p>
                        <w:pPr>
                          <w:pStyle w:val="TableParagraph"/>
                          <w:spacing w:before="11"/>
                          <w:ind w:left="71"/>
                          <w:rPr>
                            <w:sz w:val="20"/>
                          </w:rPr>
                        </w:pPr>
                        <w:r>
                          <w:rPr>
                            <w:sz w:val="20"/>
                          </w:rPr>
                          <w:t>Stearic acid </w:t>
                        </w:r>
                        <w:r>
                          <w:rPr>
                            <w:i/>
                            <w:sz w:val="20"/>
                          </w:rPr>
                          <w:t>cis</w:t>
                        </w:r>
                        <w:r>
                          <w:rPr>
                            <w:sz w:val="20"/>
                          </w:rPr>
                          <w:t>-10-Heptadecenoic acid</w:t>
                        </w:r>
                      </w:p>
                    </w:tc>
                    <w:tc>
                      <w:tcPr>
                        <w:tcW w:w="961" w:type="dxa"/>
                      </w:tcPr>
                      <w:p>
                        <w:pPr>
                          <w:pStyle w:val="TableParagraph"/>
                          <w:spacing w:line="227" w:lineRule="exact"/>
                          <w:ind w:right="80"/>
                          <w:jc w:val="center"/>
                          <w:rPr>
                            <w:i/>
                            <w:sz w:val="20"/>
                          </w:rPr>
                        </w:pPr>
                        <w:r>
                          <w:rPr>
                            <w:i/>
                            <w:w w:val="100"/>
                            <w:sz w:val="20"/>
                          </w:rPr>
                          <w:t>c</w:t>
                        </w:r>
                      </w:p>
                    </w:tc>
                    <w:tc>
                      <w:tcPr>
                        <w:tcW w:w="955" w:type="dxa"/>
                      </w:tcPr>
                      <w:p>
                        <w:pPr>
                          <w:pStyle w:val="TableParagraph"/>
                          <w:spacing w:line="227" w:lineRule="exact"/>
                          <w:ind w:right="228"/>
                          <w:jc w:val="right"/>
                          <w:rPr>
                            <w:sz w:val="20"/>
                          </w:rPr>
                        </w:pPr>
                        <w:r>
                          <w:rPr>
                            <w:sz w:val="20"/>
                          </w:rPr>
                          <w:t>268.5</w:t>
                        </w:r>
                      </w:p>
                    </w:tc>
                    <w:tc>
                      <w:tcPr>
                        <w:tcW w:w="853" w:type="dxa"/>
                      </w:tcPr>
                      <w:p>
                        <w:pPr>
                          <w:pStyle w:val="TableParagraph"/>
                          <w:spacing w:line="227" w:lineRule="exact"/>
                          <w:ind w:right="165"/>
                          <w:jc w:val="right"/>
                          <w:rPr>
                            <w:sz w:val="20"/>
                          </w:rPr>
                        </w:pPr>
                        <w:r>
                          <w:rPr>
                            <w:sz w:val="20"/>
                          </w:rPr>
                          <w:t>243.2</w:t>
                        </w:r>
                      </w:p>
                    </w:tc>
                    <w:tc>
                      <w:tcPr>
                        <w:tcW w:w="787" w:type="dxa"/>
                      </w:tcPr>
                      <w:p>
                        <w:pPr>
                          <w:pStyle w:val="TableParagraph"/>
                          <w:spacing w:line="227" w:lineRule="exact"/>
                          <w:ind w:right="162"/>
                          <w:jc w:val="right"/>
                          <w:rPr>
                            <w:sz w:val="20"/>
                          </w:rPr>
                        </w:pPr>
                        <w:r>
                          <w:rPr>
                            <w:sz w:val="20"/>
                          </w:rPr>
                          <w:t>232.8</w:t>
                        </w:r>
                      </w:p>
                    </w:tc>
                    <w:tc>
                      <w:tcPr>
                        <w:tcW w:w="719" w:type="dxa"/>
                      </w:tcPr>
                      <w:p>
                        <w:pPr>
                          <w:pStyle w:val="TableParagraph"/>
                          <w:spacing w:line="227" w:lineRule="exact"/>
                          <w:ind w:right="98"/>
                          <w:jc w:val="right"/>
                          <w:rPr>
                            <w:sz w:val="20"/>
                          </w:rPr>
                        </w:pPr>
                        <w:r>
                          <w:rPr>
                            <w:sz w:val="20"/>
                          </w:rPr>
                          <w:t>245.4</w:t>
                        </w:r>
                      </w:p>
                    </w:tc>
                    <w:tc>
                      <w:tcPr>
                        <w:tcW w:w="691" w:type="dxa"/>
                      </w:tcPr>
                      <w:p>
                        <w:pPr>
                          <w:pStyle w:val="TableParagraph"/>
                          <w:spacing w:line="227" w:lineRule="exact"/>
                          <w:ind w:right="132"/>
                          <w:jc w:val="right"/>
                          <w:rPr>
                            <w:sz w:val="20"/>
                          </w:rPr>
                        </w:pPr>
                        <w:r>
                          <w:rPr>
                            <w:sz w:val="20"/>
                          </w:rPr>
                          <w:t>82.8</w:t>
                        </w:r>
                      </w:p>
                    </w:tc>
                    <w:tc>
                      <w:tcPr>
                        <w:tcW w:w="519" w:type="dxa"/>
                      </w:tcPr>
                      <w:p>
                        <w:pPr>
                          <w:pStyle w:val="TableParagraph"/>
                          <w:spacing w:line="227" w:lineRule="exact"/>
                          <w:ind w:left="183" w:right="44"/>
                          <w:jc w:val="center"/>
                          <w:rPr>
                            <w:sz w:val="20"/>
                          </w:rPr>
                        </w:pPr>
                        <w:r>
                          <w:rPr>
                            <w:sz w:val="20"/>
                          </w:rPr>
                          <w:t>6.4</w:t>
                        </w:r>
                      </w:p>
                    </w:tc>
                  </w:tr>
                  <w:tr>
                    <w:trPr>
                      <w:trHeight w:val="235" w:hRule="exact"/>
                    </w:trPr>
                    <w:tc>
                      <w:tcPr>
                        <w:tcW w:w="3500" w:type="dxa"/>
                      </w:tcPr>
                      <w:p>
                        <w:pPr>
                          <w:pStyle w:val="TableParagraph"/>
                          <w:spacing w:line="220" w:lineRule="exact"/>
                          <w:ind w:left="71"/>
                          <w:rPr>
                            <w:sz w:val="20"/>
                          </w:rPr>
                        </w:pPr>
                        <w:r>
                          <w:rPr>
                            <w:sz w:val="20"/>
                          </w:rPr>
                          <w:t>Stearic acid</w:t>
                        </w:r>
                      </w:p>
                    </w:tc>
                    <w:tc>
                      <w:tcPr>
                        <w:tcW w:w="961" w:type="dxa"/>
                      </w:tcPr>
                      <w:p>
                        <w:pPr>
                          <w:pStyle w:val="TableParagraph"/>
                          <w:spacing w:line="220" w:lineRule="exact"/>
                          <w:ind w:right="85"/>
                          <w:jc w:val="center"/>
                          <w:rPr>
                            <w:i/>
                            <w:sz w:val="20"/>
                          </w:rPr>
                        </w:pPr>
                        <w:r>
                          <w:rPr>
                            <w:i/>
                            <w:w w:val="100"/>
                            <w:sz w:val="20"/>
                          </w:rPr>
                          <w:t>l</w:t>
                        </w:r>
                      </w:p>
                    </w:tc>
                    <w:tc>
                      <w:tcPr>
                        <w:tcW w:w="955" w:type="dxa"/>
                      </w:tcPr>
                      <w:p>
                        <w:pPr>
                          <w:pStyle w:val="TableParagraph"/>
                          <w:spacing w:line="220" w:lineRule="exact"/>
                          <w:ind w:right="228"/>
                          <w:jc w:val="right"/>
                          <w:rPr>
                            <w:sz w:val="20"/>
                          </w:rPr>
                        </w:pPr>
                        <w:r>
                          <w:rPr>
                            <w:sz w:val="20"/>
                          </w:rPr>
                          <w:t>284.5</w:t>
                        </w:r>
                      </w:p>
                    </w:tc>
                    <w:tc>
                      <w:tcPr>
                        <w:tcW w:w="853" w:type="dxa"/>
                      </w:tcPr>
                      <w:p>
                        <w:pPr>
                          <w:pStyle w:val="TableParagraph"/>
                          <w:spacing w:line="220" w:lineRule="exact"/>
                          <w:ind w:right="165"/>
                          <w:jc w:val="right"/>
                          <w:rPr>
                            <w:sz w:val="20"/>
                          </w:rPr>
                        </w:pPr>
                        <w:r>
                          <w:rPr>
                            <w:sz w:val="20"/>
                          </w:rPr>
                          <w:t>279.1</w:t>
                        </w:r>
                      </w:p>
                    </w:tc>
                    <w:tc>
                      <w:tcPr>
                        <w:tcW w:w="787" w:type="dxa"/>
                      </w:tcPr>
                      <w:p>
                        <w:pPr>
                          <w:pStyle w:val="TableParagraph"/>
                          <w:spacing w:line="220" w:lineRule="exact"/>
                          <w:ind w:right="162"/>
                          <w:jc w:val="right"/>
                          <w:rPr>
                            <w:sz w:val="20"/>
                          </w:rPr>
                        </w:pPr>
                        <w:r>
                          <w:rPr>
                            <w:sz w:val="20"/>
                          </w:rPr>
                          <w:t>268.6</w:t>
                        </w:r>
                      </w:p>
                    </w:tc>
                    <w:tc>
                      <w:tcPr>
                        <w:tcW w:w="719" w:type="dxa"/>
                      </w:tcPr>
                      <w:p>
                        <w:pPr>
                          <w:pStyle w:val="TableParagraph"/>
                          <w:spacing w:line="220" w:lineRule="exact"/>
                          <w:ind w:right="98"/>
                          <w:jc w:val="right"/>
                          <w:rPr>
                            <w:sz w:val="20"/>
                          </w:rPr>
                        </w:pPr>
                        <w:r>
                          <w:rPr>
                            <w:sz w:val="20"/>
                          </w:rPr>
                          <w:t>281.2</w:t>
                        </w:r>
                      </w:p>
                    </w:tc>
                    <w:tc>
                      <w:tcPr>
                        <w:tcW w:w="691" w:type="dxa"/>
                      </w:tcPr>
                      <w:p>
                        <w:pPr>
                          <w:pStyle w:val="TableParagraph"/>
                          <w:spacing w:line="220" w:lineRule="exact"/>
                          <w:ind w:right="132"/>
                          <w:jc w:val="right"/>
                          <w:rPr>
                            <w:sz w:val="20"/>
                          </w:rPr>
                        </w:pPr>
                        <w:r>
                          <w:rPr>
                            <w:sz w:val="20"/>
                          </w:rPr>
                          <w:t>86.3</w:t>
                        </w:r>
                      </w:p>
                    </w:tc>
                    <w:tc>
                      <w:tcPr>
                        <w:tcW w:w="519" w:type="dxa"/>
                      </w:tcPr>
                      <w:p>
                        <w:pPr>
                          <w:pStyle w:val="TableParagraph"/>
                          <w:spacing w:line="220" w:lineRule="exact"/>
                          <w:ind w:left="183" w:right="44"/>
                          <w:jc w:val="center"/>
                          <w:rPr>
                            <w:sz w:val="20"/>
                          </w:rPr>
                        </w:pPr>
                        <w:r>
                          <w:rPr>
                            <w:sz w:val="20"/>
                          </w:rPr>
                          <w:t>7.3</w:t>
                        </w:r>
                      </w:p>
                    </w:tc>
                  </w:tr>
                  <w:tr>
                    <w:trPr>
                      <w:trHeight w:val="257" w:hRule="exact"/>
                    </w:trPr>
                    <w:tc>
                      <w:tcPr>
                        <w:tcW w:w="3500" w:type="dxa"/>
                      </w:tcPr>
                      <w:p>
                        <w:pPr>
                          <w:pStyle w:val="TableParagraph"/>
                          <w:spacing w:before="9"/>
                          <w:ind w:left="71"/>
                          <w:rPr>
                            <w:sz w:val="20"/>
                          </w:rPr>
                        </w:pPr>
                        <w:r>
                          <w:rPr>
                            <w:sz w:val="20"/>
                          </w:rPr>
                          <w:t>Elaidic acid</w:t>
                        </w:r>
                      </w:p>
                    </w:tc>
                    <w:tc>
                      <w:tcPr>
                        <w:tcW w:w="961" w:type="dxa"/>
                      </w:tcPr>
                      <w:p>
                        <w:pPr>
                          <w:pStyle w:val="TableParagraph"/>
                          <w:spacing w:line="225" w:lineRule="exact"/>
                          <w:ind w:right="85"/>
                          <w:jc w:val="center"/>
                          <w:rPr>
                            <w:i/>
                            <w:sz w:val="20"/>
                          </w:rPr>
                        </w:pPr>
                        <w:r>
                          <w:rPr>
                            <w:i/>
                            <w:w w:val="100"/>
                            <w:sz w:val="20"/>
                          </w:rPr>
                          <w:t>t</w:t>
                        </w:r>
                      </w:p>
                    </w:tc>
                    <w:tc>
                      <w:tcPr>
                        <w:tcW w:w="955" w:type="dxa"/>
                      </w:tcPr>
                      <w:p>
                        <w:pPr>
                          <w:pStyle w:val="TableParagraph"/>
                          <w:spacing w:line="225" w:lineRule="exact"/>
                          <w:ind w:right="228"/>
                          <w:jc w:val="right"/>
                          <w:rPr>
                            <w:sz w:val="20"/>
                          </w:rPr>
                        </w:pPr>
                        <w:r>
                          <w:rPr>
                            <w:sz w:val="20"/>
                          </w:rPr>
                          <w:t>282.5</w:t>
                        </w:r>
                      </w:p>
                    </w:tc>
                    <w:tc>
                      <w:tcPr>
                        <w:tcW w:w="853" w:type="dxa"/>
                      </w:tcPr>
                      <w:p>
                        <w:pPr>
                          <w:pStyle w:val="TableParagraph"/>
                          <w:spacing w:line="225" w:lineRule="exact"/>
                          <w:ind w:right="165"/>
                          <w:jc w:val="right"/>
                          <w:rPr>
                            <w:sz w:val="20"/>
                          </w:rPr>
                        </w:pPr>
                        <w:r>
                          <w:rPr>
                            <w:sz w:val="20"/>
                          </w:rPr>
                          <w:t>269.5</w:t>
                        </w:r>
                      </w:p>
                    </w:tc>
                    <w:tc>
                      <w:tcPr>
                        <w:tcW w:w="787" w:type="dxa"/>
                      </w:tcPr>
                      <w:p>
                        <w:pPr>
                          <w:pStyle w:val="TableParagraph"/>
                          <w:spacing w:line="225" w:lineRule="exact"/>
                          <w:ind w:right="162"/>
                          <w:jc w:val="right"/>
                          <w:rPr>
                            <w:sz w:val="20"/>
                          </w:rPr>
                        </w:pPr>
                        <w:r>
                          <w:rPr>
                            <w:sz w:val="20"/>
                          </w:rPr>
                          <w:t>259.0</w:t>
                        </w:r>
                      </w:p>
                    </w:tc>
                    <w:tc>
                      <w:tcPr>
                        <w:tcW w:w="719" w:type="dxa"/>
                      </w:tcPr>
                      <w:p>
                        <w:pPr>
                          <w:pStyle w:val="TableParagraph"/>
                          <w:spacing w:line="225" w:lineRule="exact"/>
                          <w:ind w:right="98"/>
                          <w:jc w:val="right"/>
                          <w:rPr>
                            <w:sz w:val="20"/>
                          </w:rPr>
                        </w:pPr>
                        <w:r>
                          <w:rPr>
                            <w:sz w:val="20"/>
                          </w:rPr>
                          <w:t>271.7</w:t>
                        </w:r>
                      </w:p>
                    </w:tc>
                    <w:tc>
                      <w:tcPr>
                        <w:tcW w:w="691" w:type="dxa"/>
                      </w:tcPr>
                      <w:p>
                        <w:pPr>
                          <w:pStyle w:val="TableParagraph"/>
                          <w:spacing w:line="225" w:lineRule="exact"/>
                          <w:ind w:right="132"/>
                          <w:jc w:val="right"/>
                          <w:rPr>
                            <w:sz w:val="20"/>
                          </w:rPr>
                        </w:pPr>
                        <w:r>
                          <w:rPr>
                            <w:sz w:val="20"/>
                          </w:rPr>
                          <w:t>87.4</w:t>
                        </w:r>
                      </w:p>
                    </w:tc>
                    <w:tc>
                      <w:tcPr>
                        <w:tcW w:w="519" w:type="dxa"/>
                      </w:tcPr>
                      <w:p>
                        <w:pPr>
                          <w:pStyle w:val="TableParagraph"/>
                          <w:spacing w:line="225" w:lineRule="exact"/>
                          <w:ind w:left="183" w:right="44"/>
                          <w:jc w:val="center"/>
                          <w:rPr>
                            <w:sz w:val="20"/>
                          </w:rPr>
                        </w:pPr>
                        <w:r>
                          <w:rPr>
                            <w:sz w:val="20"/>
                          </w:rPr>
                          <w:t>6.8</w:t>
                        </w:r>
                      </w:p>
                    </w:tc>
                  </w:tr>
                  <w:tr>
                    <w:trPr>
                      <w:trHeight w:val="259" w:hRule="exact"/>
                    </w:trPr>
                    <w:tc>
                      <w:tcPr>
                        <w:tcW w:w="3500" w:type="dxa"/>
                      </w:tcPr>
                      <w:p>
                        <w:pPr>
                          <w:pStyle w:val="TableParagraph"/>
                          <w:spacing w:before="11"/>
                          <w:ind w:left="71"/>
                          <w:rPr>
                            <w:sz w:val="20"/>
                          </w:rPr>
                        </w:pPr>
                        <w:r>
                          <w:rPr>
                            <w:sz w:val="20"/>
                          </w:rPr>
                          <w:t>Oleic acid</w:t>
                        </w:r>
                      </w:p>
                    </w:tc>
                    <w:tc>
                      <w:tcPr>
                        <w:tcW w:w="961" w:type="dxa"/>
                      </w:tcPr>
                      <w:p>
                        <w:pPr>
                          <w:pStyle w:val="TableParagraph"/>
                          <w:spacing w:line="227" w:lineRule="exact"/>
                          <w:ind w:right="80"/>
                          <w:jc w:val="center"/>
                          <w:rPr>
                            <w:i/>
                            <w:sz w:val="20"/>
                          </w:rPr>
                        </w:pPr>
                        <w:r>
                          <w:rPr>
                            <w:i/>
                            <w:w w:val="100"/>
                            <w:sz w:val="20"/>
                          </w:rPr>
                          <w:t>c</w:t>
                        </w:r>
                      </w:p>
                    </w:tc>
                    <w:tc>
                      <w:tcPr>
                        <w:tcW w:w="955" w:type="dxa"/>
                      </w:tcPr>
                      <w:p>
                        <w:pPr>
                          <w:pStyle w:val="TableParagraph"/>
                          <w:spacing w:line="227" w:lineRule="exact"/>
                          <w:ind w:right="228"/>
                          <w:jc w:val="right"/>
                          <w:rPr>
                            <w:sz w:val="20"/>
                          </w:rPr>
                        </w:pPr>
                        <w:r>
                          <w:rPr>
                            <w:sz w:val="20"/>
                          </w:rPr>
                          <w:t>282.5</w:t>
                        </w:r>
                      </w:p>
                    </w:tc>
                    <w:tc>
                      <w:tcPr>
                        <w:tcW w:w="853" w:type="dxa"/>
                      </w:tcPr>
                      <w:p>
                        <w:pPr>
                          <w:pStyle w:val="TableParagraph"/>
                          <w:spacing w:line="227" w:lineRule="exact"/>
                          <w:ind w:right="165"/>
                          <w:jc w:val="right"/>
                          <w:rPr>
                            <w:sz w:val="20"/>
                          </w:rPr>
                        </w:pPr>
                        <w:r>
                          <w:rPr>
                            <w:sz w:val="20"/>
                          </w:rPr>
                          <w:t>269.5</w:t>
                        </w:r>
                      </w:p>
                    </w:tc>
                    <w:tc>
                      <w:tcPr>
                        <w:tcW w:w="787" w:type="dxa"/>
                      </w:tcPr>
                      <w:p>
                        <w:pPr>
                          <w:pStyle w:val="TableParagraph"/>
                          <w:spacing w:line="227" w:lineRule="exact"/>
                          <w:ind w:right="162"/>
                          <w:jc w:val="right"/>
                          <w:rPr>
                            <w:sz w:val="20"/>
                          </w:rPr>
                        </w:pPr>
                        <w:r>
                          <w:rPr>
                            <w:sz w:val="20"/>
                          </w:rPr>
                          <w:t>259.0</w:t>
                        </w:r>
                      </w:p>
                    </w:tc>
                    <w:tc>
                      <w:tcPr>
                        <w:tcW w:w="719" w:type="dxa"/>
                      </w:tcPr>
                      <w:p>
                        <w:pPr>
                          <w:pStyle w:val="TableParagraph"/>
                          <w:spacing w:line="227" w:lineRule="exact"/>
                          <w:ind w:right="98"/>
                          <w:jc w:val="right"/>
                          <w:rPr>
                            <w:sz w:val="20"/>
                          </w:rPr>
                        </w:pPr>
                        <w:r>
                          <w:rPr>
                            <w:sz w:val="20"/>
                          </w:rPr>
                          <w:t>271.7</w:t>
                        </w:r>
                      </w:p>
                    </w:tc>
                    <w:tc>
                      <w:tcPr>
                        <w:tcW w:w="691" w:type="dxa"/>
                      </w:tcPr>
                      <w:p>
                        <w:pPr>
                          <w:pStyle w:val="TableParagraph"/>
                          <w:spacing w:line="227" w:lineRule="exact"/>
                          <w:ind w:right="132"/>
                          <w:jc w:val="right"/>
                          <w:rPr>
                            <w:sz w:val="20"/>
                          </w:rPr>
                        </w:pPr>
                        <w:r>
                          <w:rPr>
                            <w:sz w:val="20"/>
                          </w:rPr>
                          <w:t>87.4</w:t>
                        </w:r>
                      </w:p>
                    </w:tc>
                    <w:tc>
                      <w:tcPr>
                        <w:tcW w:w="519" w:type="dxa"/>
                      </w:tcPr>
                      <w:p>
                        <w:pPr>
                          <w:pStyle w:val="TableParagraph"/>
                          <w:spacing w:line="227" w:lineRule="exact"/>
                          <w:ind w:left="183" w:right="44"/>
                          <w:jc w:val="center"/>
                          <w:rPr>
                            <w:sz w:val="20"/>
                          </w:rPr>
                        </w:pPr>
                        <w:r>
                          <w:rPr>
                            <w:sz w:val="20"/>
                          </w:rPr>
                          <w:t>6.8</w:t>
                        </w:r>
                      </w:p>
                    </w:tc>
                  </w:tr>
                  <w:tr>
                    <w:trPr>
                      <w:trHeight w:val="259" w:hRule="exact"/>
                    </w:trPr>
                    <w:tc>
                      <w:tcPr>
                        <w:tcW w:w="3500" w:type="dxa"/>
                      </w:tcPr>
                      <w:p>
                        <w:pPr>
                          <w:pStyle w:val="TableParagraph"/>
                          <w:spacing w:before="11"/>
                          <w:ind w:left="71"/>
                          <w:rPr>
                            <w:sz w:val="20"/>
                          </w:rPr>
                        </w:pPr>
                        <w:r>
                          <w:rPr>
                            <w:sz w:val="20"/>
                          </w:rPr>
                          <w:t>Linolelaidic acid</w:t>
                        </w:r>
                      </w:p>
                    </w:tc>
                    <w:tc>
                      <w:tcPr>
                        <w:tcW w:w="961" w:type="dxa"/>
                      </w:tcPr>
                      <w:p>
                        <w:pPr>
                          <w:pStyle w:val="TableParagraph"/>
                          <w:spacing w:line="227" w:lineRule="exact"/>
                          <w:ind w:left="84" w:right="157"/>
                          <w:jc w:val="center"/>
                          <w:rPr>
                            <w:i/>
                            <w:sz w:val="20"/>
                          </w:rPr>
                        </w:pPr>
                        <w:r>
                          <w:rPr>
                            <w:i/>
                            <w:sz w:val="20"/>
                          </w:rPr>
                          <w:t>tt</w:t>
                        </w:r>
                      </w:p>
                    </w:tc>
                    <w:tc>
                      <w:tcPr>
                        <w:tcW w:w="955" w:type="dxa"/>
                      </w:tcPr>
                      <w:p>
                        <w:pPr>
                          <w:pStyle w:val="TableParagraph"/>
                          <w:spacing w:line="227" w:lineRule="exact"/>
                          <w:ind w:right="228"/>
                          <w:jc w:val="right"/>
                          <w:rPr>
                            <w:sz w:val="20"/>
                          </w:rPr>
                        </w:pPr>
                        <w:r>
                          <w:rPr>
                            <w:sz w:val="20"/>
                          </w:rPr>
                          <w:t>280.5</w:t>
                        </w:r>
                      </w:p>
                    </w:tc>
                    <w:tc>
                      <w:tcPr>
                        <w:tcW w:w="853" w:type="dxa"/>
                      </w:tcPr>
                      <w:p>
                        <w:pPr>
                          <w:pStyle w:val="TableParagraph"/>
                          <w:spacing w:line="227" w:lineRule="exact"/>
                          <w:ind w:right="165"/>
                          <w:jc w:val="right"/>
                          <w:rPr>
                            <w:sz w:val="20"/>
                          </w:rPr>
                        </w:pPr>
                        <w:r>
                          <w:rPr>
                            <w:sz w:val="20"/>
                          </w:rPr>
                          <w:t>260.9</w:t>
                        </w:r>
                      </w:p>
                    </w:tc>
                    <w:tc>
                      <w:tcPr>
                        <w:tcW w:w="787" w:type="dxa"/>
                      </w:tcPr>
                      <w:p>
                        <w:pPr>
                          <w:pStyle w:val="TableParagraph"/>
                          <w:spacing w:line="227" w:lineRule="exact"/>
                          <w:ind w:right="162"/>
                          <w:jc w:val="right"/>
                          <w:rPr>
                            <w:sz w:val="20"/>
                          </w:rPr>
                        </w:pPr>
                        <w:r>
                          <w:rPr>
                            <w:sz w:val="20"/>
                          </w:rPr>
                          <w:t>250.4</w:t>
                        </w:r>
                      </w:p>
                    </w:tc>
                    <w:tc>
                      <w:tcPr>
                        <w:tcW w:w="719" w:type="dxa"/>
                      </w:tcPr>
                      <w:p>
                        <w:pPr>
                          <w:pStyle w:val="TableParagraph"/>
                          <w:spacing w:line="227" w:lineRule="exact"/>
                          <w:ind w:right="98"/>
                          <w:jc w:val="right"/>
                          <w:rPr>
                            <w:sz w:val="20"/>
                          </w:rPr>
                        </w:pPr>
                        <w:r>
                          <w:rPr>
                            <w:sz w:val="20"/>
                          </w:rPr>
                          <w:t>263.1</w:t>
                        </w:r>
                      </w:p>
                    </w:tc>
                    <w:tc>
                      <w:tcPr>
                        <w:tcW w:w="691" w:type="dxa"/>
                      </w:tcPr>
                      <w:p>
                        <w:pPr>
                          <w:pStyle w:val="TableParagraph"/>
                          <w:spacing w:line="227" w:lineRule="exact"/>
                          <w:ind w:right="132"/>
                          <w:jc w:val="right"/>
                          <w:rPr>
                            <w:sz w:val="20"/>
                          </w:rPr>
                        </w:pPr>
                        <w:r>
                          <w:rPr>
                            <w:sz w:val="20"/>
                          </w:rPr>
                          <w:t>88.5</w:t>
                        </w:r>
                      </w:p>
                    </w:tc>
                    <w:tc>
                      <w:tcPr>
                        <w:tcW w:w="519" w:type="dxa"/>
                      </w:tcPr>
                      <w:p>
                        <w:pPr>
                          <w:pStyle w:val="TableParagraph"/>
                          <w:spacing w:line="227" w:lineRule="exact"/>
                          <w:ind w:left="183" w:right="44"/>
                          <w:jc w:val="center"/>
                          <w:rPr>
                            <w:sz w:val="20"/>
                          </w:rPr>
                        </w:pPr>
                        <w:r>
                          <w:rPr>
                            <w:sz w:val="20"/>
                          </w:rPr>
                          <w:t>6.4</w:t>
                        </w:r>
                      </w:p>
                    </w:tc>
                  </w:tr>
                  <w:tr>
                    <w:trPr>
                      <w:trHeight w:val="257" w:hRule="exact"/>
                    </w:trPr>
                    <w:tc>
                      <w:tcPr>
                        <w:tcW w:w="3500" w:type="dxa"/>
                      </w:tcPr>
                      <w:p>
                        <w:pPr>
                          <w:pStyle w:val="TableParagraph"/>
                          <w:spacing w:before="11"/>
                          <w:ind w:left="71"/>
                          <w:rPr>
                            <w:sz w:val="20"/>
                          </w:rPr>
                        </w:pPr>
                        <w:r>
                          <w:rPr>
                            <w:sz w:val="20"/>
                          </w:rPr>
                          <w:t>Linoleic acid</w:t>
                        </w:r>
                      </w:p>
                    </w:tc>
                    <w:tc>
                      <w:tcPr>
                        <w:tcW w:w="961" w:type="dxa"/>
                      </w:tcPr>
                      <w:p>
                        <w:pPr>
                          <w:pStyle w:val="TableParagraph"/>
                          <w:spacing w:line="227" w:lineRule="exact"/>
                          <w:ind w:left="84" w:right="157"/>
                          <w:jc w:val="center"/>
                          <w:rPr>
                            <w:i/>
                            <w:sz w:val="20"/>
                          </w:rPr>
                        </w:pPr>
                        <w:r>
                          <w:rPr>
                            <w:i/>
                            <w:sz w:val="20"/>
                          </w:rPr>
                          <w:t>cc</w:t>
                        </w:r>
                      </w:p>
                    </w:tc>
                    <w:tc>
                      <w:tcPr>
                        <w:tcW w:w="955" w:type="dxa"/>
                      </w:tcPr>
                      <w:p>
                        <w:pPr>
                          <w:pStyle w:val="TableParagraph"/>
                          <w:spacing w:line="227" w:lineRule="exact"/>
                          <w:ind w:right="228"/>
                          <w:jc w:val="right"/>
                          <w:rPr>
                            <w:sz w:val="20"/>
                          </w:rPr>
                        </w:pPr>
                        <w:r>
                          <w:rPr>
                            <w:sz w:val="20"/>
                          </w:rPr>
                          <w:t>280.5</w:t>
                        </w:r>
                      </w:p>
                    </w:tc>
                    <w:tc>
                      <w:tcPr>
                        <w:tcW w:w="853" w:type="dxa"/>
                      </w:tcPr>
                      <w:p>
                        <w:pPr>
                          <w:pStyle w:val="TableParagraph"/>
                          <w:spacing w:line="227" w:lineRule="exact"/>
                          <w:ind w:right="165"/>
                          <w:jc w:val="right"/>
                          <w:rPr>
                            <w:sz w:val="20"/>
                          </w:rPr>
                        </w:pPr>
                        <w:r>
                          <w:rPr>
                            <w:sz w:val="20"/>
                          </w:rPr>
                          <w:t>260.9</w:t>
                        </w:r>
                      </w:p>
                    </w:tc>
                    <w:tc>
                      <w:tcPr>
                        <w:tcW w:w="787" w:type="dxa"/>
                      </w:tcPr>
                      <w:p>
                        <w:pPr>
                          <w:pStyle w:val="TableParagraph"/>
                          <w:spacing w:line="227" w:lineRule="exact"/>
                          <w:ind w:right="162"/>
                          <w:jc w:val="right"/>
                          <w:rPr>
                            <w:sz w:val="20"/>
                          </w:rPr>
                        </w:pPr>
                        <w:r>
                          <w:rPr>
                            <w:sz w:val="20"/>
                          </w:rPr>
                          <w:t>250.4</w:t>
                        </w:r>
                      </w:p>
                    </w:tc>
                    <w:tc>
                      <w:tcPr>
                        <w:tcW w:w="719" w:type="dxa"/>
                      </w:tcPr>
                      <w:p>
                        <w:pPr>
                          <w:pStyle w:val="TableParagraph"/>
                          <w:spacing w:line="227" w:lineRule="exact"/>
                          <w:ind w:right="98"/>
                          <w:jc w:val="right"/>
                          <w:rPr>
                            <w:sz w:val="20"/>
                          </w:rPr>
                        </w:pPr>
                        <w:r>
                          <w:rPr>
                            <w:sz w:val="20"/>
                          </w:rPr>
                          <w:t>263.1</w:t>
                        </w:r>
                      </w:p>
                    </w:tc>
                    <w:tc>
                      <w:tcPr>
                        <w:tcW w:w="691" w:type="dxa"/>
                      </w:tcPr>
                      <w:p>
                        <w:pPr>
                          <w:pStyle w:val="TableParagraph"/>
                          <w:spacing w:line="227" w:lineRule="exact"/>
                          <w:ind w:right="132"/>
                          <w:jc w:val="right"/>
                          <w:rPr>
                            <w:sz w:val="20"/>
                          </w:rPr>
                        </w:pPr>
                        <w:r>
                          <w:rPr>
                            <w:sz w:val="20"/>
                          </w:rPr>
                          <w:t>88.5</w:t>
                        </w:r>
                      </w:p>
                    </w:tc>
                    <w:tc>
                      <w:tcPr>
                        <w:tcW w:w="519" w:type="dxa"/>
                      </w:tcPr>
                      <w:p>
                        <w:pPr>
                          <w:pStyle w:val="TableParagraph"/>
                          <w:spacing w:line="227" w:lineRule="exact"/>
                          <w:ind w:left="183" w:right="44"/>
                          <w:jc w:val="center"/>
                          <w:rPr>
                            <w:sz w:val="20"/>
                          </w:rPr>
                        </w:pPr>
                        <w:r>
                          <w:rPr>
                            <w:sz w:val="20"/>
                          </w:rPr>
                          <w:t>6.4</w:t>
                        </w:r>
                      </w:p>
                    </w:tc>
                  </w:tr>
                  <w:tr>
                    <w:trPr>
                      <w:trHeight w:val="257" w:hRule="exact"/>
                    </w:trPr>
                    <w:tc>
                      <w:tcPr>
                        <w:tcW w:w="3500" w:type="dxa"/>
                      </w:tcPr>
                      <w:p>
                        <w:pPr>
                          <w:pStyle w:val="TableParagraph"/>
                          <w:spacing w:before="9"/>
                          <w:ind w:left="71"/>
                          <w:rPr>
                            <w:sz w:val="20"/>
                          </w:rPr>
                        </w:pPr>
                        <w:r>
                          <w:rPr>
                            <w:sz w:val="20"/>
                          </w:rPr>
                          <w:t>Arachidic acid</w:t>
                        </w:r>
                      </w:p>
                    </w:tc>
                    <w:tc>
                      <w:tcPr>
                        <w:tcW w:w="961" w:type="dxa"/>
                      </w:tcPr>
                      <w:p>
                        <w:pPr>
                          <w:pStyle w:val="TableParagraph"/>
                          <w:spacing w:line="225" w:lineRule="exact"/>
                          <w:ind w:right="85"/>
                          <w:jc w:val="center"/>
                          <w:rPr>
                            <w:i/>
                            <w:sz w:val="20"/>
                          </w:rPr>
                        </w:pPr>
                        <w:r>
                          <w:rPr>
                            <w:i/>
                            <w:w w:val="100"/>
                            <w:sz w:val="20"/>
                          </w:rPr>
                          <w:t>l</w:t>
                        </w:r>
                      </w:p>
                    </w:tc>
                    <w:tc>
                      <w:tcPr>
                        <w:tcW w:w="955" w:type="dxa"/>
                      </w:tcPr>
                      <w:p>
                        <w:pPr>
                          <w:pStyle w:val="TableParagraph"/>
                          <w:spacing w:line="225" w:lineRule="exact"/>
                          <w:ind w:right="228"/>
                          <w:jc w:val="right"/>
                          <w:rPr>
                            <w:sz w:val="20"/>
                          </w:rPr>
                        </w:pPr>
                        <w:r>
                          <w:rPr>
                            <w:sz w:val="20"/>
                          </w:rPr>
                          <w:t>312.6</w:t>
                        </w:r>
                      </w:p>
                    </w:tc>
                    <w:tc>
                      <w:tcPr>
                        <w:tcW w:w="853" w:type="dxa"/>
                      </w:tcPr>
                      <w:p>
                        <w:pPr>
                          <w:pStyle w:val="TableParagraph"/>
                          <w:spacing w:line="225" w:lineRule="exact"/>
                          <w:ind w:right="165"/>
                          <w:jc w:val="right"/>
                          <w:rPr>
                            <w:sz w:val="20"/>
                          </w:rPr>
                        </w:pPr>
                        <w:r>
                          <w:rPr>
                            <w:sz w:val="20"/>
                          </w:rPr>
                          <w:t>337.4</w:t>
                        </w:r>
                      </w:p>
                    </w:tc>
                    <w:tc>
                      <w:tcPr>
                        <w:tcW w:w="787" w:type="dxa"/>
                      </w:tcPr>
                      <w:p>
                        <w:pPr>
                          <w:pStyle w:val="TableParagraph"/>
                          <w:spacing w:line="225" w:lineRule="exact"/>
                          <w:ind w:right="162"/>
                          <w:jc w:val="right"/>
                          <w:rPr>
                            <w:sz w:val="20"/>
                          </w:rPr>
                        </w:pPr>
                        <w:r>
                          <w:rPr>
                            <w:sz w:val="20"/>
                          </w:rPr>
                          <w:t>326.8</w:t>
                        </w:r>
                      </w:p>
                    </w:tc>
                    <w:tc>
                      <w:tcPr>
                        <w:tcW w:w="719" w:type="dxa"/>
                      </w:tcPr>
                      <w:p>
                        <w:pPr>
                          <w:pStyle w:val="TableParagraph"/>
                          <w:spacing w:line="225" w:lineRule="exact"/>
                          <w:ind w:right="98"/>
                          <w:jc w:val="right"/>
                          <w:rPr>
                            <w:sz w:val="20"/>
                          </w:rPr>
                        </w:pPr>
                        <w:r>
                          <w:rPr>
                            <w:sz w:val="20"/>
                          </w:rPr>
                          <w:t>339.6</w:t>
                        </w:r>
                      </w:p>
                    </w:tc>
                    <w:tc>
                      <w:tcPr>
                        <w:tcW w:w="691" w:type="dxa"/>
                      </w:tcPr>
                      <w:p>
                        <w:pPr>
                          <w:pStyle w:val="TableParagraph"/>
                          <w:spacing w:line="225" w:lineRule="exact"/>
                          <w:ind w:right="132"/>
                          <w:jc w:val="right"/>
                          <w:rPr>
                            <w:sz w:val="20"/>
                          </w:rPr>
                        </w:pPr>
                        <w:r>
                          <w:rPr>
                            <w:sz w:val="20"/>
                          </w:rPr>
                          <w:t>95.5</w:t>
                        </w:r>
                      </w:p>
                    </w:tc>
                    <w:tc>
                      <w:tcPr>
                        <w:tcW w:w="519" w:type="dxa"/>
                      </w:tcPr>
                      <w:p>
                        <w:pPr>
                          <w:pStyle w:val="TableParagraph"/>
                          <w:spacing w:line="225" w:lineRule="exact"/>
                          <w:ind w:left="183" w:right="44"/>
                          <w:jc w:val="center"/>
                          <w:rPr>
                            <w:sz w:val="20"/>
                          </w:rPr>
                        </w:pPr>
                        <w:r>
                          <w:rPr>
                            <w:sz w:val="20"/>
                          </w:rPr>
                          <w:t>8.2</w:t>
                        </w:r>
                      </w:p>
                    </w:tc>
                  </w:tr>
                  <w:tr>
                    <w:trPr>
                      <w:trHeight w:val="259" w:hRule="exact"/>
                    </w:trPr>
                    <w:tc>
                      <w:tcPr>
                        <w:tcW w:w="3500" w:type="dxa"/>
                      </w:tcPr>
                      <w:p>
                        <w:pPr>
                          <w:pStyle w:val="TableParagraph"/>
                          <w:spacing w:before="11"/>
                          <w:ind w:left="71"/>
                          <w:rPr>
                            <w:sz w:val="20"/>
                          </w:rPr>
                        </w:pPr>
                        <w:r>
                          <w:rPr>
                            <w:i/>
                            <w:sz w:val="20"/>
                          </w:rPr>
                          <w:t>γ</w:t>
                        </w:r>
                        <w:r>
                          <w:rPr>
                            <w:sz w:val="20"/>
                          </w:rPr>
                          <w:t>-Linolenic acid</w:t>
                        </w:r>
                      </w:p>
                    </w:tc>
                    <w:tc>
                      <w:tcPr>
                        <w:tcW w:w="961" w:type="dxa"/>
                      </w:tcPr>
                      <w:p>
                        <w:pPr>
                          <w:pStyle w:val="TableParagraph"/>
                          <w:spacing w:line="227" w:lineRule="exact"/>
                          <w:ind w:left="84" w:right="159"/>
                          <w:jc w:val="center"/>
                          <w:rPr>
                            <w:i/>
                            <w:sz w:val="20"/>
                          </w:rPr>
                        </w:pPr>
                        <w:r>
                          <w:rPr>
                            <w:i/>
                            <w:sz w:val="20"/>
                          </w:rPr>
                          <w:t>ccc</w:t>
                        </w:r>
                      </w:p>
                    </w:tc>
                    <w:tc>
                      <w:tcPr>
                        <w:tcW w:w="955" w:type="dxa"/>
                      </w:tcPr>
                      <w:p>
                        <w:pPr>
                          <w:pStyle w:val="TableParagraph"/>
                          <w:spacing w:line="227" w:lineRule="exact"/>
                          <w:ind w:right="228"/>
                          <w:jc w:val="right"/>
                          <w:rPr>
                            <w:sz w:val="20"/>
                          </w:rPr>
                        </w:pPr>
                        <w:r>
                          <w:rPr>
                            <w:sz w:val="20"/>
                          </w:rPr>
                          <w:t>278.5</w:t>
                        </w:r>
                      </w:p>
                    </w:tc>
                    <w:tc>
                      <w:tcPr>
                        <w:tcW w:w="853" w:type="dxa"/>
                      </w:tcPr>
                      <w:p>
                        <w:pPr>
                          <w:pStyle w:val="TableParagraph"/>
                          <w:spacing w:line="227" w:lineRule="exact"/>
                          <w:ind w:right="165"/>
                          <w:jc w:val="right"/>
                          <w:rPr>
                            <w:sz w:val="20"/>
                          </w:rPr>
                        </w:pPr>
                        <w:r>
                          <w:rPr>
                            <w:sz w:val="20"/>
                          </w:rPr>
                          <w:t>251.5</w:t>
                        </w:r>
                      </w:p>
                    </w:tc>
                    <w:tc>
                      <w:tcPr>
                        <w:tcW w:w="787" w:type="dxa"/>
                      </w:tcPr>
                      <w:p>
                        <w:pPr>
                          <w:pStyle w:val="TableParagraph"/>
                          <w:spacing w:line="227" w:lineRule="exact"/>
                          <w:ind w:right="162"/>
                          <w:jc w:val="right"/>
                          <w:rPr>
                            <w:sz w:val="20"/>
                          </w:rPr>
                        </w:pPr>
                        <w:r>
                          <w:rPr>
                            <w:sz w:val="20"/>
                          </w:rPr>
                          <w:t>240.9</w:t>
                        </w:r>
                      </w:p>
                    </w:tc>
                    <w:tc>
                      <w:tcPr>
                        <w:tcW w:w="719" w:type="dxa"/>
                      </w:tcPr>
                      <w:p>
                        <w:pPr>
                          <w:pStyle w:val="TableParagraph"/>
                          <w:spacing w:line="227" w:lineRule="exact"/>
                          <w:ind w:right="98"/>
                          <w:jc w:val="right"/>
                          <w:rPr>
                            <w:sz w:val="20"/>
                          </w:rPr>
                        </w:pPr>
                        <w:r>
                          <w:rPr>
                            <w:sz w:val="20"/>
                          </w:rPr>
                          <w:t>253.7</w:t>
                        </w:r>
                      </w:p>
                    </w:tc>
                    <w:tc>
                      <w:tcPr>
                        <w:tcW w:w="691" w:type="dxa"/>
                      </w:tcPr>
                      <w:p>
                        <w:pPr>
                          <w:pStyle w:val="TableParagraph"/>
                          <w:spacing w:line="227" w:lineRule="exact"/>
                          <w:ind w:right="132"/>
                          <w:jc w:val="right"/>
                          <w:rPr>
                            <w:sz w:val="20"/>
                          </w:rPr>
                        </w:pPr>
                        <w:r>
                          <w:rPr>
                            <w:sz w:val="20"/>
                          </w:rPr>
                          <w:t>89.6</w:t>
                        </w:r>
                      </w:p>
                    </w:tc>
                    <w:tc>
                      <w:tcPr>
                        <w:tcW w:w="519" w:type="dxa"/>
                      </w:tcPr>
                      <w:p>
                        <w:pPr>
                          <w:pStyle w:val="TableParagraph"/>
                          <w:spacing w:line="227" w:lineRule="exact"/>
                          <w:ind w:left="183" w:right="44"/>
                          <w:jc w:val="center"/>
                          <w:rPr>
                            <w:sz w:val="20"/>
                          </w:rPr>
                        </w:pPr>
                        <w:r>
                          <w:rPr>
                            <w:sz w:val="20"/>
                          </w:rPr>
                          <w:t>5.9</w:t>
                        </w:r>
                      </w:p>
                    </w:tc>
                  </w:tr>
                  <w:tr>
                    <w:trPr>
                      <w:trHeight w:val="259" w:hRule="exact"/>
                    </w:trPr>
                    <w:tc>
                      <w:tcPr>
                        <w:tcW w:w="3500" w:type="dxa"/>
                      </w:tcPr>
                      <w:p>
                        <w:pPr>
                          <w:pStyle w:val="TableParagraph"/>
                          <w:spacing w:before="11"/>
                          <w:ind w:left="71"/>
                          <w:rPr>
                            <w:sz w:val="20"/>
                          </w:rPr>
                        </w:pPr>
                        <w:r>
                          <w:rPr>
                            <w:sz w:val="20"/>
                          </w:rPr>
                          <w:t>Linolenic acid</w:t>
                        </w:r>
                      </w:p>
                    </w:tc>
                    <w:tc>
                      <w:tcPr>
                        <w:tcW w:w="961" w:type="dxa"/>
                      </w:tcPr>
                      <w:p>
                        <w:pPr>
                          <w:pStyle w:val="TableParagraph"/>
                          <w:spacing w:line="227" w:lineRule="exact"/>
                          <w:ind w:left="84" w:right="159"/>
                          <w:jc w:val="center"/>
                          <w:rPr>
                            <w:i/>
                            <w:sz w:val="20"/>
                          </w:rPr>
                        </w:pPr>
                        <w:r>
                          <w:rPr>
                            <w:i/>
                            <w:sz w:val="20"/>
                          </w:rPr>
                          <w:t>ccc</w:t>
                        </w:r>
                      </w:p>
                    </w:tc>
                    <w:tc>
                      <w:tcPr>
                        <w:tcW w:w="955" w:type="dxa"/>
                      </w:tcPr>
                      <w:p>
                        <w:pPr>
                          <w:pStyle w:val="TableParagraph"/>
                          <w:spacing w:line="227" w:lineRule="exact"/>
                          <w:ind w:right="228"/>
                          <w:jc w:val="right"/>
                          <w:rPr>
                            <w:sz w:val="20"/>
                          </w:rPr>
                        </w:pPr>
                        <w:r>
                          <w:rPr>
                            <w:sz w:val="20"/>
                          </w:rPr>
                          <w:t>278.5</w:t>
                        </w:r>
                      </w:p>
                    </w:tc>
                    <w:tc>
                      <w:tcPr>
                        <w:tcW w:w="853" w:type="dxa"/>
                      </w:tcPr>
                      <w:p>
                        <w:pPr>
                          <w:pStyle w:val="TableParagraph"/>
                          <w:spacing w:line="227" w:lineRule="exact"/>
                          <w:ind w:right="165"/>
                          <w:jc w:val="right"/>
                          <w:rPr>
                            <w:sz w:val="20"/>
                          </w:rPr>
                        </w:pPr>
                        <w:r>
                          <w:rPr>
                            <w:sz w:val="20"/>
                          </w:rPr>
                          <w:t>255.1</w:t>
                        </w:r>
                      </w:p>
                    </w:tc>
                    <w:tc>
                      <w:tcPr>
                        <w:tcW w:w="787" w:type="dxa"/>
                      </w:tcPr>
                      <w:p>
                        <w:pPr>
                          <w:pStyle w:val="TableParagraph"/>
                          <w:spacing w:line="227" w:lineRule="exact"/>
                          <w:ind w:right="162"/>
                          <w:jc w:val="right"/>
                          <w:rPr>
                            <w:sz w:val="20"/>
                          </w:rPr>
                        </w:pPr>
                        <w:r>
                          <w:rPr>
                            <w:sz w:val="20"/>
                          </w:rPr>
                          <w:t>244.5</w:t>
                        </w:r>
                      </w:p>
                    </w:tc>
                    <w:tc>
                      <w:tcPr>
                        <w:tcW w:w="719" w:type="dxa"/>
                      </w:tcPr>
                      <w:p>
                        <w:pPr>
                          <w:pStyle w:val="TableParagraph"/>
                          <w:spacing w:line="227" w:lineRule="exact"/>
                          <w:ind w:right="98"/>
                          <w:jc w:val="right"/>
                          <w:rPr>
                            <w:sz w:val="20"/>
                          </w:rPr>
                        </w:pPr>
                        <w:r>
                          <w:rPr>
                            <w:sz w:val="20"/>
                          </w:rPr>
                          <w:t>257.3</w:t>
                        </w:r>
                      </w:p>
                    </w:tc>
                    <w:tc>
                      <w:tcPr>
                        <w:tcW w:w="691" w:type="dxa"/>
                      </w:tcPr>
                      <w:p>
                        <w:pPr>
                          <w:pStyle w:val="TableParagraph"/>
                          <w:spacing w:line="227" w:lineRule="exact"/>
                          <w:ind w:right="132"/>
                          <w:jc w:val="right"/>
                          <w:rPr>
                            <w:sz w:val="20"/>
                          </w:rPr>
                        </w:pPr>
                        <w:r>
                          <w:rPr>
                            <w:sz w:val="20"/>
                          </w:rPr>
                          <w:t>89.6</w:t>
                        </w:r>
                      </w:p>
                    </w:tc>
                    <w:tc>
                      <w:tcPr>
                        <w:tcW w:w="519" w:type="dxa"/>
                      </w:tcPr>
                      <w:p>
                        <w:pPr>
                          <w:pStyle w:val="TableParagraph"/>
                          <w:spacing w:line="227" w:lineRule="exact"/>
                          <w:ind w:left="183" w:right="44"/>
                          <w:jc w:val="center"/>
                          <w:rPr>
                            <w:sz w:val="20"/>
                          </w:rPr>
                        </w:pPr>
                        <w:r>
                          <w:rPr>
                            <w:sz w:val="20"/>
                          </w:rPr>
                          <w:t>5.9</w:t>
                        </w:r>
                      </w:p>
                    </w:tc>
                  </w:tr>
                  <w:tr>
                    <w:trPr>
                      <w:trHeight w:val="257" w:hRule="exact"/>
                    </w:trPr>
                    <w:tc>
                      <w:tcPr>
                        <w:tcW w:w="3500" w:type="dxa"/>
                      </w:tcPr>
                      <w:p>
                        <w:pPr>
                          <w:pStyle w:val="TableParagraph"/>
                          <w:spacing w:before="11"/>
                          <w:ind w:left="71"/>
                          <w:rPr>
                            <w:sz w:val="20"/>
                          </w:rPr>
                        </w:pPr>
                        <w:r>
                          <w:rPr>
                            <w:i/>
                            <w:sz w:val="20"/>
                          </w:rPr>
                          <w:t>cis</w:t>
                        </w:r>
                        <w:r>
                          <w:rPr>
                            <w:sz w:val="20"/>
                          </w:rPr>
                          <w:t>-11.14-Eicosadienoic acid</w:t>
                        </w:r>
                      </w:p>
                    </w:tc>
                    <w:tc>
                      <w:tcPr>
                        <w:tcW w:w="961" w:type="dxa"/>
                      </w:tcPr>
                      <w:p>
                        <w:pPr>
                          <w:pStyle w:val="TableParagraph"/>
                          <w:spacing w:line="227" w:lineRule="exact"/>
                          <w:ind w:left="84" w:right="162"/>
                          <w:jc w:val="center"/>
                          <w:rPr>
                            <w:i/>
                            <w:sz w:val="20"/>
                          </w:rPr>
                        </w:pPr>
                        <w:r>
                          <w:rPr>
                            <w:i/>
                            <w:sz w:val="20"/>
                          </w:rPr>
                          <w:t>ct</w:t>
                        </w:r>
                      </w:p>
                    </w:tc>
                    <w:tc>
                      <w:tcPr>
                        <w:tcW w:w="955" w:type="dxa"/>
                      </w:tcPr>
                      <w:p>
                        <w:pPr>
                          <w:pStyle w:val="TableParagraph"/>
                          <w:spacing w:line="227" w:lineRule="exact"/>
                          <w:ind w:right="228"/>
                          <w:jc w:val="right"/>
                          <w:rPr>
                            <w:sz w:val="20"/>
                          </w:rPr>
                        </w:pPr>
                        <w:r>
                          <w:rPr>
                            <w:sz w:val="20"/>
                          </w:rPr>
                          <w:t>308.6</w:t>
                        </w:r>
                      </w:p>
                    </w:tc>
                    <w:tc>
                      <w:tcPr>
                        <w:tcW w:w="853" w:type="dxa"/>
                      </w:tcPr>
                      <w:p>
                        <w:pPr>
                          <w:pStyle w:val="TableParagraph"/>
                          <w:spacing w:line="227" w:lineRule="exact"/>
                          <w:ind w:right="165"/>
                          <w:jc w:val="right"/>
                          <w:rPr>
                            <w:sz w:val="20"/>
                          </w:rPr>
                        </w:pPr>
                        <w:r>
                          <w:rPr>
                            <w:sz w:val="20"/>
                          </w:rPr>
                          <w:t>318.0</w:t>
                        </w:r>
                      </w:p>
                    </w:tc>
                    <w:tc>
                      <w:tcPr>
                        <w:tcW w:w="787" w:type="dxa"/>
                      </w:tcPr>
                      <w:p>
                        <w:pPr>
                          <w:pStyle w:val="TableParagraph"/>
                          <w:spacing w:line="227" w:lineRule="exact"/>
                          <w:ind w:right="162"/>
                          <w:jc w:val="right"/>
                          <w:rPr>
                            <w:sz w:val="20"/>
                          </w:rPr>
                        </w:pPr>
                        <w:r>
                          <w:rPr>
                            <w:sz w:val="20"/>
                          </w:rPr>
                          <w:t>307.3</w:t>
                        </w:r>
                      </w:p>
                    </w:tc>
                    <w:tc>
                      <w:tcPr>
                        <w:tcW w:w="719" w:type="dxa"/>
                      </w:tcPr>
                      <w:p>
                        <w:pPr>
                          <w:pStyle w:val="TableParagraph"/>
                          <w:spacing w:line="227" w:lineRule="exact"/>
                          <w:ind w:right="98"/>
                          <w:jc w:val="right"/>
                          <w:rPr>
                            <w:sz w:val="20"/>
                          </w:rPr>
                        </w:pPr>
                        <w:r>
                          <w:rPr>
                            <w:sz w:val="20"/>
                          </w:rPr>
                          <w:t>320.2</w:t>
                        </w:r>
                      </w:p>
                    </w:tc>
                    <w:tc>
                      <w:tcPr>
                        <w:tcW w:w="691" w:type="dxa"/>
                      </w:tcPr>
                      <w:p>
                        <w:pPr>
                          <w:pStyle w:val="TableParagraph"/>
                          <w:spacing w:line="227" w:lineRule="exact"/>
                          <w:ind w:right="132"/>
                          <w:jc w:val="right"/>
                          <w:rPr>
                            <w:sz w:val="20"/>
                          </w:rPr>
                        </w:pPr>
                        <w:r>
                          <w:rPr>
                            <w:sz w:val="20"/>
                          </w:rPr>
                          <w:t>97.7</w:t>
                        </w:r>
                      </w:p>
                    </w:tc>
                    <w:tc>
                      <w:tcPr>
                        <w:tcW w:w="519" w:type="dxa"/>
                      </w:tcPr>
                      <w:p>
                        <w:pPr>
                          <w:pStyle w:val="TableParagraph"/>
                          <w:spacing w:line="227" w:lineRule="exact"/>
                          <w:ind w:left="183" w:right="44"/>
                          <w:jc w:val="center"/>
                          <w:rPr>
                            <w:sz w:val="20"/>
                          </w:rPr>
                        </w:pPr>
                        <w:r>
                          <w:rPr>
                            <w:sz w:val="20"/>
                          </w:rPr>
                          <w:t>7.3</w:t>
                        </w:r>
                      </w:p>
                    </w:tc>
                  </w:tr>
                  <w:tr>
                    <w:trPr>
                      <w:trHeight w:val="257" w:hRule="exact"/>
                    </w:trPr>
                    <w:tc>
                      <w:tcPr>
                        <w:tcW w:w="3500" w:type="dxa"/>
                      </w:tcPr>
                      <w:p>
                        <w:pPr>
                          <w:pStyle w:val="TableParagraph"/>
                          <w:spacing w:before="9"/>
                          <w:ind w:left="71"/>
                          <w:rPr>
                            <w:sz w:val="20"/>
                          </w:rPr>
                        </w:pPr>
                        <w:r>
                          <w:rPr>
                            <w:sz w:val="20"/>
                          </w:rPr>
                          <w:t>Behenic acid</w:t>
                        </w:r>
                      </w:p>
                    </w:tc>
                    <w:tc>
                      <w:tcPr>
                        <w:tcW w:w="961" w:type="dxa"/>
                      </w:tcPr>
                      <w:p>
                        <w:pPr>
                          <w:pStyle w:val="TableParagraph"/>
                          <w:spacing w:line="225" w:lineRule="exact"/>
                          <w:ind w:right="85"/>
                          <w:jc w:val="center"/>
                          <w:rPr>
                            <w:i/>
                            <w:sz w:val="20"/>
                          </w:rPr>
                        </w:pPr>
                        <w:r>
                          <w:rPr>
                            <w:i/>
                            <w:w w:val="100"/>
                            <w:sz w:val="20"/>
                          </w:rPr>
                          <w:t>l</w:t>
                        </w:r>
                      </w:p>
                    </w:tc>
                    <w:tc>
                      <w:tcPr>
                        <w:tcW w:w="955" w:type="dxa"/>
                      </w:tcPr>
                      <w:p>
                        <w:pPr>
                          <w:pStyle w:val="TableParagraph"/>
                          <w:spacing w:line="225" w:lineRule="exact"/>
                          <w:ind w:right="228"/>
                          <w:jc w:val="right"/>
                          <w:rPr>
                            <w:sz w:val="20"/>
                          </w:rPr>
                        </w:pPr>
                        <w:r>
                          <w:rPr>
                            <w:sz w:val="20"/>
                          </w:rPr>
                          <w:t>340.7</w:t>
                        </w:r>
                      </w:p>
                    </w:tc>
                    <w:tc>
                      <w:tcPr>
                        <w:tcW w:w="853" w:type="dxa"/>
                      </w:tcPr>
                      <w:p>
                        <w:pPr>
                          <w:pStyle w:val="TableParagraph"/>
                          <w:spacing w:line="225" w:lineRule="exact"/>
                          <w:ind w:right="165"/>
                          <w:jc w:val="right"/>
                          <w:rPr>
                            <w:sz w:val="20"/>
                          </w:rPr>
                        </w:pPr>
                        <w:r>
                          <w:rPr>
                            <w:sz w:val="20"/>
                          </w:rPr>
                          <w:t>401.3</w:t>
                        </w:r>
                      </w:p>
                    </w:tc>
                    <w:tc>
                      <w:tcPr>
                        <w:tcW w:w="787" w:type="dxa"/>
                      </w:tcPr>
                      <w:p>
                        <w:pPr>
                          <w:pStyle w:val="TableParagraph"/>
                          <w:spacing w:line="225" w:lineRule="exact"/>
                          <w:ind w:right="162"/>
                          <w:jc w:val="right"/>
                          <w:rPr>
                            <w:sz w:val="20"/>
                          </w:rPr>
                        </w:pPr>
                        <w:r>
                          <w:rPr>
                            <w:sz w:val="20"/>
                          </w:rPr>
                          <w:t>390.6</w:t>
                        </w:r>
                      </w:p>
                    </w:tc>
                    <w:tc>
                      <w:tcPr>
                        <w:tcW w:w="719" w:type="dxa"/>
                      </w:tcPr>
                      <w:p>
                        <w:pPr>
                          <w:pStyle w:val="TableParagraph"/>
                          <w:spacing w:line="225" w:lineRule="exact"/>
                          <w:ind w:right="98"/>
                          <w:jc w:val="right"/>
                          <w:rPr>
                            <w:sz w:val="20"/>
                          </w:rPr>
                        </w:pPr>
                        <w:r>
                          <w:rPr>
                            <w:sz w:val="20"/>
                          </w:rPr>
                          <w:t>403.5</w:t>
                        </w:r>
                      </w:p>
                    </w:tc>
                    <w:tc>
                      <w:tcPr>
                        <w:tcW w:w="691" w:type="dxa"/>
                      </w:tcPr>
                      <w:p>
                        <w:pPr>
                          <w:pStyle w:val="TableParagraph"/>
                          <w:spacing w:line="225" w:lineRule="exact"/>
                          <w:ind w:right="132"/>
                          <w:jc w:val="right"/>
                          <w:rPr>
                            <w:sz w:val="20"/>
                          </w:rPr>
                        </w:pPr>
                        <w:r>
                          <w:rPr>
                            <w:sz w:val="20"/>
                          </w:rPr>
                          <w:t>104.7</w:t>
                        </w:r>
                      </w:p>
                    </w:tc>
                    <w:tc>
                      <w:tcPr>
                        <w:tcW w:w="519" w:type="dxa"/>
                      </w:tcPr>
                      <w:p>
                        <w:pPr>
                          <w:pStyle w:val="TableParagraph"/>
                          <w:spacing w:line="225" w:lineRule="exact"/>
                          <w:ind w:left="183" w:right="44"/>
                          <w:jc w:val="center"/>
                          <w:rPr>
                            <w:sz w:val="20"/>
                          </w:rPr>
                        </w:pPr>
                        <w:r>
                          <w:rPr>
                            <w:sz w:val="20"/>
                          </w:rPr>
                          <w:t>9.1</w:t>
                        </w:r>
                      </w:p>
                    </w:tc>
                  </w:tr>
                  <w:tr>
                    <w:trPr>
                      <w:trHeight w:val="259" w:hRule="exact"/>
                    </w:trPr>
                    <w:tc>
                      <w:tcPr>
                        <w:tcW w:w="3500" w:type="dxa"/>
                      </w:tcPr>
                      <w:p>
                        <w:pPr>
                          <w:pStyle w:val="TableParagraph"/>
                          <w:spacing w:before="11"/>
                          <w:ind w:left="71"/>
                          <w:rPr>
                            <w:sz w:val="20"/>
                          </w:rPr>
                        </w:pPr>
                        <w:r>
                          <w:rPr>
                            <w:i/>
                            <w:sz w:val="20"/>
                          </w:rPr>
                          <w:t>cis</w:t>
                        </w:r>
                        <w:r>
                          <w:rPr>
                            <w:sz w:val="20"/>
                          </w:rPr>
                          <w:t>-8.11.14-Eicosatrienoic acid</w:t>
                        </w:r>
                      </w:p>
                    </w:tc>
                    <w:tc>
                      <w:tcPr>
                        <w:tcW w:w="961" w:type="dxa"/>
                      </w:tcPr>
                      <w:p>
                        <w:pPr>
                          <w:pStyle w:val="TableParagraph"/>
                          <w:spacing w:line="227" w:lineRule="exact"/>
                          <w:ind w:left="84" w:right="162"/>
                          <w:jc w:val="center"/>
                          <w:rPr>
                            <w:i/>
                            <w:sz w:val="20"/>
                          </w:rPr>
                        </w:pPr>
                        <w:r>
                          <w:rPr>
                            <w:i/>
                            <w:sz w:val="20"/>
                          </w:rPr>
                          <w:t>ctt</w:t>
                        </w:r>
                      </w:p>
                    </w:tc>
                    <w:tc>
                      <w:tcPr>
                        <w:tcW w:w="955" w:type="dxa"/>
                      </w:tcPr>
                      <w:p>
                        <w:pPr>
                          <w:pStyle w:val="TableParagraph"/>
                          <w:spacing w:line="227" w:lineRule="exact"/>
                          <w:ind w:right="228"/>
                          <w:jc w:val="right"/>
                          <w:rPr>
                            <w:sz w:val="20"/>
                          </w:rPr>
                        </w:pPr>
                        <w:r>
                          <w:rPr>
                            <w:sz w:val="20"/>
                          </w:rPr>
                          <w:t>306.5</w:t>
                        </w:r>
                      </w:p>
                    </w:tc>
                    <w:tc>
                      <w:tcPr>
                        <w:tcW w:w="853" w:type="dxa"/>
                      </w:tcPr>
                      <w:p>
                        <w:pPr>
                          <w:pStyle w:val="TableParagraph"/>
                          <w:spacing w:line="227" w:lineRule="exact"/>
                          <w:ind w:right="165"/>
                          <w:jc w:val="right"/>
                          <w:rPr>
                            <w:sz w:val="20"/>
                          </w:rPr>
                        </w:pPr>
                        <w:r>
                          <w:rPr>
                            <w:sz w:val="20"/>
                          </w:rPr>
                          <w:t>307.4</w:t>
                        </w:r>
                      </w:p>
                    </w:tc>
                    <w:tc>
                      <w:tcPr>
                        <w:tcW w:w="787" w:type="dxa"/>
                      </w:tcPr>
                      <w:p>
                        <w:pPr>
                          <w:pStyle w:val="TableParagraph"/>
                          <w:spacing w:line="227" w:lineRule="exact"/>
                          <w:ind w:right="162"/>
                          <w:jc w:val="right"/>
                          <w:rPr>
                            <w:sz w:val="20"/>
                          </w:rPr>
                        </w:pPr>
                        <w:r>
                          <w:rPr>
                            <w:sz w:val="20"/>
                          </w:rPr>
                          <w:t>296.7</w:t>
                        </w:r>
                      </w:p>
                    </w:tc>
                    <w:tc>
                      <w:tcPr>
                        <w:tcW w:w="719" w:type="dxa"/>
                      </w:tcPr>
                      <w:p>
                        <w:pPr>
                          <w:pStyle w:val="TableParagraph"/>
                          <w:spacing w:line="227" w:lineRule="exact"/>
                          <w:ind w:right="98"/>
                          <w:jc w:val="right"/>
                          <w:rPr>
                            <w:sz w:val="20"/>
                          </w:rPr>
                        </w:pPr>
                        <w:r>
                          <w:rPr>
                            <w:sz w:val="20"/>
                          </w:rPr>
                          <w:t>309.7</w:t>
                        </w:r>
                      </w:p>
                    </w:tc>
                    <w:tc>
                      <w:tcPr>
                        <w:tcW w:w="691" w:type="dxa"/>
                      </w:tcPr>
                      <w:p>
                        <w:pPr>
                          <w:pStyle w:val="TableParagraph"/>
                          <w:spacing w:line="227" w:lineRule="exact"/>
                          <w:ind w:right="132"/>
                          <w:jc w:val="right"/>
                          <w:rPr>
                            <w:sz w:val="20"/>
                          </w:rPr>
                        </w:pPr>
                        <w:r>
                          <w:rPr>
                            <w:sz w:val="20"/>
                          </w:rPr>
                          <w:t>98.8</w:t>
                        </w:r>
                      </w:p>
                    </w:tc>
                    <w:tc>
                      <w:tcPr>
                        <w:tcW w:w="519" w:type="dxa"/>
                      </w:tcPr>
                      <w:p>
                        <w:pPr>
                          <w:pStyle w:val="TableParagraph"/>
                          <w:spacing w:line="227" w:lineRule="exact"/>
                          <w:ind w:left="183" w:right="44"/>
                          <w:jc w:val="center"/>
                          <w:rPr>
                            <w:sz w:val="20"/>
                          </w:rPr>
                        </w:pPr>
                        <w:r>
                          <w:rPr>
                            <w:sz w:val="20"/>
                          </w:rPr>
                          <w:t>6.9</w:t>
                        </w:r>
                      </w:p>
                    </w:tc>
                  </w:tr>
                  <w:tr>
                    <w:trPr>
                      <w:trHeight w:val="259" w:hRule="exact"/>
                    </w:trPr>
                    <w:tc>
                      <w:tcPr>
                        <w:tcW w:w="3500" w:type="dxa"/>
                      </w:tcPr>
                      <w:p>
                        <w:pPr>
                          <w:pStyle w:val="TableParagraph"/>
                          <w:spacing w:before="11"/>
                          <w:ind w:left="71"/>
                          <w:rPr>
                            <w:sz w:val="20"/>
                          </w:rPr>
                        </w:pPr>
                        <w:r>
                          <w:rPr>
                            <w:sz w:val="20"/>
                          </w:rPr>
                          <w:t>Erucic acid</w:t>
                        </w:r>
                      </w:p>
                    </w:tc>
                    <w:tc>
                      <w:tcPr>
                        <w:tcW w:w="961" w:type="dxa"/>
                      </w:tcPr>
                      <w:p>
                        <w:pPr>
                          <w:pStyle w:val="TableParagraph"/>
                          <w:spacing w:line="227" w:lineRule="exact"/>
                          <w:ind w:right="85"/>
                          <w:jc w:val="center"/>
                          <w:rPr>
                            <w:i/>
                            <w:sz w:val="20"/>
                          </w:rPr>
                        </w:pPr>
                        <w:r>
                          <w:rPr>
                            <w:i/>
                            <w:w w:val="100"/>
                            <w:sz w:val="20"/>
                          </w:rPr>
                          <w:t>t</w:t>
                        </w:r>
                      </w:p>
                    </w:tc>
                    <w:tc>
                      <w:tcPr>
                        <w:tcW w:w="955" w:type="dxa"/>
                      </w:tcPr>
                      <w:p>
                        <w:pPr>
                          <w:pStyle w:val="TableParagraph"/>
                          <w:spacing w:line="227" w:lineRule="exact"/>
                          <w:ind w:right="228"/>
                          <w:jc w:val="right"/>
                          <w:rPr>
                            <w:sz w:val="20"/>
                          </w:rPr>
                        </w:pPr>
                        <w:r>
                          <w:rPr>
                            <w:sz w:val="20"/>
                          </w:rPr>
                          <w:t>338.6</w:t>
                        </w:r>
                      </w:p>
                    </w:tc>
                    <w:tc>
                      <w:tcPr>
                        <w:tcW w:w="853" w:type="dxa"/>
                      </w:tcPr>
                      <w:p>
                        <w:pPr>
                          <w:pStyle w:val="TableParagraph"/>
                          <w:spacing w:line="227" w:lineRule="exact"/>
                          <w:ind w:right="165"/>
                          <w:jc w:val="right"/>
                          <w:rPr>
                            <w:sz w:val="20"/>
                          </w:rPr>
                        </w:pPr>
                        <w:r>
                          <w:rPr>
                            <w:sz w:val="20"/>
                          </w:rPr>
                          <w:t>390.2</w:t>
                        </w:r>
                      </w:p>
                    </w:tc>
                    <w:tc>
                      <w:tcPr>
                        <w:tcW w:w="787" w:type="dxa"/>
                      </w:tcPr>
                      <w:p>
                        <w:pPr>
                          <w:pStyle w:val="TableParagraph"/>
                          <w:spacing w:line="227" w:lineRule="exact"/>
                          <w:ind w:right="162"/>
                          <w:jc w:val="right"/>
                          <w:rPr>
                            <w:sz w:val="20"/>
                          </w:rPr>
                        </w:pPr>
                        <w:r>
                          <w:rPr>
                            <w:sz w:val="20"/>
                          </w:rPr>
                          <w:t>379.4</w:t>
                        </w:r>
                      </w:p>
                    </w:tc>
                    <w:tc>
                      <w:tcPr>
                        <w:tcW w:w="719" w:type="dxa"/>
                      </w:tcPr>
                      <w:p>
                        <w:pPr>
                          <w:pStyle w:val="TableParagraph"/>
                          <w:spacing w:line="227" w:lineRule="exact"/>
                          <w:ind w:right="98"/>
                          <w:jc w:val="right"/>
                          <w:rPr>
                            <w:sz w:val="20"/>
                          </w:rPr>
                        </w:pPr>
                        <w:r>
                          <w:rPr>
                            <w:sz w:val="20"/>
                          </w:rPr>
                          <w:t>392.4</w:t>
                        </w:r>
                      </w:p>
                    </w:tc>
                    <w:tc>
                      <w:tcPr>
                        <w:tcW w:w="691" w:type="dxa"/>
                      </w:tcPr>
                      <w:p>
                        <w:pPr>
                          <w:pStyle w:val="TableParagraph"/>
                          <w:spacing w:line="227" w:lineRule="exact"/>
                          <w:ind w:right="132"/>
                          <w:jc w:val="right"/>
                          <w:rPr>
                            <w:sz w:val="20"/>
                          </w:rPr>
                        </w:pPr>
                        <w:r>
                          <w:rPr>
                            <w:sz w:val="20"/>
                          </w:rPr>
                          <w:t>105.8</w:t>
                        </w:r>
                      </w:p>
                    </w:tc>
                    <w:tc>
                      <w:tcPr>
                        <w:tcW w:w="519" w:type="dxa"/>
                      </w:tcPr>
                      <w:p>
                        <w:pPr>
                          <w:pStyle w:val="TableParagraph"/>
                          <w:spacing w:line="227" w:lineRule="exact"/>
                          <w:ind w:left="183" w:right="44"/>
                          <w:jc w:val="center"/>
                          <w:rPr>
                            <w:sz w:val="20"/>
                          </w:rPr>
                        </w:pPr>
                        <w:r>
                          <w:rPr>
                            <w:sz w:val="20"/>
                          </w:rPr>
                          <w:t>8.7</w:t>
                        </w:r>
                      </w:p>
                    </w:tc>
                  </w:tr>
                  <w:tr>
                    <w:trPr>
                      <w:trHeight w:val="257" w:hRule="exact"/>
                    </w:trPr>
                    <w:tc>
                      <w:tcPr>
                        <w:tcW w:w="3500" w:type="dxa"/>
                      </w:tcPr>
                      <w:p>
                        <w:pPr>
                          <w:pStyle w:val="TableParagraph"/>
                          <w:spacing w:before="11"/>
                          <w:ind w:left="71"/>
                          <w:rPr>
                            <w:sz w:val="20"/>
                          </w:rPr>
                        </w:pPr>
                        <w:r>
                          <w:rPr>
                            <w:sz w:val="20"/>
                          </w:rPr>
                          <w:t>Acetic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60.1</w:t>
                        </w:r>
                      </w:p>
                    </w:tc>
                    <w:tc>
                      <w:tcPr>
                        <w:tcW w:w="853" w:type="dxa"/>
                      </w:tcPr>
                      <w:p>
                        <w:pPr>
                          <w:pStyle w:val="TableParagraph"/>
                          <w:spacing w:line="227" w:lineRule="exact"/>
                          <w:ind w:right="165"/>
                          <w:jc w:val="right"/>
                          <w:rPr>
                            <w:sz w:val="20"/>
                          </w:rPr>
                        </w:pPr>
                        <w:r>
                          <w:rPr>
                            <w:sz w:val="20"/>
                          </w:rPr>
                          <w:t>13.1</w:t>
                        </w:r>
                      </w:p>
                    </w:tc>
                    <w:tc>
                      <w:tcPr>
                        <w:tcW w:w="787" w:type="dxa"/>
                      </w:tcPr>
                      <w:p>
                        <w:pPr>
                          <w:pStyle w:val="TableParagraph"/>
                          <w:spacing w:line="227" w:lineRule="exact"/>
                          <w:ind w:right="162"/>
                          <w:jc w:val="right"/>
                          <w:rPr>
                            <w:sz w:val="20"/>
                          </w:rPr>
                        </w:pPr>
                        <w:r>
                          <w:rPr>
                            <w:sz w:val="20"/>
                          </w:rPr>
                          <w:t>6.4</w:t>
                        </w:r>
                      </w:p>
                    </w:tc>
                    <w:tc>
                      <w:tcPr>
                        <w:tcW w:w="719" w:type="dxa"/>
                      </w:tcPr>
                      <w:p>
                        <w:pPr>
                          <w:pStyle w:val="TableParagraph"/>
                          <w:spacing w:line="227" w:lineRule="exact"/>
                          <w:ind w:right="98"/>
                          <w:jc w:val="right"/>
                          <w:rPr>
                            <w:sz w:val="20"/>
                          </w:rPr>
                        </w:pPr>
                        <w:r>
                          <w:rPr>
                            <w:sz w:val="20"/>
                          </w:rPr>
                          <w:t>14.4</w:t>
                        </w:r>
                      </w:p>
                    </w:tc>
                    <w:tc>
                      <w:tcPr>
                        <w:tcW w:w="691" w:type="dxa"/>
                      </w:tcPr>
                      <w:p>
                        <w:pPr>
                          <w:pStyle w:val="TableParagraph"/>
                          <w:spacing w:line="227" w:lineRule="exact"/>
                          <w:ind w:right="132"/>
                          <w:jc w:val="right"/>
                          <w:rPr>
                            <w:sz w:val="20"/>
                          </w:rPr>
                        </w:pPr>
                        <w:r>
                          <w:rPr>
                            <w:sz w:val="20"/>
                          </w:rPr>
                          <w:t>12.6</w:t>
                        </w:r>
                      </w:p>
                    </w:tc>
                    <w:tc>
                      <w:tcPr>
                        <w:tcW w:w="519" w:type="dxa"/>
                      </w:tcPr>
                      <w:p>
                        <w:pPr>
                          <w:pStyle w:val="TableParagraph"/>
                          <w:spacing w:line="227" w:lineRule="exact"/>
                          <w:ind w:left="116" w:right="44"/>
                          <w:jc w:val="center"/>
                          <w:rPr>
                            <w:sz w:val="20"/>
                          </w:rPr>
                        </w:pPr>
                        <w:r>
                          <w:rPr>
                            <w:sz w:val="20"/>
                          </w:rPr>
                          <w:t>-0.2</w:t>
                        </w:r>
                      </w:p>
                    </w:tc>
                  </w:tr>
                  <w:tr>
                    <w:trPr>
                      <w:trHeight w:val="257" w:hRule="exact"/>
                    </w:trPr>
                    <w:tc>
                      <w:tcPr>
                        <w:tcW w:w="3500" w:type="dxa"/>
                      </w:tcPr>
                      <w:p>
                        <w:pPr>
                          <w:pStyle w:val="TableParagraph"/>
                          <w:spacing w:before="9"/>
                          <w:ind w:left="71"/>
                          <w:rPr>
                            <w:sz w:val="20"/>
                          </w:rPr>
                        </w:pPr>
                        <w:r>
                          <w:rPr>
                            <w:sz w:val="20"/>
                          </w:rPr>
                          <w:t>Propionic acid</w:t>
                        </w:r>
                      </w:p>
                    </w:tc>
                    <w:tc>
                      <w:tcPr>
                        <w:tcW w:w="961" w:type="dxa"/>
                      </w:tcPr>
                      <w:p>
                        <w:pPr>
                          <w:pStyle w:val="TableParagraph"/>
                          <w:spacing w:line="225" w:lineRule="exact"/>
                          <w:ind w:right="85"/>
                          <w:jc w:val="center"/>
                          <w:rPr>
                            <w:i/>
                            <w:sz w:val="20"/>
                          </w:rPr>
                        </w:pPr>
                        <w:r>
                          <w:rPr>
                            <w:i/>
                            <w:w w:val="100"/>
                            <w:sz w:val="20"/>
                          </w:rPr>
                          <w:t>l</w:t>
                        </w:r>
                      </w:p>
                    </w:tc>
                    <w:tc>
                      <w:tcPr>
                        <w:tcW w:w="955" w:type="dxa"/>
                      </w:tcPr>
                      <w:p>
                        <w:pPr>
                          <w:pStyle w:val="TableParagraph"/>
                          <w:spacing w:line="225" w:lineRule="exact"/>
                          <w:ind w:right="228"/>
                          <w:jc w:val="right"/>
                          <w:rPr>
                            <w:sz w:val="20"/>
                          </w:rPr>
                        </w:pPr>
                        <w:r>
                          <w:rPr>
                            <w:sz w:val="20"/>
                          </w:rPr>
                          <w:t>74.1</w:t>
                        </w:r>
                      </w:p>
                    </w:tc>
                    <w:tc>
                      <w:tcPr>
                        <w:tcW w:w="853" w:type="dxa"/>
                      </w:tcPr>
                      <w:p>
                        <w:pPr>
                          <w:pStyle w:val="TableParagraph"/>
                          <w:spacing w:line="225" w:lineRule="exact"/>
                          <w:ind w:right="165"/>
                          <w:jc w:val="right"/>
                          <w:rPr>
                            <w:sz w:val="20"/>
                          </w:rPr>
                        </w:pPr>
                        <w:r>
                          <w:rPr>
                            <w:sz w:val="20"/>
                          </w:rPr>
                          <w:t>19.2</w:t>
                        </w:r>
                      </w:p>
                    </w:tc>
                    <w:tc>
                      <w:tcPr>
                        <w:tcW w:w="787" w:type="dxa"/>
                      </w:tcPr>
                      <w:p>
                        <w:pPr>
                          <w:pStyle w:val="TableParagraph"/>
                          <w:spacing w:line="225" w:lineRule="exact"/>
                          <w:ind w:right="162"/>
                          <w:jc w:val="right"/>
                          <w:rPr>
                            <w:sz w:val="20"/>
                          </w:rPr>
                        </w:pPr>
                        <w:r>
                          <w:rPr>
                            <w:sz w:val="20"/>
                          </w:rPr>
                          <w:t>11.8</w:t>
                        </w:r>
                      </w:p>
                    </w:tc>
                    <w:tc>
                      <w:tcPr>
                        <w:tcW w:w="719" w:type="dxa"/>
                      </w:tcPr>
                      <w:p>
                        <w:pPr>
                          <w:pStyle w:val="TableParagraph"/>
                          <w:spacing w:line="225" w:lineRule="exact"/>
                          <w:ind w:right="98"/>
                          <w:jc w:val="right"/>
                          <w:rPr>
                            <w:sz w:val="20"/>
                          </w:rPr>
                        </w:pPr>
                        <w:r>
                          <w:rPr>
                            <w:sz w:val="20"/>
                          </w:rPr>
                          <w:t>20.7</w:t>
                        </w:r>
                      </w:p>
                    </w:tc>
                    <w:tc>
                      <w:tcPr>
                        <w:tcW w:w="691" w:type="dxa"/>
                      </w:tcPr>
                      <w:p>
                        <w:pPr>
                          <w:pStyle w:val="TableParagraph"/>
                          <w:spacing w:line="225" w:lineRule="exact"/>
                          <w:ind w:right="132"/>
                          <w:jc w:val="right"/>
                          <w:rPr>
                            <w:sz w:val="20"/>
                          </w:rPr>
                        </w:pPr>
                        <w:r>
                          <w:rPr>
                            <w:sz w:val="20"/>
                          </w:rPr>
                          <w:t>17.3</w:t>
                        </w:r>
                      </w:p>
                    </w:tc>
                    <w:tc>
                      <w:tcPr>
                        <w:tcW w:w="519" w:type="dxa"/>
                      </w:tcPr>
                      <w:p>
                        <w:pPr>
                          <w:pStyle w:val="TableParagraph"/>
                          <w:spacing w:line="225" w:lineRule="exact"/>
                          <w:ind w:left="183" w:right="44"/>
                          <w:jc w:val="center"/>
                          <w:rPr>
                            <w:sz w:val="20"/>
                          </w:rPr>
                        </w:pPr>
                        <w:r>
                          <w:rPr>
                            <w:sz w:val="20"/>
                          </w:rPr>
                          <w:t>0.4</w:t>
                        </w:r>
                      </w:p>
                    </w:tc>
                  </w:tr>
                  <w:tr>
                    <w:trPr>
                      <w:trHeight w:val="259" w:hRule="exact"/>
                    </w:trPr>
                    <w:tc>
                      <w:tcPr>
                        <w:tcW w:w="3500" w:type="dxa"/>
                      </w:tcPr>
                      <w:p>
                        <w:pPr>
                          <w:pStyle w:val="TableParagraph"/>
                          <w:spacing w:before="11"/>
                          <w:ind w:left="71"/>
                          <w:rPr>
                            <w:sz w:val="20"/>
                          </w:rPr>
                        </w:pPr>
                        <w:r>
                          <w:rPr>
                            <w:sz w:val="20"/>
                          </w:rPr>
                          <w:t>Isobutyric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88.1</w:t>
                        </w:r>
                      </w:p>
                    </w:tc>
                    <w:tc>
                      <w:tcPr>
                        <w:tcW w:w="853" w:type="dxa"/>
                      </w:tcPr>
                      <w:p>
                        <w:pPr>
                          <w:pStyle w:val="TableParagraph"/>
                          <w:spacing w:line="227" w:lineRule="exact"/>
                          <w:ind w:right="165"/>
                          <w:jc w:val="right"/>
                          <w:rPr>
                            <w:sz w:val="20"/>
                          </w:rPr>
                        </w:pPr>
                        <w:r>
                          <w:rPr>
                            <w:sz w:val="20"/>
                          </w:rPr>
                          <w:t>24.6</w:t>
                        </w:r>
                      </w:p>
                    </w:tc>
                    <w:tc>
                      <w:tcPr>
                        <w:tcW w:w="787" w:type="dxa"/>
                      </w:tcPr>
                      <w:p>
                        <w:pPr>
                          <w:pStyle w:val="TableParagraph"/>
                          <w:spacing w:line="227" w:lineRule="exact"/>
                          <w:ind w:right="162"/>
                          <w:jc w:val="right"/>
                          <w:rPr>
                            <w:sz w:val="20"/>
                          </w:rPr>
                        </w:pPr>
                        <w:r>
                          <w:rPr>
                            <w:sz w:val="20"/>
                          </w:rPr>
                          <w:t>16.7</w:t>
                        </w:r>
                      </w:p>
                    </w:tc>
                    <w:tc>
                      <w:tcPr>
                        <w:tcW w:w="719" w:type="dxa"/>
                      </w:tcPr>
                      <w:p>
                        <w:pPr>
                          <w:pStyle w:val="TableParagraph"/>
                          <w:spacing w:line="227" w:lineRule="exact"/>
                          <w:ind w:right="98"/>
                          <w:jc w:val="right"/>
                          <w:rPr>
                            <w:sz w:val="20"/>
                          </w:rPr>
                        </w:pPr>
                        <w:r>
                          <w:rPr>
                            <w:sz w:val="20"/>
                          </w:rPr>
                          <w:t>26.2</w:t>
                        </w:r>
                      </w:p>
                    </w:tc>
                    <w:tc>
                      <w:tcPr>
                        <w:tcW w:w="691" w:type="dxa"/>
                      </w:tcPr>
                      <w:p>
                        <w:pPr>
                          <w:pStyle w:val="TableParagraph"/>
                          <w:spacing w:line="227" w:lineRule="exact"/>
                          <w:ind w:right="132"/>
                          <w:jc w:val="right"/>
                          <w:rPr>
                            <w:sz w:val="20"/>
                          </w:rPr>
                        </w:pPr>
                        <w:r>
                          <w:rPr>
                            <w:sz w:val="20"/>
                          </w:rPr>
                          <w:t>21.8</w:t>
                        </w:r>
                      </w:p>
                    </w:tc>
                    <w:tc>
                      <w:tcPr>
                        <w:tcW w:w="519" w:type="dxa"/>
                      </w:tcPr>
                      <w:p>
                        <w:pPr>
                          <w:pStyle w:val="TableParagraph"/>
                          <w:spacing w:line="227" w:lineRule="exact"/>
                          <w:ind w:left="183" w:right="44"/>
                          <w:jc w:val="center"/>
                          <w:rPr>
                            <w:sz w:val="20"/>
                          </w:rPr>
                        </w:pPr>
                        <w:r>
                          <w:rPr>
                            <w:sz w:val="20"/>
                          </w:rPr>
                          <w:t>0.9</w:t>
                        </w:r>
                      </w:p>
                    </w:tc>
                  </w:tr>
                  <w:tr>
                    <w:trPr>
                      <w:trHeight w:val="259" w:hRule="exact"/>
                    </w:trPr>
                    <w:tc>
                      <w:tcPr>
                        <w:tcW w:w="3500" w:type="dxa"/>
                      </w:tcPr>
                      <w:p>
                        <w:pPr>
                          <w:pStyle w:val="TableParagraph"/>
                          <w:spacing w:before="11"/>
                          <w:ind w:left="71"/>
                          <w:rPr>
                            <w:sz w:val="20"/>
                          </w:rPr>
                        </w:pPr>
                        <w:r>
                          <w:rPr>
                            <w:sz w:val="20"/>
                          </w:rPr>
                          <w:t>Butyric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88.1</w:t>
                        </w:r>
                      </w:p>
                    </w:tc>
                    <w:tc>
                      <w:tcPr>
                        <w:tcW w:w="853" w:type="dxa"/>
                      </w:tcPr>
                      <w:p>
                        <w:pPr>
                          <w:pStyle w:val="TableParagraph"/>
                          <w:spacing w:line="227" w:lineRule="exact"/>
                          <w:ind w:right="165"/>
                          <w:jc w:val="right"/>
                          <w:rPr>
                            <w:sz w:val="20"/>
                          </w:rPr>
                        </w:pPr>
                        <w:r>
                          <w:rPr>
                            <w:sz w:val="20"/>
                          </w:rPr>
                          <w:t>26.7</w:t>
                        </w:r>
                      </w:p>
                    </w:tc>
                    <w:tc>
                      <w:tcPr>
                        <w:tcW w:w="787" w:type="dxa"/>
                      </w:tcPr>
                      <w:p>
                        <w:pPr>
                          <w:pStyle w:val="TableParagraph"/>
                          <w:spacing w:line="227" w:lineRule="exact"/>
                          <w:ind w:right="162"/>
                          <w:jc w:val="right"/>
                          <w:rPr>
                            <w:sz w:val="20"/>
                          </w:rPr>
                        </w:pPr>
                        <w:r>
                          <w:rPr>
                            <w:sz w:val="20"/>
                          </w:rPr>
                          <w:t>18.8</w:t>
                        </w:r>
                      </w:p>
                    </w:tc>
                    <w:tc>
                      <w:tcPr>
                        <w:tcW w:w="719" w:type="dxa"/>
                      </w:tcPr>
                      <w:p>
                        <w:pPr>
                          <w:pStyle w:val="TableParagraph"/>
                          <w:spacing w:line="227" w:lineRule="exact"/>
                          <w:ind w:right="98"/>
                          <w:jc w:val="right"/>
                          <w:rPr>
                            <w:sz w:val="20"/>
                          </w:rPr>
                        </w:pPr>
                        <w:r>
                          <w:rPr>
                            <w:sz w:val="20"/>
                          </w:rPr>
                          <w:t>28.3</w:t>
                        </w:r>
                      </w:p>
                    </w:tc>
                    <w:tc>
                      <w:tcPr>
                        <w:tcW w:w="691" w:type="dxa"/>
                      </w:tcPr>
                      <w:p>
                        <w:pPr>
                          <w:pStyle w:val="TableParagraph"/>
                          <w:spacing w:line="227" w:lineRule="exact"/>
                          <w:ind w:right="132"/>
                          <w:jc w:val="right"/>
                          <w:rPr>
                            <w:sz w:val="20"/>
                          </w:rPr>
                        </w:pPr>
                        <w:r>
                          <w:rPr>
                            <w:sz w:val="20"/>
                          </w:rPr>
                          <w:t>21.9</w:t>
                        </w:r>
                      </w:p>
                    </w:tc>
                    <w:tc>
                      <w:tcPr>
                        <w:tcW w:w="519" w:type="dxa"/>
                      </w:tcPr>
                      <w:p>
                        <w:pPr>
                          <w:pStyle w:val="TableParagraph"/>
                          <w:spacing w:line="227" w:lineRule="exact"/>
                          <w:ind w:left="183" w:right="44"/>
                          <w:jc w:val="center"/>
                          <w:rPr>
                            <w:sz w:val="20"/>
                          </w:rPr>
                        </w:pPr>
                        <w:r>
                          <w:rPr>
                            <w:sz w:val="20"/>
                          </w:rPr>
                          <w:t>0.9</w:t>
                        </w:r>
                      </w:p>
                    </w:tc>
                  </w:tr>
                  <w:tr>
                    <w:trPr>
                      <w:trHeight w:val="257" w:hRule="exact"/>
                    </w:trPr>
                    <w:tc>
                      <w:tcPr>
                        <w:tcW w:w="3500" w:type="dxa"/>
                      </w:tcPr>
                      <w:p>
                        <w:pPr>
                          <w:pStyle w:val="TableParagraph"/>
                          <w:spacing w:before="11"/>
                          <w:ind w:left="71"/>
                          <w:rPr>
                            <w:sz w:val="20"/>
                          </w:rPr>
                        </w:pPr>
                        <w:r>
                          <w:rPr>
                            <w:sz w:val="20"/>
                          </w:rPr>
                          <w:t>Isovaleric acid</w:t>
                        </w:r>
                      </w:p>
                    </w:tc>
                    <w:tc>
                      <w:tcPr>
                        <w:tcW w:w="961" w:type="dxa"/>
                      </w:tcPr>
                      <w:p>
                        <w:pPr>
                          <w:pStyle w:val="TableParagraph"/>
                          <w:spacing w:line="227" w:lineRule="exact"/>
                          <w:ind w:right="85"/>
                          <w:jc w:val="center"/>
                          <w:rPr>
                            <w:i/>
                            <w:sz w:val="20"/>
                          </w:rPr>
                        </w:pPr>
                        <w:r>
                          <w:rPr>
                            <w:i/>
                            <w:w w:val="100"/>
                            <w:sz w:val="20"/>
                          </w:rPr>
                          <w:t>l</w:t>
                        </w:r>
                      </w:p>
                    </w:tc>
                    <w:tc>
                      <w:tcPr>
                        <w:tcW w:w="955" w:type="dxa"/>
                      </w:tcPr>
                      <w:p>
                        <w:pPr>
                          <w:pStyle w:val="TableParagraph"/>
                          <w:spacing w:line="227" w:lineRule="exact"/>
                          <w:ind w:right="228"/>
                          <w:jc w:val="right"/>
                          <w:rPr>
                            <w:sz w:val="20"/>
                          </w:rPr>
                        </w:pPr>
                        <w:r>
                          <w:rPr>
                            <w:sz w:val="20"/>
                          </w:rPr>
                          <w:t>102.2</w:t>
                        </w:r>
                      </w:p>
                    </w:tc>
                    <w:tc>
                      <w:tcPr>
                        <w:tcW w:w="853" w:type="dxa"/>
                      </w:tcPr>
                      <w:p>
                        <w:pPr>
                          <w:pStyle w:val="TableParagraph"/>
                          <w:spacing w:line="227" w:lineRule="exact"/>
                          <w:ind w:right="165"/>
                          <w:jc w:val="right"/>
                          <w:rPr>
                            <w:sz w:val="20"/>
                          </w:rPr>
                        </w:pPr>
                        <w:r>
                          <w:rPr>
                            <w:sz w:val="20"/>
                          </w:rPr>
                          <w:t>33.2</w:t>
                        </w:r>
                      </w:p>
                    </w:tc>
                    <w:tc>
                      <w:tcPr>
                        <w:tcW w:w="787" w:type="dxa"/>
                      </w:tcPr>
                      <w:p>
                        <w:pPr>
                          <w:pStyle w:val="TableParagraph"/>
                          <w:spacing w:line="227" w:lineRule="exact"/>
                          <w:ind w:right="162"/>
                          <w:jc w:val="right"/>
                          <w:rPr>
                            <w:sz w:val="20"/>
                          </w:rPr>
                        </w:pPr>
                        <w:r>
                          <w:rPr>
                            <w:sz w:val="20"/>
                          </w:rPr>
                          <w:t>24.9</w:t>
                        </w:r>
                      </w:p>
                    </w:tc>
                    <w:tc>
                      <w:tcPr>
                        <w:tcW w:w="719" w:type="dxa"/>
                      </w:tcPr>
                      <w:p>
                        <w:pPr>
                          <w:pStyle w:val="TableParagraph"/>
                          <w:spacing w:line="227" w:lineRule="exact"/>
                          <w:ind w:right="98"/>
                          <w:jc w:val="right"/>
                          <w:rPr>
                            <w:sz w:val="20"/>
                          </w:rPr>
                        </w:pPr>
                        <w:r>
                          <w:rPr>
                            <w:sz w:val="20"/>
                          </w:rPr>
                          <w:t>34.9</w:t>
                        </w:r>
                      </w:p>
                    </w:tc>
                    <w:tc>
                      <w:tcPr>
                        <w:tcW w:w="691" w:type="dxa"/>
                      </w:tcPr>
                      <w:p>
                        <w:pPr>
                          <w:pStyle w:val="TableParagraph"/>
                          <w:spacing w:line="227" w:lineRule="exact"/>
                          <w:ind w:right="132"/>
                          <w:jc w:val="right"/>
                          <w:rPr>
                            <w:sz w:val="20"/>
                          </w:rPr>
                        </w:pPr>
                        <w:r>
                          <w:rPr>
                            <w:sz w:val="20"/>
                          </w:rPr>
                          <w:t>26.4</w:t>
                        </w:r>
                      </w:p>
                    </w:tc>
                    <w:tc>
                      <w:tcPr>
                        <w:tcW w:w="519" w:type="dxa"/>
                      </w:tcPr>
                      <w:p>
                        <w:pPr>
                          <w:pStyle w:val="TableParagraph"/>
                          <w:spacing w:line="227" w:lineRule="exact"/>
                          <w:ind w:left="183" w:right="44"/>
                          <w:jc w:val="center"/>
                          <w:rPr>
                            <w:sz w:val="20"/>
                          </w:rPr>
                        </w:pPr>
                        <w:r>
                          <w:rPr>
                            <w:sz w:val="20"/>
                          </w:rPr>
                          <w:t>1.1</w:t>
                        </w:r>
                      </w:p>
                    </w:tc>
                  </w:tr>
                  <w:tr>
                    <w:trPr>
                      <w:trHeight w:val="254" w:hRule="exact"/>
                    </w:trPr>
                    <w:tc>
                      <w:tcPr>
                        <w:tcW w:w="3500" w:type="dxa"/>
                        <w:tcBorders>
                          <w:bottom w:val="single" w:sz="4" w:space="0" w:color="000000"/>
                        </w:tcBorders>
                      </w:tcPr>
                      <w:p>
                        <w:pPr>
                          <w:pStyle w:val="TableParagraph"/>
                          <w:spacing w:before="9"/>
                          <w:ind w:left="71"/>
                          <w:rPr>
                            <w:sz w:val="20"/>
                          </w:rPr>
                        </w:pPr>
                        <w:r>
                          <w:rPr>
                            <w:sz w:val="20"/>
                          </w:rPr>
                          <w:t>Valeric acid</w:t>
                        </w:r>
                      </w:p>
                    </w:tc>
                    <w:tc>
                      <w:tcPr>
                        <w:tcW w:w="961" w:type="dxa"/>
                        <w:tcBorders>
                          <w:bottom w:val="single" w:sz="4" w:space="0" w:color="000000"/>
                        </w:tcBorders>
                      </w:tcPr>
                      <w:p>
                        <w:pPr>
                          <w:pStyle w:val="TableParagraph"/>
                          <w:spacing w:line="225" w:lineRule="exact"/>
                          <w:ind w:right="85"/>
                          <w:jc w:val="center"/>
                          <w:rPr>
                            <w:i/>
                            <w:sz w:val="20"/>
                          </w:rPr>
                        </w:pPr>
                        <w:r>
                          <w:rPr>
                            <w:i/>
                            <w:w w:val="100"/>
                            <w:sz w:val="20"/>
                          </w:rPr>
                          <w:t>l</w:t>
                        </w:r>
                      </w:p>
                    </w:tc>
                    <w:tc>
                      <w:tcPr>
                        <w:tcW w:w="955" w:type="dxa"/>
                        <w:tcBorders>
                          <w:bottom w:val="single" w:sz="4" w:space="0" w:color="000000"/>
                        </w:tcBorders>
                      </w:tcPr>
                      <w:p>
                        <w:pPr>
                          <w:pStyle w:val="TableParagraph"/>
                          <w:spacing w:line="225" w:lineRule="exact"/>
                          <w:ind w:right="228"/>
                          <w:jc w:val="right"/>
                          <w:rPr>
                            <w:sz w:val="20"/>
                          </w:rPr>
                        </w:pPr>
                        <w:r>
                          <w:rPr>
                            <w:sz w:val="20"/>
                          </w:rPr>
                          <w:t>102.2</w:t>
                        </w:r>
                      </w:p>
                    </w:tc>
                    <w:tc>
                      <w:tcPr>
                        <w:tcW w:w="853" w:type="dxa"/>
                        <w:tcBorders>
                          <w:bottom w:val="single" w:sz="4" w:space="0" w:color="000000"/>
                        </w:tcBorders>
                      </w:tcPr>
                      <w:p>
                        <w:pPr>
                          <w:pStyle w:val="TableParagraph"/>
                          <w:spacing w:line="225" w:lineRule="exact"/>
                          <w:ind w:right="165"/>
                          <w:jc w:val="right"/>
                          <w:rPr>
                            <w:sz w:val="20"/>
                          </w:rPr>
                        </w:pPr>
                        <w:r>
                          <w:rPr>
                            <w:sz w:val="20"/>
                          </w:rPr>
                          <w:t>35.6</w:t>
                        </w:r>
                      </w:p>
                    </w:tc>
                    <w:tc>
                      <w:tcPr>
                        <w:tcW w:w="787" w:type="dxa"/>
                        <w:tcBorders>
                          <w:bottom w:val="single" w:sz="4" w:space="0" w:color="000000"/>
                        </w:tcBorders>
                      </w:tcPr>
                      <w:p>
                        <w:pPr>
                          <w:pStyle w:val="TableParagraph"/>
                          <w:spacing w:line="225" w:lineRule="exact"/>
                          <w:ind w:right="162"/>
                          <w:jc w:val="right"/>
                          <w:rPr>
                            <w:sz w:val="20"/>
                          </w:rPr>
                        </w:pPr>
                        <w:r>
                          <w:rPr>
                            <w:sz w:val="20"/>
                          </w:rPr>
                          <w:t>27.4</w:t>
                        </w:r>
                      </w:p>
                    </w:tc>
                    <w:tc>
                      <w:tcPr>
                        <w:tcW w:w="719" w:type="dxa"/>
                        <w:tcBorders>
                          <w:bottom w:val="single" w:sz="4" w:space="0" w:color="000000"/>
                        </w:tcBorders>
                      </w:tcPr>
                      <w:p>
                        <w:pPr>
                          <w:pStyle w:val="TableParagraph"/>
                          <w:spacing w:line="225" w:lineRule="exact"/>
                          <w:ind w:right="98"/>
                          <w:jc w:val="right"/>
                          <w:rPr>
                            <w:sz w:val="20"/>
                          </w:rPr>
                        </w:pPr>
                        <w:r>
                          <w:rPr>
                            <w:sz w:val="20"/>
                          </w:rPr>
                          <w:t>37.4</w:t>
                        </w:r>
                      </w:p>
                    </w:tc>
                    <w:tc>
                      <w:tcPr>
                        <w:tcW w:w="691" w:type="dxa"/>
                        <w:tcBorders>
                          <w:bottom w:val="single" w:sz="4" w:space="0" w:color="000000"/>
                        </w:tcBorders>
                      </w:tcPr>
                      <w:p>
                        <w:pPr>
                          <w:pStyle w:val="TableParagraph"/>
                          <w:spacing w:line="225" w:lineRule="exact"/>
                          <w:ind w:right="132"/>
                          <w:jc w:val="right"/>
                          <w:rPr>
                            <w:sz w:val="20"/>
                          </w:rPr>
                        </w:pPr>
                        <w:r>
                          <w:rPr>
                            <w:sz w:val="20"/>
                          </w:rPr>
                          <w:t>26.5</w:t>
                        </w:r>
                      </w:p>
                    </w:tc>
                    <w:tc>
                      <w:tcPr>
                        <w:tcW w:w="519" w:type="dxa"/>
                        <w:tcBorders>
                          <w:bottom w:val="single" w:sz="4" w:space="0" w:color="000000"/>
                        </w:tcBorders>
                      </w:tcPr>
                      <w:p>
                        <w:pPr>
                          <w:pStyle w:val="TableParagraph"/>
                          <w:spacing w:line="225" w:lineRule="exact"/>
                          <w:ind w:left="183" w:right="44"/>
                          <w:jc w:val="center"/>
                          <w:rPr>
                            <w:sz w:val="20"/>
                          </w:rPr>
                        </w:pPr>
                        <w:r>
                          <w:rPr>
                            <w:sz w:val="20"/>
                          </w:rPr>
                          <w:t>1.3</w:t>
                        </w:r>
                      </w:p>
                    </w:tc>
                  </w:tr>
                </w:tbl>
                <w:p>
                  <w:pPr>
                    <w:pStyle w:val="BodyText"/>
                  </w:pPr>
                </w:p>
              </w:txbxContent>
            </v:textbox>
            <w10:wrap type="none"/>
          </v:shape>
        </w:pict>
      </w:r>
      <w:r>
        <w:rPr>
          <w:rFonts w:ascii="Times New Roman"/>
          <w:sz w:val="20"/>
        </w:rPr>
        <w:t>Name </w:t>
      </w:r>
      <w:r>
        <w:rPr>
          <w:rFonts w:ascii="Times New Roman"/>
          <w:spacing w:val="-3"/>
          <w:sz w:val="20"/>
        </w:rPr>
        <w:t>of </w:t>
      </w:r>
      <w:r>
        <w:rPr>
          <w:rFonts w:ascii="Times New Roman"/>
          <w:sz w:val="20"/>
        </w:rPr>
        <w:t>fatty acids in</w:t>
      </w:r>
      <w:r>
        <w:rPr>
          <w:rFonts w:ascii="Times New Roman"/>
          <w:spacing w:val="-2"/>
          <w:sz w:val="20"/>
        </w:rPr>
        <w:t> </w:t>
      </w:r>
      <w:r>
        <w:rPr>
          <w:rFonts w:ascii="Times New Roman"/>
          <w:sz w:val="20"/>
        </w:rPr>
        <w:t>ChEBI</w:t>
      </w:r>
      <w:r>
        <w:rPr>
          <w:rFonts w:ascii="Times New Roman"/>
          <w:spacing w:val="-13"/>
          <w:sz w:val="20"/>
        </w:rPr>
        <w:t> </w:t>
      </w:r>
      <w:r>
        <w:rPr>
          <w:rFonts w:ascii="Times New Roman"/>
          <w:i/>
          <w:position w:val="7"/>
          <w:sz w:val="13"/>
        </w:rPr>
        <w:t>a</w:t>
        <w:tab/>
      </w:r>
      <w:r>
        <w:rPr>
          <w:rFonts w:ascii="Times New Roman"/>
          <w:i/>
          <w:spacing w:val="-1"/>
          <w:position w:val="12"/>
          <w:sz w:val="20"/>
        </w:rPr>
        <w:t>cis</w:t>
      </w:r>
      <w:r>
        <w:rPr>
          <w:rFonts w:ascii="Times New Roman"/>
          <w:spacing w:val="-1"/>
          <w:position w:val="12"/>
          <w:sz w:val="20"/>
        </w:rPr>
        <w:t>/</w:t>
      </w:r>
      <w:r>
        <w:rPr>
          <w:rFonts w:ascii="Times New Roman"/>
          <w:i/>
          <w:spacing w:val="-1"/>
          <w:position w:val="12"/>
          <w:sz w:val="20"/>
        </w:rPr>
        <w:t>trans</w:t>
      </w:r>
    </w:p>
    <w:p>
      <w:pPr>
        <w:spacing w:line="205" w:lineRule="exact" w:before="0"/>
        <w:ind w:left="259" w:right="0" w:firstLine="0"/>
        <w:jc w:val="left"/>
        <w:rPr>
          <w:rFonts w:ascii="Times New Roman"/>
          <w:sz w:val="20"/>
        </w:rPr>
      </w:pPr>
      <w:r>
        <w:rPr/>
        <w:br w:type="column"/>
      </w:r>
      <w:r>
        <w:rPr>
          <w:rFonts w:ascii="Times New Roman"/>
          <w:sz w:val="20"/>
        </w:rPr>
        <w:t>DRAGON software variables- outputs</w:t>
      </w:r>
    </w:p>
    <w:p>
      <w:pPr>
        <w:spacing w:after="0" w:line="205" w:lineRule="exact"/>
        <w:jc w:val="left"/>
        <w:rPr>
          <w:rFonts w:ascii="Times New Roman"/>
          <w:sz w:val="20"/>
        </w:rPr>
        <w:sectPr>
          <w:type w:val="continuous"/>
          <w:pgSz w:w="12240" w:h="15840"/>
          <w:pgMar w:top="3080" w:bottom="2780" w:left="1440" w:right="1460"/>
          <w:cols w:num="2" w:equalWidth="0">
            <w:col w:w="4473" w:space="593"/>
            <w:col w:w="4274"/>
          </w:cols>
        </w:sectPr>
      </w:pPr>
    </w:p>
    <w:p>
      <w:pPr>
        <w:tabs>
          <w:tab w:pos="6219" w:val="left" w:leader="none"/>
          <w:tab w:pos="7006" w:val="left" w:leader="none"/>
          <w:tab w:pos="7789" w:val="left" w:leader="none"/>
          <w:tab w:pos="8446" w:val="left" w:leader="none"/>
          <w:tab w:pos="9037" w:val="left" w:leader="none"/>
        </w:tabs>
        <w:spacing w:before="75"/>
        <w:ind w:left="5302" w:right="0" w:firstLine="0"/>
        <w:jc w:val="left"/>
        <w:rPr>
          <w:rFonts w:ascii="Times New Roman"/>
          <w:i/>
          <w:sz w:val="13"/>
        </w:rPr>
      </w:pPr>
      <w:r>
        <w:rPr>
          <w:rFonts w:ascii="Times New Roman"/>
          <w:i/>
          <w:sz w:val="13"/>
        </w:rPr>
        <w:t>1</w:t>
        <w:tab/>
        <w:t>2</w:t>
        <w:tab/>
        <w:t>3</w:t>
        <w:tab/>
        <w:t>4</w:t>
        <w:tab/>
        <w:t>5</w:t>
        <w:tab/>
        <w:t>6</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8"/>
        </w:rPr>
      </w:pPr>
    </w:p>
    <w:p>
      <w:pPr>
        <w:spacing w:line="233" w:lineRule="exact" w:before="85"/>
        <w:ind w:left="259" w:right="0" w:firstLine="0"/>
        <w:jc w:val="both"/>
        <w:rPr>
          <w:rFonts w:ascii="Times New Roman"/>
          <w:sz w:val="20"/>
        </w:rPr>
      </w:pPr>
      <w:r>
        <w:rPr>
          <w:rFonts w:ascii="Times New Roman"/>
          <w:i/>
          <w:position w:val="7"/>
          <w:sz w:val="13"/>
        </w:rPr>
        <w:t>a  </w:t>
      </w:r>
      <w:r>
        <w:rPr>
          <w:rFonts w:ascii="Times New Roman"/>
          <w:sz w:val="20"/>
        </w:rPr>
        <w:t>Measured fatty acids with our linear discriminant analysis PT-LFER model.</w:t>
      </w:r>
    </w:p>
    <w:p>
      <w:pPr>
        <w:spacing w:line="240" w:lineRule="auto" w:before="0"/>
        <w:ind w:left="259" w:right="240" w:firstLine="0"/>
        <w:jc w:val="both"/>
        <w:rPr>
          <w:rFonts w:ascii="Times New Roman"/>
          <w:sz w:val="20"/>
        </w:rPr>
      </w:pPr>
      <w:r>
        <w:rPr>
          <w:rFonts w:ascii="Times New Roman"/>
          <w:i/>
          <w:position w:val="7"/>
          <w:sz w:val="13"/>
        </w:rPr>
        <w:t>b </w:t>
      </w:r>
      <w:r>
        <w:rPr>
          <w:rFonts w:ascii="Times New Roman"/>
          <w:i/>
          <w:sz w:val="20"/>
        </w:rPr>
        <w:t>cis</w:t>
      </w:r>
      <w:r>
        <w:rPr>
          <w:rFonts w:ascii="Times New Roman"/>
          <w:sz w:val="20"/>
        </w:rPr>
        <w:t>/</w:t>
      </w:r>
      <w:r>
        <w:rPr>
          <w:rFonts w:ascii="Times New Roman"/>
          <w:i/>
          <w:sz w:val="20"/>
        </w:rPr>
        <w:t>trans </w:t>
      </w:r>
      <w:r>
        <w:rPr>
          <w:rFonts w:ascii="Times New Roman"/>
          <w:sz w:val="20"/>
        </w:rPr>
        <w:t>pattern, </w:t>
      </w:r>
      <w:r>
        <w:rPr>
          <w:rFonts w:ascii="Times New Roman"/>
          <w:i/>
          <w:sz w:val="20"/>
        </w:rPr>
        <w:t>l </w:t>
      </w:r>
      <w:r>
        <w:rPr>
          <w:rFonts w:ascii="Times New Roman"/>
          <w:sz w:val="20"/>
        </w:rPr>
        <w:t>represents </w:t>
      </w:r>
      <w:r>
        <w:rPr>
          <w:rFonts w:ascii="Times New Roman"/>
          <w:i/>
          <w:sz w:val="20"/>
        </w:rPr>
        <w:t>linear</w:t>
      </w:r>
      <w:r>
        <w:rPr>
          <w:rFonts w:ascii="Times New Roman"/>
          <w:sz w:val="20"/>
        </w:rPr>
        <w:t>, </w:t>
      </w:r>
      <w:r>
        <w:rPr>
          <w:rFonts w:ascii="Times New Roman"/>
          <w:i/>
          <w:sz w:val="20"/>
        </w:rPr>
        <w:t>c </w:t>
      </w:r>
      <w:r>
        <w:rPr>
          <w:rFonts w:ascii="Times New Roman"/>
          <w:sz w:val="20"/>
        </w:rPr>
        <w:t>as </w:t>
      </w:r>
      <w:r>
        <w:rPr>
          <w:rFonts w:ascii="Times New Roman"/>
          <w:i/>
          <w:sz w:val="20"/>
        </w:rPr>
        <w:t>cis-</w:t>
      </w:r>
      <w:r>
        <w:rPr>
          <w:rFonts w:ascii="Times New Roman"/>
          <w:sz w:val="20"/>
        </w:rPr>
        <w:t>, </w:t>
      </w:r>
      <w:r>
        <w:rPr>
          <w:rFonts w:ascii="Times New Roman"/>
          <w:i/>
          <w:sz w:val="20"/>
        </w:rPr>
        <w:t>t </w:t>
      </w:r>
      <w:r>
        <w:rPr>
          <w:rFonts w:ascii="Times New Roman"/>
          <w:sz w:val="20"/>
        </w:rPr>
        <w:t>as </w:t>
      </w:r>
      <w:r>
        <w:rPr>
          <w:rFonts w:ascii="Times New Roman"/>
          <w:i/>
          <w:sz w:val="20"/>
        </w:rPr>
        <w:t>trans- </w:t>
      </w:r>
      <w:r>
        <w:rPr>
          <w:rFonts w:ascii="Times New Roman"/>
          <w:sz w:val="20"/>
        </w:rPr>
        <w:t>LCFAs. The orders of </w:t>
      </w:r>
      <w:r>
        <w:rPr>
          <w:rFonts w:ascii="Times New Roman"/>
          <w:i/>
          <w:sz w:val="20"/>
        </w:rPr>
        <w:t>c </w:t>
      </w:r>
      <w:r>
        <w:rPr>
          <w:rFonts w:ascii="Times New Roman"/>
          <w:sz w:val="20"/>
        </w:rPr>
        <w:t>or </w:t>
      </w:r>
      <w:r>
        <w:rPr>
          <w:rFonts w:ascii="Times New Roman"/>
          <w:i/>
          <w:sz w:val="20"/>
        </w:rPr>
        <w:t>t </w:t>
      </w:r>
      <w:r>
        <w:rPr>
          <w:rFonts w:ascii="Times New Roman"/>
          <w:sz w:val="20"/>
        </w:rPr>
        <w:t>represents the order of isomerization characteristics initial with the tails of LCFAs.</w:t>
      </w:r>
    </w:p>
    <w:p>
      <w:pPr>
        <w:spacing w:line="237" w:lineRule="auto" w:before="0"/>
        <w:ind w:left="259" w:right="231" w:firstLine="0"/>
        <w:jc w:val="both"/>
        <w:rPr>
          <w:rFonts w:ascii="Times New Roman"/>
          <w:sz w:val="20"/>
        </w:rPr>
      </w:pPr>
      <w:r>
        <w:rPr>
          <w:rFonts w:ascii="Times New Roman"/>
          <w:i/>
          <w:position w:val="9"/>
          <w:sz w:val="13"/>
        </w:rPr>
        <w:t>c </w:t>
      </w:r>
      <w:r>
        <w:rPr>
          <w:rFonts w:ascii="Times New Roman"/>
          <w:position w:val="2"/>
          <w:sz w:val="20"/>
        </w:rPr>
        <w:t>Molecular descriptors (</w:t>
      </w:r>
      <w:r>
        <w:rPr>
          <w:rFonts w:ascii="Times New Roman"/>
          <w:position w:val="9"/>
          <w:sz w:val="13"/>
        </w:rPr>
        <w:t>i</w:t>
      </w:r>
      <w:r>
        <w:rPr>
          <w:rFonts w:ascii="Times New Roman"/>
          <w:position w:val="2"/>
          <w:sz w:val="20"/>
        </w:rPr>
        <w:t>V</w:t>
      </w:r>
      <w:r>
        <w:rPr>
          <w:rFonts w:ascii="Times New Roman"/>
          <w:sz w:val="13"/>
        </w:rPr>
        <w:t>k</w:t>
      </w:r>
      <w:r>
        <w:rPr>
          <w:rFonts w:ascii="Times New Roman"/>
          <w:position w:val="2"/>
          <w:sz w:val="20"/>
        </w:rPr>
        <w:t>) calculated with software </w:t>
      </w:r>
      <w:r>
        <w:rPr>
          <w:rFonts w:ascii="Times New Roman"/>
          <w:spacing w:val="-3"/>
          <w:position w:val="2"/>
          <w:sz w:val="20"/>
        </w:rPr>
        <w:t>DRAGON: </w:t>
      </w:r>
      <w:r>
        <w:rPr>
          <w:rFonts w:ascii="Times New Roman"/>
          <w:position w:val="2"/>
          <w:sz w:val="20"/>
        </w:rPr>
        <w:t>V</w:t>
      </w:r>
      <w:r>
        <w:rPr>
          <w:rFonts w:ascii="Times New Roman"/>
          <w:sz w:val="13"/>
        </w:rPr>
        <w:t>1 </w:t>
      </w:r>
      <w:r>
        <w:rPr>
          <w:rFonts w:ascii="Times New Roman"/>
          <w:position w:val="2"/>
          <w:sz w:val="20"/>
        </w:rPr>
        <w:t>= Mw (molecular weight), V</w:t>
      </w:r>
      <w:r>
        <w:rPr>
          <w:rFonts w:ascii="Times New Roman"/>
          <w:sz w:val="13"/>
        </w:rPr>
        <w:t>2 </w:t>
      </w:r>
      <w:r>
        <w:rPr>
          <w:rFonts w:ascii="Times New Roman"/>
          <w:position w:val="2"/>
          <w:sz w:val="20"/>
        </w:rPr>
        <w:t>= Aeigv,  V</w:t>
      </w:r>
      <w:r>
        <w:rPr>
          <w:rFonts w:ascii="Times New Roman"/>
          <w:sz w:val="13"/>
        </w:rPr>
        <w:t>3 </w:t>
      </w:r>
      <w:r>
        <w:rPr>
          <w:rFonts w:ascii="Times New Roman"/>
          <w:position w:val="2"/>
          <w:sz w:val="20"/>
        </w:rPr>
        <w:t>= Aeige, V</w:t>
      </w:r>
      <w:r>
        <w:rPr>
          <w:rFonts w:ascii="Times New Roman"/>
          <w:sz w:val="13"/>
        </w:rPr>
        <w:t>4 </w:t>
      </w:r>
      <w:r>
        <w:rPr>
          <w:rFonts w:ascii="Times New Roman"/>
          <w:position w:val="2"/>
          <w:sz w:val="20"/>
        </w:rPr>
        <w:t>= Aeigp, V</w:t>
      </w:r>
      <w:r>
        <w:rPr>
          <w:rFonts w:ascii="Times New Roman"/>
          <w:sz w:val="13"/>
        </w:rPr>
        <w:t>5 </w:t>
      </w:r>
      <w:r>
        <w:rPr>
          <w:rFonts w:ascii="Times New Roman"/>
          <w:position w:val="2"/>
          <w:sz w:val="20"/>
        </w:rPr>
        <w:t>= MR (magnetoresistence), and V</w:t>
      </w:r>
      <w:r>
        <w:rPr>
          <w:rFonts w:ascii="Times New Roman"/>
          <w:sz w:val="13"/>
        </w:rPr>
        <w:t>6 </w:t>
      </w:r>
      <w:r>
        <w:rPr>
          <w:rFonts w:ascii="Times New Roman"/>
          <w:position w:val="2"/>
          <w:sz w:val="20"/>
        </w:rPr>
        <w:t>= </w:t>
      </w:r>
      <w:r>
        <w:rPr>
          <w:rFonts w:ascii="Times New Roman"/>
          <w:spacing w:val="-3"/>
          <w:position w:val="2"/>
          <w:sz w:val="20"/>
        </w:rPr>
        <w:t>LogP; </w:t>
      </w:r>
      <w:r>
        <w:rPr>
          <w:rFonts w:ascii="Times New Roman"/>
          <w:position w:val="2"/>
          <w:sz w:val="20"/>
        </w:rPr>
        <w:t>V</w:t>
      </w:r>
      <w:r>
        <w:rPr>
          <w:rFonts w:ascii="Times New Roman"/>
          <w:sz w:val="13"/>
        </w:rPr>
        <w:t>2</w:t>
      </w:r>
      <w:r>
        <w:rPr>
          <w:rFonts w:ascii="Times New Roman"/>
          <w:position w:val="2"/>
          <w:sz w:val="20"/>
        </w:rPr>
        <w:t>, V</w:t>
      </w:r>
      <w:r>
        <w:rPr>
          <w:rFonts w:ascii="Times New Roman"/>
          <w:sz w:val="13"/>
        </w:rPr>
        <w:t>3</w:t>
      </w:r>
      <w:r>
        <w:rPr>
          <w:rFonts w:ascii="Times New Roman"/>
          <w:position w:val="2"/>
          <w:sz w:val="20"/>
        </w:rPr>
        <w:t>, and V</w:t>
      </w:r>
      <w:r>
        <w:rPr>
          <w:rFonts w:ascii="Times New Roman"/>
          <w:sz w:val="13"/>
        </w:rPr>
        <w:t>4  </w:t>
      </w:r>
      <w:r>
        <w:rPr>
          <w:rFonts w:ascii="Times New Roman"/>
          <w:position w:val="2"/>
          <w:sz w:val="20"/>
        </w:rPr>
        <w:t>are average  </w:t>
      </w:r>
      <w:r>
        <w:rPr>
          <w:rFonts w:ascii="Times New Roman"/>
          <w:sz w:val="20"/>
        </w:rPr>
        <w:t>eigenvalues of the topological distance matrix weighted with atomic van der Waals volumes (v), Electronegativities (e), </w:t>
      </w:r>
      <w:r>
        <w:rPr>
          <w:rFonts w:ascii="Times New Roman"/>
          <w:spacing w:val="-3"/>
          <w:sz w:val="20"/>
        </w:rPr>
        <w:t>or </w:t>
      </w:r>
      <w:r>
        <w:rPr>
          <w:rFonts w:ascii="Times New Roman"/>
          <w:sz w:val="20"/>
        </w:rPr>
        <w:t>Polarizabilities</w:t>
      </w:r>
      <w:r>
        <w:rPr>
          <w:rFonts w:ascii="Times New Roman"/>
          <w:spacing w:val="-6"/>
          <w:sz w:val="20"/>
        </w:rPr>
        <w:t> </w:t>
      </w:r>
      <w:r>
        <w:rPr>
          <w:rFonts w:ascii="Times New Roman"/>
          <w:sz w:val="20"/>
        </w:rPr>
        <w:t>(p).</w:t>
      </w:r>
    </w:p>
    <w:p>
      <w:pPr>
        <w:spacing w:after="0" w:line="237" w:lineRule="auto"/>
        <w:jc w:val="both"/>
        <w:rPr>
          <w:rFonts w:ascii="Times New Roman"/>
          <w:sz w:val="20"/>
        </w:rPr>
        <w:sectPr>
          <w:type w:val="continuous"/>
          <w:pgSz w:w="12240" w:h="15840"/>
          <w:pgMar w:top="3080" w:bottom="2780" w:left="1440" w:right="1460"/>
        </w:sectPr>
      </w:pPr>
    </w:p>
    <w:p>
      <w:pPr>
        <w:pStyle w:val="BodyText"/>
        <w:spacing w:before="2"/>
        <w:rPr>
          <w:rFonts w:ascii="Times New Roman"/>
          <w:sz w:val="15"/>
        </w:rPr>
      </w:pPr>
    </w:p>
    <w:p>
      <w:pPr>
        <w:pStyle w:val="BodyText"/>
        <w:spacing w:line="242" w:lineRule="auto" w:before="69"/>
        <w:ind w:left="2987" w:hanging="2161"/>
        <w:rPr>
          <w:rFonts w:ascii="Times New Roman"/>
        </w:rPr>
      </w:pPr>
      <w:r>
        <w:rPr/>
        <w:pict>
          <v:group style="position:absolute;margin-left:93.642998pt;margin-top:31.448143pt;width:424.75pt;height:1.45pt;mso-position-horizontal-relative:page;mso-position-vertical-relative:paragraph;z-index:-326704" coordorigin="1873,629" coordsize="8495,29">
            <v:line style="position:absolute" from="1887,643" to="3971,643" stroked="true" strokeweight="1.44pt" strokecolor="#000000"/>
            <v:line style="position:absolute" from="3971,643" to="4000,643" stroked="true" strokeweight="1.44pt" strokecolor="#000000"/>
            <v:line style="position:absolute" from="4000,643" to="5748,643" stroked="true" strokeweight="1.44pt" strokecolor="#000000"/>
            <v:line style="position:absolute" from="5748,643" to="5777,643" stroked="true" strokeweight="1.44pt" strokecolor="#000000"/>
            <v:line style="position:absolute" from="5777,643" to="7366,643" stroked="true" strokeweight="1.44pt" strokecolor="#000000"/>
            <v:line style="position:absolute" from="7366,643" to="7395,643" stroked="true" strokeweight="1.44pt" strokecolor="#000000"/>
            <v:line style="position:absolute" from="7395,643" to="10353,643" stroked="true" strokeweight="1.44pt" strokecolor="#000000"/>
            <w10:wrap type="none"/>
          </v:group>
        </w:pict>
      </w:r>
      <w:r>
        <w:rPr>
          <w:rFonts w:ascii="Times New Roman"/>
          <w:b/>
        </w:rPr>
        <w:t>Table 9</w:t>
      </w:r>
      <w:r>
        <w:rPr>
          <w:rFonts w:ascii="Times New Roman"/>
        </w:rPr>
        <w:t>. Results of LDA PT-LFER model for perturbation network of fatty acid distribution in ruminal microbiome</w:t>
      </w:r>
    </w:p>
    <w:p>
      <w:pPr>
        <w:spacing w:after="0" w:line="242" w:lineRule="auto"/>
        <w:rPr>
          <w:rFonts w:ascii="Times New Roman"/>
        </w:rPr>
        <w:sectPr>
          <w:pgSz w:w="12240" w:h="15840"/>
          <w:pgMar w:header="684" w:footer="1184" w:top="1380" w:bottom="1380" w:left="1440" w:right="1460"/>
        </w:sectPr>
      </w:pPr>
    </w:p>
    <w:p>
      <w:pPr>
        <w:pStyle w:val="BodyText"/>
        <w:spacing w:before="7"/>
        <w:rPr>
          <w:rFonts w:ascii="Times New Roman"/>
          <w:sz w:val="17"/>
        </w:rPr>
      </w:pPr>
    </w:p>
    <w:p>
      <w:pPr>
        <w:tabs>
          <w:tab w:pos="3025" w:val="left" w:leader="none"/>
        </w:tabs>
        <w:spacing w:line="120" w:lineRule="auto" w:before="0"/>
        <w:ind w:left="3021" w:right="0" w:hanging="2502"/>
        <w:jc w:val="right"/>
        <w:rPr>
          <w:rFonts w:ascii="Times New Roman"/>
          <w:sz w:val="20"/>
        </w:rPr>
      </w:pPr>
      <w:r>
        <w:rPr>
          <w:rFonts w:ascii="Times New Roman"/>
          <w:position w:val="-10"/>
          <w:sz w:val="20"/>
        </w:rPr>
        <w:t>Data</w:t>
      </w:r>
      <w:r>
        <w:rPr>
          <w:rFonts w:ascii="Times New Roman"/>
          <w:spacing w:val="-2"/>
          <w:position w:val="-10"/>
          <w:sz w:val="20"/>
        </w:rPr>
        <w:t> </w:t>
      </w:r>
      <w:r>
        <w:rPr>
          <w:rFonts w:ascii="Times New Roman"/>
          <w:position w:val="-10"/>
          <w:sz w:val="20"/>
        </w:rPr>
        <w:t>sub-set</w:t>
      </w:r>
      <w:r>
        <w:rPr>
          <w:rFonts w:ascii="Times New Roman"/>
          <w:spacing w:val="3"/>
          <w:position w:val="-10"/>
          <w:sz w:val="20"/>
        </w:rPr>
        <w:t> </w:t>
      </w:r>
      <w:r>
        <w:rPr>
          <w:rFonts w:ascii="Times New Roman"/>
          <w:i/>
          <w:position w:val="-3"/>
          <w:sz w:val="13"/>
        </w:rPr>
        <w:t>a</w:t>
        <w:tab/>
        <w:tab/>
      </w:r>
      <w:r>
        <w:rPr>
          <w:rFonts w:ascii="Times New Roman"/>
          <w:spacing w:val="-1"/>
          <w:sz w:val="20"/>
        </w:rPr>
        <w:t>Statistical parameter</w:t>
      </w:r>
    </w:p>
    <w:p>
      <w:pPr>
        <w:spacing w:line="226" w:lineRule="exact" w:before="115"/>
        <w:ind w:left="994" w:right="-15" w:hanging="476"/>
        <w:jc w:val="left"/>
        <w:rPr>
          <w:rFonts w:ascii="Times New Roman"/>
          <w:sz w:val="20"/>
        </w:rPr>
      </w:pPr>
      <w:r>
        <w:rPr/>
        <w:br w:type="column"/>
      </w:r>
      <w:r>
        <w:rPr>
          <w:rFonts w:ascii="Times New Roman"/>
          <w:sz w:val="20"/>
        </w:rPr>
        <w:t>Prediction rates (%)</w:t>
      </w:r>
    </w:p>
    <w:p>
      <w:pPr>
        <w:spacing w:before="22"/>
        <w:ind w:left="0" w:right="287" w:firstLine="0"/>
        <w:jc w:val="center"/>
        <w:rPr>
          <w:rFonts w:ascii="Times New Roman"/>
          <w:sz w:val="20"/>
        </w:rPr>
      </w:pPr>
      <w:r>
        <w:rPr/>
        <w:br w:type="column"/>
      </w:r>
      <w:r>
        <w:rPr>
          <w:rFonts w:ascii="Times New Roman"/>
          <w:sz w:val="20"/>
        </w:rPr>
        <w:t>Prediction cases</w:t>
      </w:r>
    </w:p>
    <w:p>
      <w:pPr>
        <w:pStyle w:val="BodyText"/>
        <w:spacing w:before="10"/>
        <w:rPr>
          <w:rFonts w:ascii="Times New Roman"/>
          <w:sz w:val="5"/>
        </w:rPr>
      </w:pPr>
    </w:p>
    <w:p>
      <w:pPr>
        <w:pStyle w:val="BodyText"/>
        <w:spacing w:line="20" w:lineRule="exact"/>
        <w:ind w:left="132"/>
        <w:rPr>
          <w:rFonts w:ascii="Times New Roman"/>
          <w:sz w:val="2"/>
        </w:rPr>
      </w:pPr>
      <w:r>
        <w:rPr>
          <w:rFonts w:ascii="Times New Roman"/>
          <w:sz w:val="2"/>
        </w:rPr>
        <w:pict>
          <v:group style="width:149.9pt;height:.5pt;mso-position-horizontal-relative:char;mso-position-vertical-relative:line" coordorigin="0,0" coordsize="2998,10">
            <v:line style="position:absolute" from="5,5" to="53,5" stroked="true" strokeweight=".47998pt" strokecolor="#000000"/>
            <v:line style="position:absolute" from="53,5" to="101,5" stroked="true" strokeweight=".47998pt" strokecolor="#000000"/>
            <v:line style="position:absolute" from="101,5" to="149,5" stroked="true" strokeweight=".47998pt" strokecolor="#000000"/>
            <v:line style="position:absolute" from="149,5" to="197,5" stroked="true" strokeweight=".47998pt" strokecolor="#000000"/>
            <v:line style="position:absolute" from="197,5" to="245,5" stroked="true" strokeweight=".47998pt" strokecolor="#000000"/>
            <v:line style="position:absolute" from="245,5" to="293,5" stroked="true" strokeweight=".47998pt" strokecolor="#000000"/>
            <v:line style="position:absolute" from="294,5" to="342,5" stroked="true" strokeweight=".47998pt" strokecolor="#000000"/>
            <v:line style="position:absolute" from="342,5" to="390,5" stroked="true" strokeweight=".47998pt" strokecolor="#000000"/>
            <v:line style="position:absolute" from="390,5" to="438,5" stroked="true" strokeweight=".47998pt" strokecolor="#000000"/>
            <v:line style="position:absolute" from="438,5" to="486,5" stroked="true" strokeweight=".47998pt" strokecolor="#000000"/>
            <v:line style="position:absolute" from="486,5" to="534,5" stroked="true" strokeweight=".47998pt" strokecolor="#000000"/>
            <v:line style="position:absolute" from="534,5" to="582,5" stroked="true" strokeweight=".47998pt" strokecolor="#000000"/>
            <v:line style="position:absolute" from="582,5" to="630,5" stroked="true" strokeweight=".47998pt" strokecolor="#000000"/>
            <v:line style="position:absolute" from="630,5" to="678,5" stroked="true" strokeweight=".47998pt" strokecolor="#000000"/>
            <v:line style="position:absolute" from="678,5" to="726,5" stroked="true" strokeweight=".47998pt" strokecolor="#000000"/>
            <v:line style="position:absolute" from="726,5" to="774,5" stroked="true" strokeweight=".47998pt" strokecolor="#000000"/>
            <v:line style="position:absolute" from="774,5" to="822,5" stroked="true" strokeweight=".47998pt" strokecolor="#000000"/>
            <v:line style="position:absolute" from="822,5" to="870,5" stroked="true" strokeweight=".47998pt" strokecolor="#000000"/>
            <v:line style="position:absolute" from="870,5" to="918,5" stroked="true" strokeweight=".47998pt" strokecolor="#000000"/>
            <v:line style="position:absolute" from="918,5" to="966,5" stroked="true" strokeweight=".47998pt" strokecolor="#000000"/>
            <v:line style="position:absolute" from="966,5" to="1014,5" stroked="true" strokeweight=".47998pt" strokecolor="#000000"/>
            <v:line style="position:absolute" from="1014,5" to="1062,5" stroked="true" strokeweight=".47998pt" strokecolor="#000000"/>
            <v:line style="position:absolute" from="1062,5" to="1110,5" stroked="true" strokeweight=".47998pt" strokecolor="#000000"/>
            <v:line style="position:absolute" from="1110,5" to="1158,5" stroked="true" strokeweight=".47998pt" strokecolor="#000000"/>
            <v:line style="position:absolute" from="1158,5" to="1206,5" stroked="true" strokeweight=".47998pt" strokecolor="#000000"/>
            <v:line style="position:absolute" from="1206,5" to="1254,5" stroked="true" strokeweight=".47998pt" strokecolor="#000000"/>
            <v:line style="position:absolute" from="1254,5" to="1302,5" stroked="true" strokeweight=".47998pt" strokecolor="#000000"/>
            <v:line style="position:absolute" from="1302,5" to="1350,5" stroked="true" strokeweight=".47998pt" strokecolor="#000000"/>
            <v:line style="position:absolute" from="1350,5" to="1398,5" stroked="true" strokeweight=".47998pt" strokecolor="#000000"/>
            <v:line style="position:absolute" from="1398,5" to="1446,5" stroked="true" strokeweight=".47998pt" strokecolor="#000000"/>
            <v:line style="position:absolute" from="1446,5" to="1494,5" stroked="true" strokeweight=".47998pt" strokecolor="#000000"/>
            <v:line style="position:absolute" from="1494,5" to="1542,5" stroked="true" strokeweight=".47998pt" strokecolor="#000000"/>
            <v:line style="position:absolute" from="1542,5" to="1576,5" stroked="true" strokeweight=".47998pt" strokecolor="#000000"/>
            <v:line style="position:absolute" from="1576,5" to="1585,5" stroked="true" strokeweight=".47998pt" strokecolor="#000000"/>
            <v:line style="position:absolute" from="1585,5" to="1633,5" stroked="true" strokeweight=".47998pt" strokecolor="#000000"/>
            <v:line style="position:absolute" from="1633,5" to="1681,5" stroked="true" strokeweight=".47998pt" strokecolor="#000000"/>
            <v:line style="position:absolute" from="1681,5" to="1729,5" stroked="true" strokeweight=".47998pt" strokecolor="#000000"/>
            <v:line style="position:absolute" from="1729,5" to="1777,5" stroked="true" strokeweight=".47998pt" strokecolor="#000000"/>
            <v:line style="position:absolute" from="1777,5" to="1825,5" stroked="true" strokeweight=".47998pt" strokecolor="#000000"/>
            <v:line style="position:absolute" from="1825,5" to="1873,5" stroked="true" strokeweight=".47998pt" strokecolor="#000000"/>
            <v:line style="position:absolute" from="1873,5" to="1921,5" stroked="true" strokeweight=".47998pt" strokecolor="#000000"/>
            <v:line style="position:absolute" from="1921,5" to="1969,5" stroked="true" strokeweight=".47998pt" strokecolor="#000000"/>
            <v:line style="position:absolute" from="1969,5" to="2017,5" stroked="true" strokeweight=".47998pt" strokecolor="#000000"/>
            <v:line style="position:absolute" from="2017,5" to="2065,5" stroked="true" strokeweight=".47998pt" strokecolor="#000000"/>
            <v:line style="position:absolute" from="2065,5" to="2113,5" stroked="true" strokeweight=".47998pt" strokecolor="#000000"/>
            <v:line style="position:absolute" from="2113,5" to="2161,5" stroked="true" strokeweight=".47998pt" strokecolor="#000000"/>
            <v:line style="position:absolute" from="2161,5" to="2209,5" stroked="true" strokeweight=".47998pt" strokecolor="#000000"/>
            <v:line style="position:absolute" from="2209,5" to="2257,5" stroked="true" strokeweight=".47998pt" strokecolor="#000000"/>
            <v:line style="position:absolute" from="2257,5" to="2305,5" stroked="true" strokeweight=".47998pt" strokecolor="#000000"/>
            <v:line style="position:absolute" from="2305,5" to="2353,5" stroked="true" strokeweight=".47998pt" strokecolor="#000000"/>
            <v:line style="position:absolute" from="2353,5" to="2401,5" stroked="true" strokeweight=".47998pt" strokecolor="#000000"/>
            <v:line style="position:absolute" from="2401,5" to="2449,5" stroked="true" strokeweight=".47998pt" strokecolor="#000000"/>
            <v:line style="position:absolute" from="2449,5" to="2497,5" stroked="true" strokeweight=".47998pt" strokecolor="#000000"/>
            <v:line style="position:absolute" from="2497,5" to="2545,5" stroked="true" strokeweight=".47998pt" strokecolor="#000000"/>
            <v:line style="position:absolute" from="2545,5" to="2593,5" stroked="true" strokeweight=".47998pt" strokecolor="#000000"/>
            <v:line style="position:absolute" from="2593,5" to="2641,5" stroked="true" strokeweight=".47998pt" strokecolor="#000000"/>
            <v:line style="position:absolute" from="2641,5" to="2690,5" stroked="true" strokeweight=".47998pt" strokecolor="#000000"/>
            <v:line style="position:absolute" from="2690,5" to="2738,5" stroked="true" strokeweight=".47998pt" strokecolor="#000000"/>
            <v:line style="position:absolute" from="2738,5" to="2786,5" stroked="true" strokeweight=".47998pt" strokecolor="#000000"/>
            <v:line style="position:absolute" from="2786,5" to="2834,5" stroked="true" strokeweight=".47998pt" strokecolor="#000000"/>
            <v:line style="position:absolute" from="2834,5" to="2882,5" stroked="true" strokeweight=".47998pt" strokecolor="#000000"/>
            <v:line style="position:absolute" from="2882,5" to="2930,5" stroked="true" strokeweight=".47998pt" strokecolor="#000000"/>
            <v:line style="position:absolute" from="2930,5" to="2978,5" stroked="true" strokeweight=".47998pt" strokecolor="#000000"/>
            <v:line style="position:absolute" from="2978,5" to="2992,5" stroked="true" strokeweight=".47998pt" strokecolor="#000000"/>
          </v:group>
        </w:pict>
      </w:r>
      <w:r>
        <w:rPr>
          <w:rFonts w:ascii="Times New Roman"/>
          <w:sz w:val="2"/>
        </w:rPr>
      </w:r>
    </w:p>
    <w:p>
      <w:pPr>
        <w:tabs>
          <w:tab w:pos="1493" w:val="left" w:leader="none"/>
        </w:tabs>
        <w:spacing w:before="0"/>
        <w:ind w:left="0" w:right="206" w:firstLine="0"/>
        <w:jc w:val="center"/>
        <w:rPr>
          <w:rFonts w:ascii="Times New Roman"/>
          <w:sz w:val="20"/>
        </w:rPr>
      </w:pPr>
      <w:r>
        <w:rPr>
          <w:rFonts w:ascii="Times New Roman"/>
          <w:b/>
          <w:i/>
          <w:position w:val="2"/>
          <w:sz w:val="20"/>
        </w:rPr>
        <w:t>N</w:t>
      </w:r>
      <w:r>
        <w:rPr>
          <w:rFonts w:ascii="Times New Roman"/>
          <w:position w:val="2"/>
          <w:sz w:val="20"/>
        </w:rPr>
        <w:t>(L</w:t>
      </w:r>
      <w:r>
        <w:rPr>
          <w:rFonts w:ascii="Times New Roman"/>
          <w:sz w:val="13"/>
        </w:rPr>
        <w:t>nr</w:t>
      </w:r>
      <w:r>
        <w:rPr>
          <w:rFonts w:ascii="Times New Roman"/>
          <w:spacing w:val="19"/>
          <w:sz w:val="13"/>
        </w:rPr>
        <w:t> </w:t>
      </w:r>
      <w:r>
        <w:rPr>
          <w:rFonts w:ascii="Times New Roman"/>
          <w:position w:val="2"/>
          <w:sz w:val="20"/>
        </w:rPr>
        <w:t>=</w:t>
      </w:r>
      <w:r>
        <w:rPr>
          <w:rFonts w:ascii="Times New Roman"/>
          <w:spacing w:val="-1"/>
          <w:position w:val="2"/>
          <w:sz w:val="20"/>
        </w:rPr>
        <w:t> </w:t>
      </w:r>
      <w:r>
        <w:rPr>
          <w:rFonts w:ascii="Times New Roman"/>
          <w:position w:val="2"/>
          <w:sz w:val="20"/>
        </w:rPr>
        <w:t>0)</w:t>
        <w:tab/>
      </w:r>
      <w:r>
        <w:rPr>
          <w:rFonts w:ascii="Times New Roman"/>
          <w:b/>
          <w:i/>
          <w:position w:val="2"/>
          <w:sz w:val="20"/>
        </w:rPr>
        <w:t>N</w:t>
      </w:r>
      <w:r>
        <w:rPr>
          <w:rFonts w:ascii="Times New Roman"/>
          <w:position w:val="2"/>
          <w:sz w:val="20"/>
        </w:rPr>
        <w:t>(L</w:t>
      </w:r>
      <w:r>
        <w:rPr>
          <w:rFonts w:ascii="Times New Roman"/>
          <w:sz w:val="13"/>
        </w:rPr>
        <w:t>nr  </w:t>
      </w:r>
      <w:r>
        <w:rPr>
          <w:rFonts w:ascii="Times New Roman"/>
          <w:position w:val="2"/>
          <w:sz w:val="20"/>
        </w:rPr>
        <w:t>=</w:t>
      </w:r>
      <w:r>
        <w:rPr>
          <w:rFonts w:ascii="Times New Roman"/>
          <w:spacing w:val="-14"/>
          <w:position w:val="2"/>
          <w:sz w:val="20"/>
        </w:rPr>
        <w:t> </w:t>
      </w:r>
      <w:r>
        <w:rPr>
          <w:rFonts w:ascii="Times New Roman"/>
          <w:position w:val="2"/>
          <w:sz w:val="20"/>
        </w:rPr>
        <w:t>1)</w:t>
      </w:r>
    </w:p>
    <w:p>
      <w:pPr>
        <w:spacing w:after="0"/>
        <w:jc w:val="center"/>
        <w:rPr>
          <w:rFonts w:ascii="Times New Roman"/>
          <w:sz w:val="20"/>
        </w:rPr>
        <w:sectPr>
          <w:type w:val="continuous"/>
          <w:pgSz w:w="12240" w:h="15840"/>
          <w:pgMar w:top="3080" w:bottom="2780" w:left="1440" w:right="1460"/>
          <w:cols w:num="3" w:equalWidth="0">
            <w:col w:w="3823" w:space="153"/>
            <w:col w:w="1773" w:space="40"/>
            <w:col w:w="3551"/>
          </w:cols>
        </w:sectPr>
      </w:pPr>
    </w:p>
    <w:p>
      <w:pPr>
        <w:pStyle w:val="BodyText"/>
        <w:spacing w:before="11"/>
        <w:rPr>
          <w:rFonts w:ascii="Times New Roman"/>
          <w:sz w:val="7"/>
        </w:rPr>
      </w:pPr>
    </w:p>
    <w:tbl>
      <w:tblPr>
        <w:tblW w:w="0" w:type="auto"/>
        <w:jc w:val="left"/>
        <w:tblInd w:w="22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7482"/>
        <w:gridCol w:w="447"/>
        <w:gridCol w:w="985"/>
      </w:tblGrid>
      <w:tr>
        <w:trPr>
          <w:trHeight w:val="338" w:hRule="exact"/>
        </w:trPr>
        <w:tc>
          <w:tcPr>
            <w:tcW w:w="7482" w:type="dxa"/>
            <w:tcBorders>
              <w:left w:val="nil"/>
              <w:bottom w:val="dotted" w:sz="4" w:space="0" w:color="000000"/>
              <w:right w:val="nil"/>
            </w:tcBorders>
          </w:tcPr>
          <w:p>
            <w:pPr>
              <w:pStyle w:val="TableParagraph"/>
              <w:spacing w:before="5"/>
              <w:ind w:left="294"/>
              <w:rPr>
                <w:b/>
                <w:sz w:val="20"/>
              </w:rPr>
            </w:pPr>
            <w:r>
              <w:rPr>
                <w:b/>
                <w:sz w:val="20"/>
              </w:rPr>
              <w:t>Training dataset</w:t>
            </w:r>
          </w:p>
        </w:tc>
        <w:tc>
          <w:tcPr>
            <w:tcW w:w="1432" w:type="dxa"/>
            <w:gridSpan w:val="2"/>
            <w:tcBorders>
              <w:top w:val="nil"/>
              <w:left w:val="nil"/>
              <w:bottom w:val="nil"/>
              <w:right w:val="nil"/>
            </w:tcBorders>
          </w:tcPr>
          <w:p>
            <w:pPr/>
          </w:p>
        </w:tc>
      </w:tr>
      <w:tr>
        <w:trPr>
          <w:trHeight w:val="308" w:hRule="exact"/>
        </w:trPr>
        <w:tc>
          <w:tcPr>
            <w:tcW w:w="7482" w:type="dxa"/>
            <w:tcBorders>
              <w:top w:val="dotted" w:sz="4" w:space="0" w:color="000000"/>
              <w:left w:val="nil"/>
              <w:bottom w:val="nil"/>
              <w:right w:val="nil"/>
            </w:tcBorders>
          </w:tcPr>
          <w:p>
            <w:pPr>
              <w:pStyle w:val="TableParagraph"/>
              <w:tabs>
                <w:tab w:pos="2566" w:val="left" w:leader="none"/>
                <w:tab w:pos="5283" w:val="left" w:leader="none"/>
                <w:tab w:pos="6556" w:val="left" w:leader="none"/>
              </w:tabs>
              <w:spacing w:line="269" w:lineRule="exact"/>
              <w:ind w:left="294"/>
              <w:rPr>
                <w:sz w:val="20"/>
              </w:rPr>
            </w:pPr>
            <w:r>
              <w:rPr>
                <w:b/>
                <w:i/>
                <w:position w:val="5"/>
                <w:sz w:val="20"/>
              </w:rPr>
              <w:t>N</w:t>
            </w:r>
            <w:r>
              <w:rPr>
                <w:position w:val="5"/>
                <w:sz w:val="20"/>
              </w:rPr>
              <w:t>(L</w:t>
            </w:r>
            <w:r>
              <w:rPr>
                <w:position w:val="3"/>
                <w:sz w:val="13"/>
              </w:rPr>
              <w:t>nr</w:t>
            </w:r>
            <w:r>
              <w:rPr>
                <w:position w:val="5"/>
                <w:sz w:val="20"/>
              </w:rPr>
              <w:t>=</w:t>
            </w:r>
            <w:r>
              <w:rPr>
                <w:spacing w:val="3"/>
                <w:position w:val="5"/>
                <w:sz w:val="20"/>
              </w:rPr>
              <w:t> </w:t>
            </w:r>
            <w:r>
              <w:rPr>
                <w:position w:val="5"/>
                <w:sz w:val="20"/>
              </w:rPr>
              <w:t>0)</w:t>
              <w:tab/>
            </w:r>
            <w:r>
              <w:rPr>
                <w:sz w:val="20"/>
              </w:rPr>
              <w:t>Specificity</w:t>
            </w:r>
            <w:r>
              <w:rPr>
                <w:spacing w:val="-8"/>
                <w:sz w:val="20"/>
              </w:rPr>
              <w:t> </w:t>
            </w:r>
            <w:r>
              <w:rPr>
                <w:sz w:val="20"/>
              </w:rPr>
              <w:t>(Sp)</w:t>
              <w:tab/>
              <w:t>93.5</w:t>
              <w:tab/>
              <w:t>215,010</w:t>
            </w:r>
          </w:p>
        </w:tc>
        <w:tc>
          <w:tcPr>
            <w:tcW w:w="447" w:type="dxa"/>
            <w:tcBorders>
              <w:top w:val="dotted" w:sz="4" w:space="0" w:color="000000"/>
              <w:left w:val="nil"/>
              <w:bottom w:val="nil"/>
              <w:right w:val="nil"/>
            </w:tcBorders>
          </w:tcPr>
          <w:p>
            <w:pPr/>
          </w:p>
        </w:tc>
        <w:tc>
          <w:tcPr>
            <w:tcW w:w="985" w:type="dxa"/>
            <w:tcBorders>
              <w:top w:val="dotted" w:sz="4" w:space="0" w:color="000000"/>
              <w:left w:val="nil"/>
              <w:bottom w:val="nil"/>
              <w:right w:val="nil"/>
            </w:tcBorders>
          </w:tcPr>
          <w:p>
            <w:pPr>
              <w:pStyle w:val="TableParagraph"/>
              <w:spacing w:before="39"/>
              <w:ind w:left="139"/>
              <w:rPr>
                <w:sz w:val="20"/>
              </w:rPr>
            </w:pPr>
            <w:r>
              <w:rPr>
                <w:sz w:val="20"/>
              </w:rPr>
              <w:t>14,983</w:t>
            </w:r>
          </w:p>
        </w:tc>
      </w:tr>
      <w:tr>
        <w:trPr>
          <w:trHeight w:val="561" w:hRule="exact"/>
        </w:trPr>
        <w:tc>
          <w:tcPr>
            <w:tcW w:w="7482" w:type="dxa"/>
            <w:tcBorders>
              <w:top w:val="nil"/>
              <w:left w:val="nil"/>
              <w:bottom w:val="single" w:sz="4" w:space="0" w:color="000000"/>
              <w:right w:val="nil"/>
            </w:tcBorders>
          </w:tcPr>
          <w:p>
            <w:pPr>
              <w:pStyle w:val="TableParagraph"/>
              <w:tabs>
                <w:tab w:pos="2570" w:val="left" w:leader="none"/>
                <w:tab w:pos="5283" w:val="left" w:leader="none"/>
                <w:tab w:pos="6753" w:val="left" w:leader="none"/>
              </w:tabs>
              <w:spacing w:before="13"/>
              <w:ind w:left="294"/>
              <w:rPr>
                <w:sz w:val="20"/>
              </w:rPr>
            </w:pPr>
            <w:r>
              <w:rPr>
                <w:b/>
                <w:i/>
                <w:position w:val="2"/>
                <w:sz w:val="20"/>
              </w:rPr>
              <w:t>N</w:t>
            </w:r>
            <w:r>
              <w:rPr>
                <w:position w:val="2"/>
                <w:sz w:val="20"/>
              </w:rPr>
              <w:t>(L</w:t>
            </w:r>
            <w:r>
              <w:rPr>
                <w:sz w:val="13"/>
              </w:rPr>
              <w:t>nr</w:t>
            </w:r>
            <w:r>
              <w:rPr>
                <w:spacing w:val="19"/>
                <w:sz w:val="13"/>
              </w:rPr>
              <w:t> </w:t>
            </w:r>
            <w:r>
              <w:rPr>
                <w:position w:val="2"/>
                <w:sz w:val="20"/>
              </w:rPr>
              <w:t>=</w:t>
            </w:r>
            <w:r>
              <w:rPr>
                <w:spacing w:val="-1"/>
                <w:position w:val="2"/>
                <w:sz w:val="20"/>
              </w:rPr>
              <w:t> </w:t>
            </w:r>
            <w:r>
              <w:rPr>
                <w:position w:val="2"/>
                <w:sz w:val="20"/>
              </w:rPr>
              <w:t>1)</w:t>
              <w:tab/>
            </w:r>
            <w:r>
              <w:rPr>
                <w:position w:val="1"/>
                <w:sz w:val="20"/>
              </w:rPr>
              <w:t>Sensitivity</w:t>
            </w:r>
            <w:r>
              <w:rPr>
                <w:spacing w:val="-7"/>
                <w:position w:val="1"/>
                <w:sz w:val="20"/>
              </w:rPr>
              <w:t> </w:t>
            </w:r>
            <w:r>
              <w:rPr>
                <w:position w:val="1"/>
                <w:sz w:val="20"/>
              </w:rPr>
              <w:t>(Sn)</w:t>
              <w:tab/>
              <w:t>96.3</w:t>
              <w:tab/>
              <w:t>6,600</w:t>
            </w:r>
          </w:p>
          <w:p>
            <w:pPr>
              <w:pStyle w:val="TableParagraph"/>
              <w:tabs>
                <w:tab w:pos="5638" w:val="right" w:leader="none"/>
              </w:tabs>
              <w:spacing w:before="34"/>
              <w:ind w:left="2604"/>
              <w:rPr>
                <w:sz w:val="20"/>
              </w:rPr>
            </w:pPr>
            <w:r>
              <w:rPr>
                <w:sz w:val="20"/>
              </w:rPr>
              <w:t>Accuracy</w:t>
            </w:r>
            <w:r>
              <w:rPr>
                <w:spacing w:val="-8"/>
                <w:sz w:val="20"/>
              </w:rPr>
              <w:t> </w:t>
            </w:r>
            <w:r>
              <w:rPr>
                <w:sz w:val="20"/>
              </w:rPr>
              <w:t>(Ac)</w:t>
              <w:tab/>
              <w:t>94.7</w:t>
            </w:r>
          </w:p>
        </w:tc>
        <w:tc>
          <w:tcPr>
            <w:tcW w:w="447" w:type="dxa"/>
            <w:tcBorders>
              <w:top w:val="nil"/>
              <w:left w:val="nil"/>
              <w:bottom w:val="single" w:sz="4" w:space="0" w:color="000000"/>
              <w:right w:val="nil"/>
            </w:tcBorders>
          </w:tcPr>
          <w:p>
            <w:pPr/>
          </w:p>
        </w:tc>
        <w:tc>
          <w:tcPr>
            <w:tcW w:w="985" w:type="dxa"/>
            <w:tcBorders>
              <w:top w:val="nil"/>
              <w:left w:val="nil"/>
              <w:bottom w:val="single" w:sz="4" w:space="0" w:color="000000"/>
              <w:right w:val="nil"/>
            </w:tcBorders>
          </w:tcPr>
          <w:p>
            <w:pPr>
              <w:pStyle w:val="TableParagraph"/>
              <w:spacing w:before="18"/>
              <w:ind w:left="43"/>
              <w:rPr>
                <w:sz w:val="20"/>
              </w:rPr>
            </w:pPr>
            <w:r>
              <w:rPr>
                <w:sz w:val="20"/>
              </w:rPr>
              <w:t>172,841</w:t>
            </w:r>
          </w:p>
        </w:tc>
      </w:tr>
      <w:tr>
        <w:trPr>
          <w:trHeight w:val="293" w:hRule="exact"/>
        </w:trPr>
        <w:tc>
          <w:tcPr>
            <w:tcW w:w="7482" w:type="dxa"/>
            <w:tcBorders>
              <w:top w:val="single" w:sz="4" w:space="0" w:color="000000"/>
              <w:left w:val="nil"/>
              <w:bottom w:val="dotted" w:sz="4" w:space="0" w:color="000000"/>
              <w:right w:val="nil"/>
            </w:tcBorders>
          </w:tcPr>
          <w:p>
            <w:pPr>
              <w:pStyle w:val="TableParagraph"/>
              <w:spacing w:line="226" w:lineRule="exact"/>
              <w:ind w:left="294"/>
              <w:rPr>
                <w:b/>
                <w:sz w:val="20"/>
              </w:rPr>
            </w:pPr>
            <w:r>
              <w:rPr>
                <w:b/>
                <w:sz w:val="20"/>
              </w:rPr>
              <w:t>Validation dataset</w:t>
            </w:r>
          </w:p>
        </w:tc>
        <w:tc>
          <w:tcPr>
            <w:tcW w:w="447" w:type="dxa"/>
            <w:tcBorders>
              <w:top w:val="single" w:sz="4" w:space="0" w:color="000000"/>
              <w:left w:val="nil"/>
              <w:bottom w:val="dotted" w:sz="4" w:space="0" w:color="000000"/>
              <w:right w:val="nil"/>
            </w:tcBorders>
          </w:tcPr>
          <w:p>
            <w:pPr/>
          </w:p>
        </w:tc>
        <w:tc>
          <w:tcPr>
            <w:tcW w:w="985" w:type="dxa"/>
            <w:tcBorders>
              <w:top w:val="single" w:sz="4" w:space="0" w:color="000000"/>
              <w:left w:val="nil"/>
              <w:bottom w:val="dotted" w:sz="4" w:space="0" w:color="000000"/>
              <w:right w:val="nil"/>
            </w:tcBorders>
          </w:tcPr>
          <w:p>
            <w:pPr/>
          </w:p>
        </w:tc>
      </w:tr>
      <w:tr>
        <w:trPr>
          <w:trHeight w:val="308" w:hRule="exact"/>
        </w:trPr>
        <w:tc>
          <w:tcPr>
            <w:tcW w:w="7482" w:type="dxa"/>
            <w:tcBorders>
              <w:top w:val="dotted" w:sz="4" w:space="0" w:color="000000"/>
              <w:left w:val="nil"/>
              <w:bottom w:val="nil"/>
              <w:right w:val="nil"/>
            </w:tcBorders>
          </w:tcPr>
          <w:p>
            <w:pPr>
              <w:pStyle w:val="TableParagraph"/>
              <w:tabs>
                <w:tab w:pos="2566" w:val="left" w:leader="none"/>
                <w:tab w:pos="5283" w:val="left" w:leader="none"/>
                <w:tab w:pos="6652" w:val="left" w:leader="none"/>
              </w:tabs>
              <w:spacing w:line="269" w:lineRule="exact"/>
              <w:ind w:left="294"/>
              <w:rPr>
                <w:sz w:val="20"/>
              </w:rPr>
            </w:pPr>
            <w:r>
              <w:rPr>
                <w:b/>
                <w:i/>
                <w:position w:val="5"/>
                <w:sz w:val="20"/>
              </w:rPr>
              <w:t>N</w:t>
            </w:r>
            <w:r>
              <w:rPr>
                <w:position w:val="5"/>
                <w:sz w:val="20"/>
              </w:rPr>
              <w:t>(L</w:t>
            </w:r>
            <w:r>
              <w:rPr>
                <w:position w:val="3"/>
                <w:sz w:val="13"/>
              </w:rPr>
              <w:t>nr</w:t>
            </w:r>
            <w:r>
              <w:rPr>
                <w:spacing w:val="19"/>
                <w:position w:val="3"/>
                <w:sz w:val="13"/>
              </w:rPr>
              <w:t> </w:t>
            </w:r>
            <w:r>
              <w:rPr>
                <w:position w:val="5"/>
                <w:sz w:val="20"/>
              </w:rPr>
              <w:t>=</w:t>
            </w:r>
            <w:r>
              <w:rPr>
                <w:spacing w:val="-1"/>
                <w:position w:val="5"/>
                <w:sz w:val="20"/>
              </w:rPr>
              <w:t> </w:t>
            </w:r>
            <w:r>
              <w:rPr>
                <w:position w:val="5"/>
                <w:sz w:val="20"/>
              </w:rPr>
              <w:t>0)</w:t>
              <w:tab/>
            </w:r>
            <w:r>
              <w:rPr>
                <w:sz w:val="20"/>
              </w:rPr>
              <w:t>Specificity</w:t>
            </w:r>
            <w:r>
              <w:rPr>
                <w:spacing w:val="-8"/>
                <w:sz w:val="20"/>
              </w:rPr>
              <w:t> </w:t>
            </w:r>
            <w:r>
              <w:rPr>
                <w:sz w:val="20"/>
              </w:rPr>
              <w:t>(Sp)</w:t>
              <w:tab/>
              <w:t>93.3</w:t>
              <w:tab/>
              <w:t>71,496</w:t>
            </w:r>
          </w:p>
        </w:tc>
        <w:tc>
          <w:tcPr>
            <w:tcW w:w="447" w:type="dxa"/>
            <w:tcBorders>
              <w:top w:val="dotted" w:sz="4" w:space="0" w:color="000000"/>
              <w:left w:val="nil"/>
              <w:bottom w:val="nil"/>
              <w:right w:val="nil"/>
            </w:tcBorders>
          </w:tcPr>
          <w:p>
            <w:pPr/>
          </w:p>
        </w:tc>
        <w:tc>
          <w:tcPr>
            <w:tcW w:w="985" w:type="dxa"/>
            <w:tcBorders>
              <w:top w:val="dotted" w:sz="4" w:space="0" w:color="000000"/>
              <w:left w:val="nil"/>
              <w:bottom w:val="nil"/>
              <w:right w:val="nil"/>
            </w:tcBorders>
          </w:tcPr>
          <w:p>
            <w:pPr>
              <w:pStyle w:val="TableParagraph"/>
              <w:spacing w:before="39"/>
              <w:ind w:left="240"/>
              <w:rPr>
                <w:sz w:val="20"/>
              </w:rPr>
            </w:pPr>
            <w:r>
              <w:rPr>
                <w:sz w:val="20"/>
              </w:rPr>
              <w:t>5,127</w:t>
            </w:r>
          </w:p>
        </w:tc>
      </w:tr>
      <w:tr>
        <w:trPr>
          <w:trHeight w:val="338" w:hRule="exact"/>
        </w:trPr>
        <w:tc>
          <w:tcPr>
            <w:tcW w:w="7482" w:type="dxa"/>
            <w:tcBorders>
              <w:top w:val="nil"/>
              <w:left w:val="nil"/>
              <w:bottom w:val="nil"/>
              <w:right w:val="nil"/>
            </w:tcBorders>
          </w:tcPr>
          <w:p>
            <w:pPr>
              <w:pStyle w:val="TableParagraph"/>
              <w:tabs>
                <w:tab w:pos="2570" w:val="left" w:leader="none"/>
                <w:tab w:pos="5283" w:val="left" w:leader="none"/>
                <w:tab w:pos="6753" w:val="left" w:leader="none"/>
              </w:tabs>
              <w:spacing w:before="12"/>
              <w:ind w:left="294"/>
              <w:rPr>
                <w:sz w:val="20"/>
              </w:rPr>
            </w:pPr>
            <w:r>
              <w:rPr>
                <w:b/>
                <w:i/>
                <w:position w:val="5"/>
                <w:sz w:val="20"/>
              </w:rPr>
              <w:t>N</w:t>
            </w:r>
            <w:r>
              <w:rPr>
                <w:position w:val="5"/>
                <w:sz w:val="20"/>
              </w:rPr>
              <w:t>(L</w:t>
            </w:r>
            <w:r>
              <w:rPr>
                <w:position w:val="3"/>
                <w:sz w:val="13"/>
              </w:rPr>
              <w:t>nr</w:t>
            </w:r>
            <w:r>
              <w:rPr>
                <w:spacing w:val="19"/>
                <w:position w:val="3"/>
                <w:sz w:val="13"/>
              </w:rPr>
              <w:t> </w:t>
            </w:r>
            <w:r>
              <w:rPr>
                <w:position w:val="5"/>
                <w:sz w:val="20"/>
              </w:rPr>
              <w:t>=</w:t>
            </w:r>
            <w:r>
              <w:rPr>
                <w:spacing w:val="-1"/>
                <w:position w:val="5"/>
                <w:sz w:val="20"/>
              </w:rPr>
              <w:t> </w:t>
            </w:r>
            <w:r>
              <w:rPr>
                <w:position w:val="5"/>
                <w:sz w:val="20"/>
              </w:rPr>
              <w:t>1)</w:t>
              <w:tab/>
            </w:r>
            <w:r>
              <w:rPr>
                <w:sz w:val="20"/>
              </w:rPr>
              <w:t>Sensitivity</w:t>
            </w:r>
            <w:r>
              <w:rPr>
                <w:spacing w:val="-8"/>
                <w:sz w:val="20"/>
              </w:rPr>
              <w:t> </w:t>
            </w:r>
            <w:r>
              <w:rPr>
                <w:sz w:val="20"/>
              </w:rPr>
              <w:t>(Sn)</w:t>
              <w:tab/>
              <w:t>96.6</w:t>
              <w:tab/>
              <w:t>2,056</w:t>
            </w:r>
          </w:p>
        </w:tc>
        <w:tc>
          <w:tcPr>
            <w:tcW w:w="447" w:type="dxa"/>
            <w:tcBorders>
              <w:top w:val="nil"/>
              <w:left w:val="nil"/>
              <w:bottom w:val="nil"/>
              <w:right w:val="nil"/>
            </w:tcBorders>
          </w:tcPr>
          <w:p>
            <w:pPr/>
          </w:p>
        </w:tc>
        <w:tc>
          <w:tcPr>
            <w:tcW w:w="985" w:type="dxa"/>
            <w:tcBorders>
              <w:top w:val="nil"/>
              <w:left w:val="nil"/>
              <w:bottom w:val="nil"/>
              <w:right w:val="nil"/>
            </w:tcBorders>
          </w:tcPr>
          <w:p>
            <w:pPr>
              <w:pStyle w:val="TableParagraph"/>
              <w:spacing w:before="62"/>
              <w:ind w:left="139"/>
              <w:rPr>
                <w:sz w:val="20"/>
              </w:rPr>
            </w:pPr>
            <w:r>
              <w:rPr>
                <w:sz w:val="20"/>
              </w:rPr>
              <w:t>57,582</w:t>
            </w:r>
          </w:p>
        </w:tc>
      </w:tr>
      <w:tr>
        <w:trPr>
          <w:trHeight w:val="309" w:hRule="exact"/>
        </w:trPr>
        <w:tc>
          <w:tcPr>
            <w:tcW w:w="7482" w:type="dxa"/>
            <w:tcBorders>
              <w:top w:val="nil"/>
              <w:left w:val="nil"/>
              <w:bottom w:val="single" w:sz="12" w:space="0" w:color="000000"/>
              <w:right w:val="nil"/>
            </w:tcBorders>
          </w:tcPr>
          <w:p>
            <w:pPr>
              <w:pStyle w:val="TableParagraph"/>
              <w:tabs>
                <w:tab w:pos="5638" w:val="right" w:leader="none"/>
              </w:tabs>
              <w:spacing w:before="26"/>
              <w:ind w:left="2604"/>
              <w:rPr>
                <w:sz w:val="20"/>
              </w:rPr>
            </w:pPr>
            <w:r>
              <w:rPr>
                <w:sz w:val="20"/>
              </w:rPr>
              <w:t>Accuracy</w:t>
            </w:r>
            <w:r>
              <w:rPr>
                <w:spacing w:val="-8"/>
                <w:sz w:val="20"/>
              </w:rPr>
              <w:t> </w:t>
            </w:r>
            <w:r>
              <w:rPr>
                <w:sz w:val="20"/>
              </w:rPr>
              <w:t>(Ac)</w:t>
              <w:tab/>
              <w:t>94.7</w:t>
            </w:r>
          </w:p>
        </w:tc>
        <w:tc>
          <w:tcPr>
            <w:tcW w:w="447" w:type="dxa"/>
            <w:tcBorders>
              <w:top w:val="nil"/>
              <w:left w:val="nil"/>
              <w:bottom w:val="single" w:sz="12" w:space="0" w:color="000000"/>
              <w:right w:val="nil"/>
            </w:tcBorders>
          </w:tcPr>
          <w:p>
            <w:pPr/>
          </w:p>
        </w:tc>
        <w:tc>
          <w:tcPr>
            <w:tcW w:w="985" w:type="dxa"/>
            <w:tcBorders>
              <w:top w:val="nil"/>
              <w:left w:val="nil"/>
              <w:bottom w:val="single" w:sz="12" w:space="0" w:color="000000"/>
              <w:right w:val="nil"/>
            </w:tcBorders>
          </w:tcPr>
          <w:p>
            <w:pPr/>
          </w:p>
        </w:tc>
      </w:tr>
      <w:tr>
        <w:trPr>
          <w:trHeight w:val="237" w:hRule="exact"/>
        </w:trPr>
        <w:tc>
          <w:tcPr>
            <w:tcW w:w="7482" w:type="dxa"/>
            <w:tcBorders>
              <w:top w:val="single" w:sz="12" w:space="0" w:color="000000"/>
              <w:left w:val="nil"/>
              <w:bottom w:val="nil"/>
              <w:right w:val="nil"/>
            </w:tcBorders>
          </w:tcPr>
          <w:p>
            <w:pPr>
              <w:pStyle w:val="TableParagraph"/>
              <w:spacing w:line="225" w:lineRule="exact"/>
              <w:ind w:left="35"/>
              <w:rPr>
                <w:sz w:val="20"/>
              </w:rPr>
            </w:pPr>
            <w:r>
              <w:rPr>
                <w:i/>
                <w:position w:val="9"/>
                <w:sz w:val="13"/>
              </w:rPr>
              <w:t>a  </w:t>
            </w:r>
            <w:r>
              <w:rPr>
                <w:position w:val="2"/>
                <w:sz w:val="20"/>
              </w:rPr>
              <w:t>Number  in total  (</w:t>
            </w:r>
            <w:r>
              <w:rPr>
                <w:b/>
                <w:i/>
                <w:position w:val="2"/>
                <w:sz w:val="20"/>
              </w:rPr>
              <w:t>N</w:t>
            </w:r>
            <w:r>
              <w:rPr>
                <w:position w:val="2"/>
                <w:sz w:val="20"/>
              </w:rPr>
              <w:t>)  =  545,695;  </w:t>
            </w:r>
            <w:r>
              <w:rPr>
                <w:b/>
                <w:i/>
                <w:position w:val="2"/>
                <w:sz w:val="20"/>
              </w:rPr>
              <w:t>N</w:t>
            </w:r>
            <w:r>
              <w:rPr>
                <w:position w:val="2"/>
                <w:sz w:val="20"/>
              </w:rPr>
              <w:t>(L</w:t>
            </w:r>
            <w:r>
              <w:rPr>
                <w:sz w:val="13"/>
              </w:rPr>
              <w:t>nr</w:t>
            </w:r>
            <w:r>
              <w:rPr>
                <w:position w:val="2"/>
                <w:sz w:val="20"/>
              </w:rPr>
              <w:t>=  0) represents the number  of  cases  in   sub-set</w:t>
            </w:r>
          </w:p>
        </w:tc>
        <w:tc>
          <w:tcPr>
            <w:tcW w:w="447" w:type="dxa"/>
            <w:tcBorders>
              <w:top w:val="single" w:sz="12" w:space="0" w:color="000000"/>
              <w:left w:val="nil"/>
              <w:bottom w:val="nil"/>
              <w:right w:val="nil"/>
            </w:tcBorders>
          </w:tcPr>
          <w:p>
            <w:pPr>
              <w:pStyle w:val="TableParagraph"/>
              <w:spacing w:line="221" w:lineRule="exact"/>
              <w:ind w:left="48"/>
              <w:rPr>
                <w:sz w:val="20"/>
              </w:rPr>
            </w:pPr>
            <w:r>
              <w:rPr>
                <w:sz w:val="20"/>
              </w:rPr>
              <w:t>with</w:t>
            </w:r>
          </w:p>
        </w:tc>
        <w:tc>
          <w:tcPr>
            <w:tcW w:w="985" w:type="dxa"/>
            <w:tcBorders>
              <w:top w:val="single" w:sz="12" w:space="0" w:color="000000"/>
              <w:left w:val="nil"/>
              <w:bottom w:val="nil"/>
              <w:right w:val="nil"/>
            </w:tcBorders>
          </w:tcPr>
          <w:p>
            <w:pPr>
              <w:pStyle w:val="TableParagraph"/>
              <w:spacing w:line="225" w:lineRule="exact"/>
              <w:ind w:left="52"/>
              <w:rPr>
                <w:sz w:val="20"/>
              </w:rPr>
            </w:pPr>
            <w:r>
              <w:rPr>
                <w:position w:val="2"/>
                <w:sz w:val="20"/>
              </w:rPr>
              <w:t>L</w:t>
            </w:r>
            <w:r>
              <w:rPr>
                <w:sz w:val="13"/>
              </w:rPr>
              <w:t>nr</w:t>
            </w:r>
            <w:r>
              <w:rPr>
                <w:position w:val="2"/>
                <w:sz w:val="20"/>
              </w:rPr>
              <w:t>=  0 (no</w:t>
            </w:r>
          </w:p>
        </w:tc>
      </w:tr>
    </w:tbl>
    <w:p>
      <w:pPr>
        <w:spacing w:line="235" w:lineRule="auto" w:before="2"/>
        <w:ind w:left="259" w:right="233" w:firstLine="0"/>
        <w:jc w:val="both"/>
        <w:rPr>
          <w:rFonts w:ascii="Times New Roman" w:hAnsi="Times New Roman"/>
          <w:sz w:val="20"/>
        </w:rPr>
      </w:pPr>
      <w:r>
        <w:rPr>
          <w:rFonts w:ascii="Times New Roman" w:hAnsi="Times New Roman"/>
          <w:position w:val="2"/>
          <w:sz w:val="20"/>
        </w:rPr>
        <w:t>connected nodes) </w:t>
      </w:r>
      <w:r>
        <w:rPr>
          <w:rFonts w:ascii="Times New Roman" w:hAnsi="Times New Roman"/>
          <w:spacing w:val="-3"/>
          <w:position w:val="2"/>
          <w:sz w:val="20"/>
        </w:rPr>
        <w:t>or </w:t>
      </w:r>
      <w:r>
        <w:rPr>
          <w:rFonts w:ascii="Times New Roman" w:hAnsi="Times New Roman"/>
          <w:position w:val="2"/>
          <w:sz w:val="20"/>
        </w:rPr>
        <w:t>the same </w:t>
      </w:r>
      <w:r>
        <w:rPr>
          <w:rFonts w:ascii="Times New Roman" w:hAnsi="Times New Roman"/>
          <w:spacing w:val="-3"/>
          <w:position w:val="2"/>
          <w:sz w:val="20"/>
        </w:rPr>
        <w:t>with </w:t>
      </w:r>
      <w:r>
        <w:rPr>
          <w:rFonts w:ascii="Times New Roman" w:hAnsi="Times New Roman"/>
          <w:position w:val="2"/>
          <w:sz w:val="20"/>
        </w:rPr>
        <w:t>new and reference states when IPA(%)</w:t>
      </w:r>
      <w:r>
        <w:rPr>
          <w:rFonts w:ascii="Times New Roman" w:hAnsi="Times New Roman"/>
          <w:sz w:val="13"/>
        </w:rPr>
        <w:t>new </w:t>
      </w:r>
      <w:r>
        <w:rPr>
          <w:rFonts w:ascii="Times New Roman" w:hAnsi="Times New Roman"/>
          <w:position w:val="2"/>
          <w:sz w:val="20"/>
        </w:rPr>
        <w:t>≤ IPA(%)</w:t>
      </w:r>
      <w:r>
        <w:rPr>
          <w:rFonts w:ascii="Times New Roman" w:hAnsi="Times New Roman"/>
          <w:sz w:val="13"/>
        </w:rPr>
        <w:t>ref</w:t>
      </w:r>
      <w:r>
        <w:rPr>
          <w:rFonts w:ascii="Times New Roman" w:hAnsi="Times New Roman"/>
          <w:position w:val="2"/>
          <w:sz w:val="20"/>
        </w:rPr>
        <w:t>. </w:t>
      </w:r>
      <w:r>
        <w:rPr>
          <w:rFonts w:ascii="Times New Roman" w:hAnsi="Times New Roman"/>
          <w:b/>
          <w:i/>
          <w:position w:val="2"/>
          <w:sz w:val="20"/>
        </w:rPr>
        <w:t>N</w:t>
      </w:r>
      <w:r>
        <w:rPr>
          <w:rFonts w:ascii="Times New Roman" w:hAnsi="Times New Roman"/>
          <w:position w:val="2"/>
          <w:sz w:val="20"/>
        </w:rPr>
        <w:t>(L</w:t>
      </w:r>
      <w:r>
        <w:rPr>
          <w:rFonts w:ascii="Times New Roman" w:hAnsi="Times New Roman"/>
          <w:sz w:val="13"/>
        </w:rPr>
        <w:t>nr</w:t>
      </w:r>
      <w:r>
        <w:rPr>
          <w:rFonts w:ascii="Times New Roman" w:hAnsi="Times New Roman"/>
          <w:position w:val="2"/>
          <w:sz w:val="20"/>
        </w:rPr>
        <w:t>=  1)  represents the number </w:t>
      </w:r>
      <w:r>
        <w:rPr>
          <w:rFonts w:ascii="Times New Roman" w:hAnsi="Times New Roman"/>
          <w:spacing w:val="-3"/>
          <w:position w:val="2"/>
          <w:sz w:val="20"/>
        </w:rPr>
        <w:t>of </w:t>
      </w:r>
      <w:r>
        <w:rPr>
          <w:rFonts w:ascii="Times New Roman" w:hAnsi="Times New Roman"/>
          <w:position w:val="2"/>
          <w:sz w:val="20"/>
        </w:rPr>
        <w:t>cases in sub-set with L</w:t>
      </w:r>
      <w:r>
        <w:rPr>
          <w:rFonts w:ascii="Times New Roman" w:hAnsi="Times New Roman"/>
          <w:sz w:val="13"/>
        </w:rPr>
        <w:t>nr</w:t>
      </w:r>
      <w:r>
        <w:rPr>
          <w:rFonts w:ascii="Times New Roman" w:hAnsi="Times New Roman"/>
          <w:position w:val="2"/>
          <w:sz w:val="20"/>
        </w:rPr>
        <w:t>= 1 (links in the network), </w:t>
      </w:r>
      <w:r>
        <w:rPr>
          <w:rFonts w:ascii="Times New Roman" w:hAnsi="Times New Roman"/>
          <w:spacing w:val="-5"/>
          <w:position w:val="2"/>
          <w:sz w:val="20"/>
        </w:rPr>
        <w:t>or </w:t>
      </w:r>
      <w:r>
        <w:rPr>
          <w:rFonts w:ascii="Times New Roman" w:hAnsi="Times New Roman"/>
          <w:position w:val="2"/>
          <w:sz w:val="20"/>
        </w:rPr>
        <w:t>the same with new and reference states when IPA(%)</w:t>
      </w:r>
      <w:r>
        <w:rPr>
          <w:rFonts w:ascii="Times New Roman" w:hAnsi="Times New Roman"/>
          <w:sz w:val="13"/>
        </w:rPr>
        <w:t>new  </w:t>
      </w:r>
      <w:r>
        <w:rPr>
          <w:rFonts w:ascii="Times New Roman" w:hAnsi="Times New Roman"/>
          <w:position w:val="2"/>
          <w:sz w:val="20"/>
        </w:rPr>
        <w:t>&gt;</w:t>
      </w:r>
      <w:r>
        <w:rPr>
          <w:rFonts w:ascii="Times New Roman" w:hAnsi="Times New Roman"/>
          <w:spacing w:val="-22"/>
          <w:position w:val="2"/>
          <w:sz w:val="20"/>
        </w:rPr>
        <w:t> </w:t>
      </w:r>
      <w:r>
        <w:rPr>
          <w:rFonts w:ascii="Times New Roman" w:hAnsi="Times New Roman"/>
          <w:position w:val="2"/>
          <w:sz w:val="20"/>
        </w:rPr>
        <w:t>IPA(%)</w:t>
      </w:r>
      <w:r>
        <w:rPr>
          <w:rFonts w:ascii="Times New Roman" w:hAnsi="Times New Roman"/>
          <w:sz w:val="13"/>
        </w:rPr>
        <w:t>ref</w:t>
      </w:r>
      <w:r>
        <w:rPr>
          <w:rFonts w:ascii="Times New Roman" w:hAnsi="Times New Roman"/>
          <w:position w:val="2"/>
          <w:sz w:val="20"/>
        </w:rPr>
        <w:t>.</w:t>
      </w:r>
    </w:p>
    <w:p>
      <w:pPr>
        <w:pStyle w:val="BodyText"/>
        <w:spacing w:before="2"/>
        <w:rPr>
          <w:rFonts w:ascii="Times New Roman"/>
          <w:sz w:val="22"/>
        </w:rPr>
      </w:pPr>
    </w:p>
    <w:p>
      <w:pPr>
        <w:pStyle w:val="BodyText"/>
        <w:ind w:left="3991" w:right="726" w:hanging="3223"/>
        <w:rPr>
          <w:rFonts w:ascii="Times New Roman"/>
        </w:rPr>
      </w:pPr>
      <w:r>
        <w:rPr>
          <w:rFonts w:ascii="Times New Roman"/>
          <w:b/>
          <w:position w:val="2"/>
        </w:rPr>
        <w:t>Table 10. </w:t>
      </w:r>
      <w:r>
        <w:rPr>
          <w:rFonts w:ascii="Times New Roman"/>
          <w:position w:val="2"/>
        </w:rPr>
        <w:t>Average values of input parameters (&lt;</w:t>
      </w:r>
      <w:r>
        <w:rPr>
          <w:rFonts w:ascii="Times New Roman"/>
          <w:position w:val="11"/>
          <w:sz w:val="16"/>
        </w:rPr>
        <w:t>i</w:t>
      </w:r>
      <w:r>
        <w:rPr>
          <w:rFonts w:ascii="Times New Roman"/>
          <w:position w:val="2"/>
        </w:rPr>
        <w:t>V</w:t>
      </w:r>
      <w:r>
        <w:rPr>
          <w:rFonts w:ascii="Times New Roman"/>
          <w:sz w:val="16"/>
        </w:rPr>
        <w:t>k</w:t>
      </w:r>
      <w:r>
        <w:rPr>
          <w:rFonts w:ascii="Times New Roman"/>
          <w:position w:val="2"/>
        </w:rPr>
        <w:t>&gt;) for experimental boundary conditions (c</w:t>
      </w:r>
      <w:r>
        <w:rPr>
          <w:rFonts w:ascii="Times New Roman"/>
          <w:sz w:val="16"/>
        </w:rPr>
        <w:t>j</w:t>
      </w:r>
      <w:r>
        <w:rPr>
          <w:rFonts w:ascii="Times New Roman"/>
          <w:position w:val="2"/>
        </w:rPr>
        <w:t>)</w:t>
      </w:r>
    </w:p>
    <w:p>
      <w:pPr>
        <w:spacing w:after="0"/>
        <w:rPr>
          <w:rFonts w:ascii="Times New Roman"/>
        </w:rPr>
        <w:sectPr>
          <w:type w:val="continuous"/>
          <w:pgSz w:w="12240" w:h="15840"/>
          <w:pgMar w:top="3080" w:bottom="2780" w:left="1440" w:right="1460"/>
        </w:sectPr>
      </w:pPr>
    </w:p>
    <w:p>
      <w:pPr>
        <w:spacing w:before="38"/>
        <w:ind w:left="586" w:right="-18" w:hanging="159"/>
        <w:jc w:val="left"/>
        <w:rPr>
          <w:rFonts w:ascii="Times New Roman"/>
          <w:sz w:val="20"/>
        </w:rPr>
      </w:pPr>
      <w:r>
        <w:rPr/>
        <w:pict>
          <v:group style="position:absolute;margin-left:92.682999pt;margin-top:.190935pt;width:426.7pt;height:37.25pt;mso-position-horizontal-relative:page;mso-position-vertical-relative:paragraph;z-index:-326680" coordorigin="1854,4" coordsize="8534,745">
            <v:line style="position:absolute" from="1868,18" to="2944,18" stroked="true" strokeweight="1.44pt" strokecolor="#000000"/>
            <v:line style="position:absolute" from="2944,18" to="2973,18" stroked="true" strokeweight="1.44pt" strokecolor="#000000"/>
            <v:line style="position:absolute" from="2973,18" to="9565,18" stroked="true" strokeweight="1.44pt" strokecolor="#000000"/>
            <v:line style="position:absolute" from="9565,18" to="9594,18" stroked="true" strokeweight="1.44pt" strokecolor="#000000"/>
            <v:line style="position:absolute" from="9594,18" to="10372,18" stroked="true" strokeweight="1.44pt" strokecolor="#000000"/>
            <v:line style="position:absolute" from="9570,33" to="9570,739" stroked="true" strokeweight=".48001pt" strokecolor="#000000"/>
            <v:shape style="position:absolute;left:1868;top:744;width:7698;height:2" coordorigin="1868,744" coordsize="7698,0" path="m1868,744l1916,744m1916,744l1964,744m1964,744l2012,744m2012,744l2060,744m2060,744l2108,744m2108,744l2156,744m2156,744l2204,744m2204,744l2252,744m2252,744l2300,744m2300,744l2348,744m2348,744l2396,744m2396,744l2444,744m2444,744l2492,744m2492,744l2540,744m2540,744l2588,744m2588,744l2636,744m2636,744l2684,744m2684,744l2732,744m2732,744l2780,744m2780,744l2828,744m2828,744l2876,744m2876,744l2925,744m2925,744l2944,744m2944,744l2953,744m2953,744l3001,744m3001,744l3049,744m3049,744l3097,744m3097,744l3145,744m3145,744l3193,744m3193,744l3241,744m3241,744l3289,744m3289,744l3337,744m3337,744l3385,744m3385,744l3433,744m3433,744l3481,744m3481,744l3529,744m3529,744l3577,744m3577,744l3625,744m3625,744l3673,744m3673,744l3721,744m3721,744l3769,744m3769,744l3817,744m3817,744l3865,744m3865,744l3913,744m3913,744l3961,744m3961,744l4009,744m4009,744l4057,744m4057,744l4106,744m4106,744l4154,744m4154,744l4202,744m4202,744l4250,744m4250,744l4298,744m4298,744l4346,744m4346,744l4394,744m4394,744l4442,744m4442,744l4490,744m4490,744l4495,744m4495,744l4504,744m4504,744l4552,744m4552,744l4600,744m4600,744l4648,744m4648,744l4696,744m4696,744l4744,744m4744,744l4792,744m4792,744l4840,744m4840,744l4888,744m4888,744l4936,744m4936,744l4984,744m4984,744l5032,744m5032,744l5080,744m5080,744l5128,744m5128,744l5176,744m5176,744l5224,744m5224,744l5272,744m5272,744l5321,744m5321,744l5369,744m5369,744l5417,744m5417,744l5465,744m5465,744l5479,744m5479,744l5489,744m5489,744l5537,744m5537,744l5585,744m5585,744l5633,744m5633,744l5681,744m5681,744l5729,744m5729,744l5777,744m5777,744l5825,744m5825,744l5873,744m5873,744l5921,744m5921,744l5969,744m5969,744l6017,744m6017,744l6065,744m6065,744l6113,744m6113,744l6161,744m6161,744l6209,744m6209,744l6257,744m6257,744l6305,744m6305,744l6353,744m6353,744l6401,744m6401,744l6439,744m6439,744l6449,744m6449,744l6497,744m6497,744l6545,744m6545,744l6593,744m6593,744l6641,744m6641,744l6689,744m6689,744l6737,744m6737,744l6785,744m6785,744l6833,744m6833,744l6881,744m6881,744l6929,744m6929,744l6977,744m6977,744l7025,744m7025,744l7073,744m7073,744l7121,744m7121,744l7169,744m7169,744l7217,744m7217,744l7265,744m7265,744l7313,744m7313,744l7323,744m7323,744l7371,744m7371,744l7419,744m7419,744l7467,744m7467,744l7515,744m7515,744l7563,744m7563,744l7611,744m7611,744l7659,744m7659,744l7707,744m7707,744l7755,744m7755,744l7803,744m7803,744l7851,744m7851,744l7899,744m7899,744l7947,744m7947,744l7995,744m7995,744l8043,744m8043,744l8091,744m8091,744l8139,744m8139,744l8159,744m8159,744l8168,744m8168,744l8216,744m8216,744l8264,744m8264,744l8312,744m8312,744l8360,744m8360,744l8408,744m8408,744l8456,744m8456,744l8504,744m8504,744l8552,744m8552,744l8600,744m8600,744l8648,744m8648,744l8696,744m8696,744l8744,744m8744,744l8792,744m8792,744l8841,744m8841,744l8889,744m8889,744l8937,744m8937,744l8956,744m8956,744l8965,744m8965,744l9013,744m9013,744l9061,744m9061,744l9109,744m9109,744l9157,744m9157,744l9205,744m9205,744l9253,744m9253,744l9301,744m9301,744l9349,744m9349,744l9397,744m9397,744l9445,744m9445,744l9493,744m9493,744l9541,744m9541,744l9565,744e" filled="false" stroked="true" strokeweight=".48001pt" strokecolor="#000000">
              <v:path arrowok="t"/>
            </v:shape>
            <v:shape style="position:absolute;left:9565;top:739;width:19;height:10" type="#_x0000_t75" stroked="false">
              <v:imagedata r:id="rId186" o:title=""/>
            </v:shape>
            <v:shape style="position:absolute;left:9585;top:744;width:788;height:2" coordorigin="9585,744" coordsize="788,0" path="m9585,744l9633,744m9633,744l9681,744m9681,744l9729,744m9729,744l9777,744m9777,744l9825,744m9825,744l9873,744m9873,744l9921,744m9921,744l9969,744m9969,744l10017,744m10017,744l10065,744m10065,744l10113,744m10113,744l10161,744m10161,744l10209,744m10209,744l10257,744m10257,744l10305,744m10305,744l10353,744m10353,744l10372,744e" filled="false" stroked="true" strokeweight=".48001pt" strokecolor="#000000">
              <v:path arrowok="t"/>
            </v:shape>
            <w10:wrap type="none"/>
          </v:group>
        </w:pict>
      </w:r>
      <w:r>
        <w:rPr>
          <w:rFonts w:ascii="Times New Roman"/>
          <w:sz w:val="20"/>
        </w:rPr>
        <w:t>Experimental boundary condition</w:t>
      </w:r>
    </w:p>
    <w:p>
      <w:pPr>
        <w:spacing w:line="140" w:lineRule="exact" w:before="19"/>
        <w:ind w:left="428" w:right="-18" w:firstLine="0"/>
        <w:jc w:val="left"/>
        <w:rPr>
          <w:rFonts w:ascii="Times New Roman"/>
          <w:sz w:val="20"/>
        </w:rPr>
      </w:pPr>
      <w:r>
        <w:rPr>
          <w:rFonts w:ascii="Times New Roman"/>
          <w:sz w:val="20"/>
        </w:rPr>
        <w:t>Conditions</w:t>
      </w:r>
    </w:p>
    <w:p>
      <w:pPr>
        <w:spacing w:before="147"/>
        <w:ind w:left="428" w:right="-13" w:firstLine="0"/>
        <w:jc w:val="left"/>
        <w:rPr>
          <w:rFonts w:ascii="Times New Roman"/>
          <w:i/>
          <w:sz w:val="13"/>
        </w:rPr>
      </w:pPr>
      <w:r>
        <w:rPr/>
        <w:br w:type="column"/>
      </w:r>
      <w:r>
        <w:rPr>
          <w:rFonts w:ascii="Times New Roman"/>
          <w:position w:val="2"/>
          <w:sz w:val="20"/>
        </w:rPr>
        <w:t>Average values of input variables &lt;</w:t>
      </w:r>
      <w:r>
        <w:rPr>
          <w:rFonts w:ascii="Times New Roman"/>
          <w:position w:val="9"/>
          <w:sz w:val="13"/>
        </w:rPr>
        <w:t>i</w:t>
      </w:r>
      <w:r>
        <w:rPr>
          <w:rFonts w:ascii="Times New Roman"/>
          <w:position w:val="2"/>
          <w:sz w:val="20"/>
        </w:rPr>
        <w:t>V</w:t>
      </w:r>
      <w:r>
        <w:rPr>
          <w:rFonts w:ascii="Times New Roman"/>
          <w:sz w:val="13"/>
        </w:rPr>
        <w:t>k</w:t>
      </w:r>
      <w:r>
        <w:rPr>
          <w:rFonts w:ascii="Times New Roman"/>
          <w:position w:val="2"/>
          <w:sz w:val="20"/>
        </w:rPr>
        <w:t>(c</w:t>
      </w:r>
      <w:r>
        <w:rPr>
          <w:rFonts w:ascii="Times New Roman"/>
          <w:sz w:val="13"/>
        </w:rPr>
        <w:t>j</w:t>
      </w:r>
      <w:r>
        <w:rPr>
          <w:rFonts w:ascii="Times New Roman"/>
          <w:position w:val="2"/>
          <w:sz w:val="20"/>
        </w:rPr>
        <w:t>)&gt; </w:t>
      </w:r>
      <w:r>
        <w:rPr>
          <w:rFonts w:ascii="Times New Roman"/>
          <w:i/>
          <w:position w:val="9"/>
          <w:sz w:val="13"/>
        </w:rPr>
        <w:t>aa</w:t>
      </w:r>
    </w:p>
    <w:p>
      <w:pPr>
        <w:pStyle w:val="BodyText"/>
        <w:spacing w:before="10"/>
        <w:rPr>
          <w:rFonts w:ascii="Times New Roman"/>
          <w:i/>
          <w:sz w:val="22"/>
        </w:rPr>
      </w:pPr>
      <w:r>
        <w:rPr/>
        <w:br w:type="column"/>
      </w:r>
      <w:r>
        <w:rPr>
          <w:rFonts w:ascii="Times New Roman"/>
          <w:i/>
          <w:sz w:val="22"/>
        </w:rPr>
      </w:r>
    </w:p>
    <w:p>
      <w:pPr>
        <w:spacing w:before="0"/>
        <w:ind w:left="428" w:right="0" w:firstLine="0"/>
        <w:jc w:val="left"/>
        <w:rPr>
          <w:rFonts w:ascii="Times New Roman"/>
          <w:i/>
          <w:sz w:val="13"/>
        </w:rPr>
      </w:pPr>
      <w:r>
        <w:rPr>
          <w:rFonts w:ascii="Times New Roman"/>
          <w:i/>
          <w:position w:val="2"/>
          <w:sz w:val="20"/>
        </w:rPr>
        <w:t>p</w:t>
      </w:r>
      <w:r>
        <w:rPr>
          <w:rFonts w:ascii="Times New Roman"/>
          <w:position w:val="2"/>
          <w:sz w:val="20"/>
        </w:rPr>
        <w:t>(c</w:t>
      </w:r>
      <w:r>
        <w:rPr>
          <w:rFonts w:ascii="Times New Roman"/>
          <w:sz w:val="13"/>
        </w:rPr>
        <w:t>j</w:t>
      </w:r>
      <w:r>
        <w:rPr>
          <w:rFonts w:ascii="Times New Roman"/>
          <w:position w:val="2"/>
          <w:sz w:val="20"/>
        </w:rPr>
        <w:t>) </w:t>
      </w:r>
      <w:r>
        <w:rPr>
          <w:rFonts w:ascii="Times New Roman"/>
          <w:i/>
          <w:position w:val="9"/>
          <w:sz w:val="13"/>
        </w:rPr>
        <w:t>ab</w:t>
      </w:r>
    </w:p>
    <w:p>
      <w:pPr>
        <w:spacing w:after="0"/>
        <w:jc w:val="left"/>
        <w:rPr>
          <w:rFonts w:ascii="Times New Roman"/>
          <w:sz w:val="13"/>
        </w:rPr>
        <w:sectPr>
          <w:type w:val="continuous"/>
          <w:pgSz w:w="12240" w:h="15840"/>
          <w:pgMar w:top="3080" w:bottom="2780" w:left="1440" w:right="1460"/>
          <w:cols w:num="3" w:equalWidth="0">
            <w:col w:w="1507" w:space="1058"/>
            <w:col w:w="4083" w:space="1189"/>
            <w:col w:w="1503"/>
          </w:cols>
        </w:sectPr>
      </w:pPr>
    </w:p>
    <w:p>
      <w:pPr>
        <w:tabs>
          <w:tab w:pos="1518" w:val="left" w:leader="none"/>
          <w:tab w:pos="3438" w:val="left" w:leader="none"/>
          <w:tab w:pos="4413" w:val="left" w:leader="none"/>
          <w:tab w:pos="5325" w:val="left" w:leader="none"/>
          <w:tab w:pos="6185" w:val="left" w:leader="none"/>
          <w:tab w:pos="7011" w:val="left" w:leader="none"/>
          <w:tab w:pos="7717" w:val="left" w:leader="none"/>
        </w:tabs>
        <w:spacing w:line="330" w:lineRule="exact" w:before="0"/>
        <w:ind w:left="428" w:right="0" w:firstLine="0"/>
        <w:jc w:val="left"/>
        <w:rPr>
          <w:rFonts w:ascii="Times New Roman"/>
          <w:sz w:val="13"/>
        </w:rPr>
      </w:pPr>
      <w:r>
        <w:rPr>
          <w:rFonts w:ascii="Times New Roman"/>
          <w:position w:val="-9"/>
          <w:sz w:val="20"/>
        </w:rPr>
        <w:t>(c</w:t>
      </w:r>
      <w:r>
        <w:rPr>
          <w:rFonts w:ascii="Times New Roman"/>
          <w:position w:val="-11"/>
          <w:sz w:val="13"/>
        </w:rPr>
        <w:t>j</w:t>
      </w:r>
      <w:r>
        <w:rPr>
          <w:rFonts w:ascii="Times New Roman"/>
          <w:position w:val="-9"/>
          <w:sz w:val="20"/>
        </w:rPr>
        <w:t>)</w:t>
        <w:tab/>
      </w:r>
      <w:r>
        <w:rPr>
          <w:rFonts w:ascii="Times New Roman"/>
          <w:position w:val="2"/>
          <w:sz w:val="20"/>
        </w:rPr>
        <w:t>level</w:t>
        <w:tab/>
        <w:t>V</w:t>
      </w:r>
      <w:r>
        <w:rPr>
          <w:rFonts w:ascii="Times New Roman"/>
          <w:sz w:val="13"/>
        </w:rPr>
        <w:t>1</w:t>
        <w:tab/>
      </w:r>
      <w:r>
        <w:rPr>
          <w:rFonts w:ascii="Times New Roman"/>
          <w:position w:val="2"/>
          <w:sz w:val="20"/>
        </w:rPr>
        <w:t>V</w:t>
      </w:r>
      <w:r>
        <w:rPr>
          <w:rFonts w:ascii="Times New Roman"/>
          <w:sz w:val="13"/>
        </w:rPr>
        <w:t>2</w:t>
        <w:tab/>
      </w:r>
      <w:r>
        <w:rPr>
          <w:rFonts w:ascii="Times New Roman"/>
          <w:position w:val="2"/>
          <w:sz w:val="20"/>
        </w:rPr>
        <w:t>V</w:t>
      </w:r>
      <w:r>
        <w:rPr>
          <w:rFonts w:ascii="Times New Roman"/>
          <w:sz w:val="13"/>
        </w:rPr>
        <w:t>3</w:t>
        <w:tab/>
      </w:r>
      <w:r>
        <w:rPr>
          <w:rFonts w:ascii="Times New Roman"/>
          <w:position w:val="2"/>
          <w:sz w:val="20"/>
        </w:rPr>
        <w:t>V</w:t>
      </w:r>
      <w:r>
        <w:rPr>
          <w:rFonts w:ascii="Times New Roman"/>
          <w:sz w:val="13"/>
        </w:rPr>
        <w:t>4</w:t>
        <w:tab/>
      </w:r>
      <w:r>
        <w:rPr>
          <w:rFonts w:ascii="Times New Roman"/>
          <w:position w:val="2"/>
          <w:sz w:val="20"/>
        </w:rPr>
        <w:t>V</w:t>
      </w:r>
      <w:r>
        <w:rPr>
          <w:rFonts w:ascii="Times New Roman"/>
          <w:sz w:val="13"/>
        </w:rPr>
        <w:t>5</w:t>
        <w:tab/>
      </w:r>
      <w:r>
        <w:rPr>
          <w:rFonts w:ascii="Times New Roman"/>
          <w:position w:val="2"/>
          <w:sz w:val="20"/>
        </w:rPr>
        <w:t>V</w:t>
      </w:r>
      <w:r>
        <w:rPr>
          <w:rFonts w:ascii="Times New Roman"/>
          <w:sz w:val="13"/>
        </w:rPr>
        <w:t>6</w:t>
      </w:r>
    </w:p>
    <w:p>
      <w:pPr>
        <w:pStyle w:val="BodyText"/>
        <w:spacing w:line="20" w:lineRule="exact"/>
        <w:ind w:left="423"/>
        <w:rPr>
          <w:rFonts w:ascii="Times New Roman"/>
          <w:sz w:val="2"/>
        </w:rPr>
      </w:pPr>
      <w:r>
        <w:rPr>
          <w:rFonts w:ascii="Times New Roman"/>
          <w:sz w:val="2"/>
        </w:rPr>
        <w:pict>
          <v:group style="width:425.75pt;height:.5pt;mso-position-horizontal-relative:char;mso-position-vertical-relative:line" coordorigin="0,0" coordsize="8515,10">
            <v:line style="position:absolute" from="5,5" to="1081,5" stroked="true" strokeweight=".47998pt" strokecolor="#000000"/>
            <v:line style="position:absolute" from="1081,5" to="1090,5" stroked="true" strokeweight=".47998pt" strokecolor="#000000"/>
            <v:line style="position:absolute" from="1090,5" to="2632,5" stroked="true" strokeweight=".47998pt" strokecolor="#000000"/>
            <v:line style="position:absolute" from="2632,5" to="2641,5" stroked="true" strokeweight=".47998pt" strokecolor="#000000"/>
            <v:line style="position:absolute" from="2641,5" to="3616,5" stroked="true" strokeweight=".47998pt" strokecolor="#000000"/>
            <v:line style="position:absolute" from="3616,5" to="3626,5" stroked="true" strokeweight=".47998pt" strokecolor="#000000"/>
            <v:line style="position:absolute" from="3626,5" to="4576,5" stroked="true" strokeweight=".47998pt" strokecolor="#000000"/>
            <v:line style="position:absolute" from="4576,5" to="4586,5" stroked="true" strokeweight=".47998pt" strokecolor="#000000"/>
            <v:line style="position:absolute" from="4586,5" to="5450,5" stroked="true" strokeweight=".47998pt" strokecolor="#000000"/>
            <v:line style="position:absolute" from="5450,5" to="5460,5" stroked="true" strokeweight=".47998pt" strokecolor="#000000"/>
            <v:line style="position:absolute" from="5460,5" to="6295,5" stroked="true" strokeweight=".47998pt" strokecolor="#000000"/>
            <v:line style="position:absolute" from="6295,5" to="6305,5" stroked="true" strokeweight=".47998pt" strokecolor="#000000"/>
            <v:line style="position:absolute" from="6305,5" to="7093,5" stroked="true" strokeweight=".47998pt" strokecolor="#000000"/>
            <v:line style="position:absolute" from="7093,5" to="7102,5" stroked="true" strokeweight=".47998pt" strokecolor="#000000"/>
            <v:line style="position:absolute" from="7102,5" to="7707,5" stroked="true" strokeweight=".47998pt" strokecolor="#000000"/>
            <v:line style="position:absolute" from="7707,5" to="7717,5" stroked="true" strokeweight=".47998pt" strokecolor="#000000"/>
            <v:line style="position:absolute" from="7717,5" to="8509,5" stroked="true" strokeweight=".47998pt" strokecolor="#000000"/>
          </v:group>
        </w:pict>
      </w:r>
      <w:r>
        <w:rPr>
          <w:rFonts w:ascii="Times New Roman"/>
          <w:sz w:val="2"/>
        </w:rPr>
      </w:r>
    </w:p>
    <w:p>
      <w:pPr>
        <w:tabs>
          <w:tab w:pos="3318" w:val="left" w:leader="none"/>
          <w:tab w:pos="4293" w:val="left" w:leader="none"/>
          <w:tab w:pos="5205" w:val="left" w:leader="none"/>
          <w:tab w:pos="6065" w:val="left" w:leader="none"/>
          <w:tab w:pos="6939" w:val="left" w:leader="none"/>
          <w:tab w:pos="7698" w:val="left" w:leader="none"/>
          <w:tab w:pos="8302" w:val="left" w:leader="none"/>
        </w:tabs>
        <w:spacing w:before="19"/>
        <w:ind w:left="1518" w:right="0" w:firstLine="0"/>
        <w:jc w:val="left"/>
        <w:rPr>
          <w:rFonts w:ascii="Times New Roman"/>
          <w:sz w:val="20"/>
        </w:rPr>
      </w:pPr>
      <w:r>
        <w:rPr>
          <w:rFonts w:ascii="Times New Roman"/>
          <w:spacing w:val="-3"/>
          <w:sz w:val="20"/>
        </w:rPr>
        <w:t>BM</w:t>
        <w:tab/>
      </w:r>
      <w:r>
        <w:rPr>
          <w:rFonts w:ascii="Times New Roman"/>
          <w:sz w:val="20"/>
        </w:rPr>
        <w:t>274.4</w:t>
        <w:tab/>
        <w:t>258.3</w:t>
        <w:tab/>
        <w:t>247.9</w:t>
        <w:tab/>
        <w:t>260.5</w:t>
        <w:tab/>
        <w:t>84.8</w:t>
        <w:tab/>
        <w:t>6.6</w:t>
        <w:tab/>
        <w:t>0.113</w:t>
      </w:r>
    </w:p>
    <w:p>
      <w:pPr>
        <w:tabs>
          <w:tab w:pos="3318" w:val="left" w:leader="none"/>
          <w:tab w:pos="4293" w:val="left" w:leader="none"/>
          <w:tab w:pos="5205" w:val="left" w:leader="none"/>
          <w:tab w:pos="6065" w:val="left" w:leader="none"/>
          <w:tab w:pos="6939" w:val="left" w:leader="none"/>
          <w:tab w:pos="7698" w:val="left" w:leader="none"/>
          <w:tab w:pos="8302" w:val="left" w:leader="none"/>
        </w:tabs>
        <w:spacing w:before="72"/>
        <w:ind w:left="1518" w:right="0" w:firstLine="0"/>
        <w:jc w:val="left"/>
        <w:rPr>
          <w:rFonts w:ascii="Times New Roman"/>
          <w:sz w:val="20"/>
        </w:rPr>
      </w:pPr>
      <w:r>
        <w:rPr>
          <w:rFonts w:ascii="Times New Roman"/>
          <w:sz w:val="20"/>
        </w:rPr>
        <w:t>AM</w:t>
        <w:tab/>
        <w:t>274.4</w:t>
        <w:tab/>
        <w:t>258.3</w:t>
        <w:tab/>
        <w:t>247.9</w:t>
        <w:tab/>
        <w:t>260.5</w:t>
        <w:tab/>
        <w:t>84.8</w:t>
        <w:tab/>
        <w:t>6.6</w:t>
        <w:tab/>
        <w:t>0.113</w:t>
      </w:r>
    </w:p>
    <w:p>
      <w:pPr>
        <w:spacing w:after="0"/>
        <w:jc w:val="left"/>
        <w:rPr>
          <w:rFonts w:ascii="Times New Roman"/>
          <w:sz w:val="20"/>
        </w:rPr>
        <w:sectPr>
          <w:type w:val="continuous"/>
          <w:pgSz w:w="12240" w:h="15840"/>
          <w:pgMar w:top="3080" w:bottom="2780" w:left="1440" w:right="1460"/>
        </w:sectPr>
      </w:pPr>
    </w:p>
    <w:p>
      <w:pPr>
        <w:spacing w:before="105"/>
        <w:ind w:left="428" w:right="-1" w:firstLine="0"/>
        <w:jc w:val="left"/>
        <w:rPr>
          <w:rFonts w:ascii="Times New Roman"/>
          <w:sz w:val="20"/>
        </w:rPr>
      </w:pPr>
      <w:r>
        <w:rPr>
          <w:rFonts w:ascii="Times New Roman"/>
          <w:position w:val="2"/>
          <w:sz w:val="20"/>
        </w:rPr>
        <w:t>c</w:t>
      </w:r>
      <w:r>
        <w:rPr>
          <w:rFonts w:ascii="Times New Roman"/>
          <w:sz w:val="13"/>
        </w:rPr>
        <w:t>1 </w:t>
      </w:r>
      <w:r>
        <w:rPr>
          <w:rFonts w:ascii="Times New Roman"/>
          <w:position w:val="2"/>
          <w:sz w:val="20"/>
        </w:rPr>
        <w:t>=&gt;</w:t>
      </w:r>
    </w:p>
    <w:p>
      <w:pPr>
        <w:tabs>
          <w:tab w:pos="2228" w:val="left" w:leader="none"/>
          <w:tab w:pos="3203" w:val="left" w:leader="none"/>
          <w:tab w:pos="4115" w:val="left" w:leader="none"/>
          <w:tab w:pos="4975" w:val="left" w:leader="none"/>
          <w:tab w:pos="5849" w:val="left" w:leader="none"/>
          <w:tab w:pos="6608" w:val="left" w:leader="none"/>
          <w:tab w:pos="7212" w:val="left" w:leader="none"/>
        </w:tabs>
        <w:spacing w:before="72"/>
        <w:ind w:left="428" w:right="0" w:firstLine="0"/>
        <w:jc w:val="left"/>
        <w:rPr>
          <w:rFonts w:ascii="Times New Roman"/>
          <w:sz w:val="20"/>
        </w:rPr>
      </w:pPr>
      <w:r>
        <w:rPr/>
        <w:br w:type="column"/>
      </w:r>
      <w:r>
        <w:rPr>
          <w:rFonts w:ascii="Times New Roman"/>
          <w:sz w:val="20"/>
        </w:rPr>
        <w:t>CM</w:t>
        <w:tab/>
        <w:t>274.4</w:t>
        <w:tab/>
        <w:t>258.3</w:t>
        <w:tab/>
        <w:t>247.9</w:t>
        <w:tab/>
        <w:t>260.5</w:t>
        <w:tab/>
        <w:t>84.8</w:t>
        <w:tab/>
        <w:t>6.6</w:t>
        <w:tab/>
        <w:t>0.113</w:t>
      </w:r>
    </w:p>
    <w:p>
      <w:pPr>
        <w:spacing w:after="0"/>
        <w:jc w:val="left"/>
        <w:rPr>
          <w:rFonts w:ascii="Times New Roman"/>
          <w:sz w:val="20"/>
        </w:rPr>
        <w:sectPr>
          <w:type w:val="continuous"/>
          <w:pgSz w:w="12240" w:h="15840"/>
          <w:pgMar w:top="3080" w:bottom="2780" w:left="1440" w:right="1460"/>
          <w:cols w:num="2" w:equalWidth="0">
            <w:col w:w="859" w:space="231"/>
            <w:col w:w="8250"/>
          </w:cols>
        </w:sectPr>
      </w:pPr>
    </w:p>
    <w:p>
      <w:pPr>
        <w:tabs>
          <w:tab w:pos="3318" w:val="left" w:leader="none"/>
          <w:tab w:pos="4293" w:val="left" w:leader="none"/>
          <w:tab w:pos="5205" w:val="left" w:leader="none"/>
          <w:tab w:pos="6065" w:val="left" w:leader="none"/>
          <w:tab w:pos="6939" w:val="left" w:leader="none"/>
          <w:tab w:pos="7698" w:val="left" w:leader="none"/>
          <w:tab w:pos="8302" w:val="left" w:leader="none"/>
        </w:tabs>
        <w:spacing w:line="265" w:lineRule="exact" w:before="0"/>
        <w:ind w:left="428" w:right="0" w:firstLine="0"/>
        <w:jc w:val="left"/>
        <w:rPr>
          <w:rFonts w:ascii="Times New Roman"/>
          <w:sz w:val="20"/>
        </w:rPr>
      </w:pPr>
      <w:r>
        <w:rPr>
          <w:rFonts w:ascii="Times New Roman"/>
          <w:position w:val="4"/>
          <w:sz w:val="20"/>
        </w:rPr>
        <w:t>Treatments</w:t>
      </w:r>
      <w:r>
        <w:rPr>
          <w:rFonts w:ascii="Times New Roman"/>
          <w:spacing w:val="-3"/>
          <w:position w:val="4"/>
          <w:sz w:val="20"/>
        </w:rPr>
        <w:t> </w:t>
      </w:r>
      <w:r>
        <w:rPr>
          <w:rFonts w:ascii="Times New Roman"/>
          <w:i/>
          <w:position w:val="11"/>
          <w:sz w:val="13"/>
        </w:rPr>
        <w:t>a </w:t>
      </w:r>
      <w:r>
        <w:rPr>
          <w:rFonts w:ascii="Times New Roman"/>
          <w:i/>
          <w:spacing w:val="9"/>
          <w:position w:val="11"/>
          <w:sz w:val="13"/>
        </w:rPr>
        <w:t> </w:t>
      </w:r>
      <w:r>
        <w:rPr>
          <w:rFonts w:ascii="Times New Roman"/>
          <w:spacing w:val="-3"/>
          <w:sz w:val="20"/>
        </w:rPr>
        <w:t>BA</w:t>
        <w:tab/>
      </w:r>
      <w:r>
        <w:rPr>
          <w:rFonts w:ascii="Times New Roman"/>
          <w:sz w:val="20"/>
        </w:rPr>
        <w:t>261.9</w:t>
        <w:tab/>
        <w:t>234.6</w:t>
        <w:tab/>
        <w:t>224.3</w:t>
        <w:tab/>
        <w:t>236.8</w:t>
        <w:tab/>
        <w:t>80.3</w:t>
        <w:tab/>
        <w:t>6.2</w:t>
        <w:tab/>
        <w:t>0.258</w:t>
      </w:r>
    </w:p>
    <w:p>
      <w:pPr>
        <w:tabs>
          <w:tab w:pos="3318" w:val="left" w:leader="none"/>
          <w:tab w:pos="4293" w:val="left" w:leader="none"/>
          <w:tab w:pos="5205" w:val="left" w:leader="none"/>
          <w:tab w:pos="6065" w:val="left" w:leader="none"/>
          <w:tab w:pos="6939" w:val="left" w:leader="none"/>
          <w:tab w:pos="7698" w:val="left" w:leader="none"/>
          <w:tab w:pos="8302" w:val="left" w:leader="none"/>
        </w:tabs>
        <w:spacing w:before="67"/>
        <w:ind w:left="1518" w:right="0" w:firstLine="0"/>
        <w:jc w:val="left"/>
        <w:rPr>
          <w:rFonts w:ascii="Times New Roman"/>
          <w:sz w:val="20"/>
        </w:rPr>
      </w:pPr>
      <w:r>
        <w:rPr>
          <w:rFonts w:ascii="Times New Roman"/>
          <w:sz w:val="20"/>
        </w:rPr>
        <w:t>PA</w:t>
        <w:tab/>
        <w:t>261.9</w:t>
        <w:tab/>
        <w:t>234.6</w:t>
        <w:tab/>
        <w:t>224.3</w:t>
        <w:tab/>
        <w:t>236.8</w:t>
        <w:tab/>
        <w:t>80.3</w:t>
        <w:tab/>
        <w:t>6.2</w:t>
        <w:tab/>
        <w:t>0.258</w:t>
      </w:r>
    </w:p>
    <w:p>
      <w:pPr>
        <w:tabs>
          <w:tab w:pos="3371" w:val="left" w:leader="none"/>
          <w:tab w:pos="4346" w:val="left" w:leader="none"/>
          <w:tab w:pos="5258" w:val="left" w:leader="none"/>
          <w:tab w:pos="6117" w:val="left" w:leader="none"/>
          <w:tab w:pos="6939" w:val="left" w:leader="none"/>
          <w:tab w:pos="7698" w:val="left" w:leader="none"/>
          <w:tab w:pos="8302" w:val="left" w:leader="none"/>
        </w:tabs>
        <w:spacing w:before="72"/>
        <w:ind w:left="1518" w:right="0" w:firstLine="0"/>
        <w:jc w:val="left"/>
        <w:rPr>
          <w:rFonts w:ascii="Times New Roman"/>
          <w:sz w:val="20"/>
        </w:rPr>
      </w:pPr>
      <w:r>
        <w:rPr/>
        <w:pict>
          <v:shape style="position:absolute;margin-left:93.407997pt;margin-top:17.255949pt;width:425.25pt;height:.1pt;mso-position-horizontal-relative:page;mso-position-vertical-relative:paragraph;z-index:5608" coordorigin="1868,345" coordsize="8505,0" path="m1868,345l2944,345m2944,345l2953,345m2953,345l4495,345m4495,345l4504,345m4504,345l5479,345m5479,345l5489,345m5489,345l6439,345m6439,345l6449,345m6449,345l7313,345m7313,345l7323,345m7323,345l8159,345m8159,345l8168,345m8168,345l8956,345m8956,345l8965,345m8965,345l9570,345m9570,345l9580,345m9580,345l10372,345e" filled="false" stroked="true" strokeweight=".48pt" strokecolor="#000000">
            <v:path arrowok="t"/>
            <v:stroke dashstyle="dash"/>
            <w10:wrap type="none"/>
          </v:shape>
        </w:pict>
      </w:r>
      <w:r>
        <w:rPr>
          <w:rFonts w:ascii="Times New Roman"/>
          <w:sz w:val="20"/>
        </w:rPr>
        <w:t>MA</w:t>
        <w:tab/>
        <w:t>85.8</w:t>
        <w:tab/>
        <w:t>25.4</w:t>
        <w:tab/>
        <w:t>17.7</w:t>
        <w:tab/>
        <w:t>27.0</w:t>
        <w:tab/>
        <w:t>21.1</w:t>
        <w:tab/>
        <w:t>0.7</w:t>
        <w:tab/>
        <w:t>0.145</w:t>
      </w:r>
    </w:p>
    <w:p>
      <w:pPr>
        <w:spacing w:after="0"/>
        <w:jc w:val="left"/>
        <w:rPr>
          <w:rFonts w:ascii="Times New Roman"/>
          <w:sz w:val="20"/>
        </w:rPr>
        <w:sectPr>
          <w:type w:val="continuous"/>
          <w:pgSz w:w="12240" w:h="15840"/>
          <w:pgMar w:top="3080" w:bottom="2780" w:left="1440" w:right="1460"/>
        </w:sectPr>
      </w:pPr>
    </w:p>
    <w:p>
      <w:pPr>
        <w:spacing w:line="231" w:lineRule="exact" w:before="52"/>
        <w:ind w:left="428" w:right="-20" w:firstLine="0"/>
        <w:jc w:val="left"/>
        <w:rPr>
          <w:rFonts w:ascii="Times New Roman"/>
          <w:sz w:val="20"/>
        </w:rPr>
      </w:pPr>
      <w:r>
        <w:rPr>
          <w:rFonts w:ascii="Times New Roman"/>
          <w:position w:val="2"/>
          <w:sz w:val="20"/>
        </w:rPr>
        <w:t>c</w:t>
      </w:r>
      <w:r>
        <w:rPr>
          <w:rFonts w:ascii="Times New Roman"/>
          <w:sz w:val="13"/>
        </w:rPr>
        <w:t>2 </w:t>
      </w:r>
      <w:r>
        <w:rPr>
          <w:rFonts w:ascii="Times New Roman"/>
          <w:position w:val="2"/>
          <w:sz w:val="20"/>
        </w:rPr>
        <w:t>=&gt;</w:t>
      </w:r>
    </w:p>
    <w:p>
      <w:pPr>
        <w:spacing w:line="223" w:lineRule="exact" w:before="0"/>
        <w:ind w:left="428" w:right="-20" w:firstLine="0"/>
        <w:jc w:val="left"/>
        <w:rPr>
          <w:rFonts w:ascii="Times New Roman"/>
          <w:sz w:val="20"/>
        </w:rPr>
      </w:pPr>
      <w:r>
        <w:rPr>
          <w:rFonts w:ascii="Times New Roman"/>
          <w:sz w:val="20"/>
        </w:rPr>
        <w:t>fermentation</w:t>
      </w:r>
    </w:p>
    <w:p>
      <w:pPr>
        <w:spacing w:line="146" w:lineRule="exact" w:before="0"/>
        <w:ind w:left="428" w:right="0" w:firstLine="0"/>
        <w:jc w:val="left"/>
        <w:rPr>
          <w:rFonts w:ascii="Times New Roman"/>
          <w:sz w:val="13"/>
        </w:rPr>
      </w:pPr>
      <w:r>
        <w:rPr>
          <w:rFonts w:ascii="Times New Roman"/>
          <w:w w:val="99"/>
          <w:sz w:val="13"/>
        </w:rPr>
        <w:t>b</w:t>
      </w:r>
    </w:p>
    <w:p>
      <w:pPr>
        <w:tabs>
          <w:tab w:pos="1828" w:val="left" w:leader="none"/>
          <w:tab w:pos="2803" w:val="left" w:leader="none"/>
          <w:tab w:pos="3716" w:val="left" w:leader="none"/>
          <w:tab w:pos="4575" w:val="left" w:leader="none"/>
          <w:tab w:pos="5449" w:val="left" w:leader="none"/>
          <w:tab w:pos="6208" w:val="left" w:leader="none"/>
          <w:tab w:pos="6813" w:val="left" w:leader="none"/>
        </w:tabs>
        <w:spacing w:before="87"/>
        <w:ind w:left="28" w:right="0" w:firstLine="0"/>
        <w:jc w:val="left"/>
        <w:rPr>
          <w:rFonts w:ascii="Times New Roman"/>
          <w:sz w:val="20"/>
        </w:rPr>
      </w:pPr>
      <w:r>
        <w:rPr/>
        <w:br w:type="column"/>
      </w:r>
      <w:r>
        <w:rPr>
          <w:rFonts w:ascii="Times New Roman"/>
          <w:b/>
          <w:i/>
          <w:sz w:val="20"/>
        </w:rPr>
        <w:t>0</w:t>
        <w:tab/>
      </w:r>
      <w:r>
        <w:rPr>
          <w:rFonts w:ascii="Times New Roman"/>
          <w:sz w:val="20"/>
        </w:rPr>
        <w:t>274.4</w:t>
        <w:tab/>
        <w:t>258.3</w:t>
        <w:tab/>
        <w:t>247.9</w:t>
        <w:tab/>
        <w:t>260.5</w:t>
        <w:tab/>
        <w:t>84.8</w:t>
        <w:tab/>
        <w:t>6.6</w:t>
        <w:tab/>
        <w:t>0.339</w:t>
      </w:r>
    </w:p>
    <w:p>
      <w:pPr>
        <w:tabs>
          <w:tab w:pos="1828" w:val="left" w:leader="none"/>
          <w:tab w:pos="2803" w:val="left" w:leader="none"/>
          <w:tab w:pos="3716" w:val="left" w:leader="none"/>
          <w:tab w:pos="4575" w:val="left" w:leader="none"/>
          <w:tab w:pos="5449" w:val="left" w:leader="none"/>
          <w:tab w:pos="6208" w:val="left" w:leader="none"/>
          <w:tab w:pos="6813" w:val="left" w:leader="none"/>
        </w:tabs>
        <w:spacing w:before="120"/>
        <w:ind w:left="28" w:right="0" w:firstLine="0"/>
        <w:jc w:val="left"/>
        <w:rPr>
          <w:rFonts w:ascii="Times New Roman"/>
          <w:sz w:val="20"/>
        </w:rPr>
      </w:pPr>
      <w:r>
        <w:rPr>
          <w:rFonts w:ascii="Times New Roman"/>
          <w:b/>
          <w:i/>
          <w:sz w:val="20"/>
        </w:rPr>
        <w:t>1</w:t>
        <w:tab/>
      </w:r>
      <w:r>
        <w:rPr>
          <w:rFonts w:ascii="Times New Roman"/>
          <w:sz w:val="20"/>
        </w:rPr>
        <w:t>223.2</w:t>
        <w:tab/>
        <w:t>188.7</w:t>
        <w:tab/>
        <w:t>178.9</w:t>
        <w:tab/>
        <w:t>190.7</w:t>
        <w:tab/>
        <w:t>67.3</w:t>
        <w:tab/>
        <w:t>5.0</w:t>
        <w:tab/>
        <w:t>0.661</w:t>
      </w:r>
    </w:p>
    <w:p>
      <w:pPr>
        <w:tabs>
          <w:tab w:pos="1828" w:val="left" w:leader="none"/>
          <w:tab w:pos="2803" w:val="left" w:leader="none"/>
          <w:tab w:pos="3716" w:val="left" w:leader="none"/>
          <w:tab w:pos="4575" w:val="left" w:leader="none"/>
          <w:tab w:pos="5449" w:val="left" w:leader="none"/>
          <w:tab w:pos="6208" w:val="left" w:leader="none"/>
          <w:tab w:pos="6813" w:val="left" w:leader="none"/>
        </w:tabs>
        <w:spacing w:before="126"/>
        <w:ind w:left="28" w:right="0" w:firstLine="0"/>
        <w:jc w:val="left"/>
        <w:rPr>
          <w:rFonts w:ascii="Times New Roman"/>
          <w:sz w:val="20"/>
        </w:rPr>
      </w:pPr>
      <w:r>
        <w:rPr/>
        <w:pict>
          <v:shape style="position:absolute;margin-left:93.407997pt;margin-top:4.325941pt;width:425.25pt;height:.1pt;mso-position-horizontal-relative:page;mso-position-vertical-relative:paragraph;z-index:5632" coordorigin="1868,87" coordsize="8505,0" path="m1868,87l2944,87m2944,87l2953,87m2953,87l4495,87m4495,87l4504,87m4504,87l5479,87m5479,87l5489,87m5489,87l6439,87m6439,87l6449,87m6449,87l7313,87m7313,87l7323,87m7323,87l8159,87m8159,87l8168,87m8168,87l8956,87m8956,87l8965,87m8965,87l9570,87m9570,87l9580,87m9580,87l10372,87e" filled="false" stroked="true" strokeweight=".48pt" strokecolor="#000000">
            <v:path arrowok="t"/>
            <v:stroke dashstyle="dash"/>
            <w10:wrap type="none"/>
          </v:shape>
        </w:pict>
      </w:r>
      <w:r>
        <w:rPr>
          <w:rFonts w:ascii="Times New Roman"/>
          <w:sz w:val="20"/>
        </w:rPr>
        <w:t>Bacteria</w:t>
      </w:r>
      <w:r>
        <w:rPr>
          <w:rFonts w:ascii="Times New Roman"/>
          <w:spacing w:val="-3"/>
          <w:sz w:val="20"/>
        </w:rPr>
        <w:t> </w:t>
      </w:r>
      <w:r>
        <w:rPr>
          <w:rFonts w:ascii="Times New Roman"/>
          <w:sz w:val="20"/>
        </w:rPr>
        <w:t>fraction</w:t>
        <w:tab/>
        <w:t>269.0</w:t>
        <w:tab/>
        <w:t>248.1</w:t>
        <w:tab/>
        <w:t>237.7</w:t>
        <w:tab/>
        <w:t>250.3</w:t>
        <w:tab/>
        <w:t>82.9</w:t>
        <w:tab/>
        <w:t>6.4</w:t>
        <w:tab/>
        <w:t>0.597</w:t>
      </w:r>
    </w:p>
    <w:p>
      <w:pPr>
        <w:spacing w:after="0"/>
        <w:jc w:val="left"/>
        <w:rPr>
          <w:rFonts w:ascii="Times New Roman"/>
          <w:sz w:val="20"/>
        </w:rPr>
        <w:sectPr>
          <w:type w:val="continuous"/>
          <w:pgSz w:w="12240" w:h="15840"/>
          <w:pgMar w:top="3080" w:bottom="2780" w:left="1440" w:right="1460"/>
          <w:cols w:num="2" w:equalWidth="0">
            <w:col w:w="1450" w:space="40"/>
            <w:col w:w="7850"/>
          </w:cols>
        </w:sectPr>
      </w:pPr>
    </w:p>
    <w:p>
      <w:pPr>
        <w:tabs>
          <w:tab w:pos="3318" w:val="left" w:leader="none"/>
          <w:tab w:pos="4293" w:val="left" w:leader="none"/>
          <w:tab w:pos="5205" w:val="left" w:leader="none"/>
          <w:tab w:pos="6065" w:val="left" w:leader="none"/>
          <w:tab w:pos="6939" w:val="left" w:leader="none"/>
          <w:tab w:pos="7698" w:val="left" w:leader="none"/>
          <w:tab w:pos="8302" w:val="left" w:leader="none"/>
        </w:tabs>
        <w:spacing w:before="67"/>
        <w:ind w:left="428" w:right="0" w:firstLine="0"/>
        <w:jc w:val="left"/>
        <w:rPr>
          <w:rFonts w:ascii="Times New Roman"/>
          <w:sz w:val="20"/>
        </w:rPr>
      </w:pPr>
      <w:r>
        <w:rPr>
          <w:rFonts w:ascii="Times New Roman"/>
          <w:position w:val="2"/>
          <w:sz w:val="20"/>
        </w:rPr>
        <w:t>c</w:t>
      </w:r>
      <w:r>
        <w:rPr>
          <w:rFonts w:ascii="Times New Roman"/>
          <w:sz w:val="13"/>
        </w:rPr>
        <w:t>3  </w:t>
      </w:r>
      <w:r>
        <w:rPr>
          <w:rFonts w:ascii="Times New Roman"/>
          <w:position w:val="2"/>
          <w:sz w:val="20"/>
        </w:rPr>
        <w:t>=&gt; Phase </w:t>
      </w:r>
      <w:r>
        <w:rPr>
          <w:rFonts w:ascii="Times New Roman"/>
          <w:position w:val="9"/>
          <w:sz w:val="13"/>
        </w:rPr>
        <w:t>c</w:t>
      </w:r>
      <w:r>
        <w:rPr>
          <w:rFonts w:ascii="Times New Roman"/>
          <w:spacing w:val="-18"/>
          <w:position w:val="9"/>
          <w:sz w:val="13"/>
        </w:rPr>
        <w:t> </w:t>
      </w:r>
      <w:r>
        <w:rPr>
          <w:rFonts w:ascii="Times New Roman"/>
          <w:position w:val="2"/>
          <w:sz w:val="20"/>
        </w:rPr>
        <w:t>Protozoa fraction</w:t>
        <w:tab/>
        <w:t>261.9</w:t>
        <w:tab/>
        <w:t>234.6</w:t>
        <w:tab/>
        <w:t>224.3</w:t>
        <w:tab/>
        <w:t>236.8</w:t>
        <w:tab/>
        <w:t>80.3</w:t>
        <w:tab/>
        <w:t>6.2</w:t>
        <w:tab/>
        <w:t>0.258</w:t>
      </w:r>
    </w:p>
    <w:p>
      <w:pPr>
        <w:tabs>
          <w:tab w:pos="3371" w:val="left" w:leader="none"/>
          <w:tab w:pos="4346" w:val="left" w:leader="none"/>
          <w:tab w:pos="5258" w:val="left" w:leader="none"/>
          <w:tab w:pos="6117" w:val="left" w:leader="none"/>
          <w:tab w:pos="6939" w:val="left" w:leader="none"/>
          <w:tab w:pos="7698" w:val="left" w:leader="none"/>
          <w:tab w:pos="8302" w:val="left" w:leader="none"/>
        </w:tabs>
        <w:spacing w:before="63"/>
        <w:ind w:left="1518" w:right="0" w:firstLine="0"/>
        <w:jc w:val="left"/>
        <w:rPr>
          <w:rFonts w:ascii="Times New Roman"/>
          <w:sz w:val="20"/>
        </w:rPr>
      </w:pPr>
      <w:r>
        <w:rPr/>
        <w:pict>
          <v:shape style="position:absolute;margin-left:93.407997pt;margin-top:16.805941pt;width:425.25pt;height:.1pt;mso-position-horizontal-relative:page;mso-position-vertical-relative:paragraph;z-index:5656" coordorigin="1868,336" coordsize="8505,0" path="m1868,336l2944,336m2944,336l2953,336m2953,336l4495,336m4495,336l4504,336m4504,336l5479,336m5479,336l5489,336m5489,336l6439,336m6439,336l6449,336m6449,336l7313,336m7313,336l7323,336m7323,336l8159,336m8159,336l8168,336m8168,336l8956,336m8956,336l8965,336m8965,336l9570,336m9570,336l9580,336m9580,336l10372,336e" filled="false" stroked="true" strokeweight=".48pt" strokecolor="#000000">
            <v:path arrowok="t"/>
            <v:stroke dashstyle="dash"/>
            <w10:wrap type="none"/>
          </v:shape>
        </w:pict>
      </w:r>
      <w:r>
        <w:rPr>
          <w:rFonts w:ascii="Times New Roman"/>
          <w:sz w:val="20"/>
        </w:rPr>
        <w:t>Media fraction</w:t>
        <w:tab/>
        <w:t>85.8</w:t>
        <w:tab/>
        <w:t>25.4</w:t>
        <w:tab/>
        <w:t>17.7</w:t>
        <w:tab/>
        <w:t>27.0</w:t>
        <w:tab/>
        <w:t>21.1</w:t>
        <w:tab/>
        <w:t>0.7</w:t>
        <w:tab/>
        <w:t>0.145</w:t>
      </w:r>
    </w:p>
    <w:p>
      <w:pPr>
        <w:spacing w:after="0"/>
        <w:jc w:val="left"/>
        <w:rPr>
          <w:rFonts w:ascii="Times New Roman"/>
          <w:sz w:val="20"/>
        </w:rPr>
        <w:sectPr>
          <w:type w:val="continuous"/>
          <w:pgSz w:w="12240" w:h="15840"/>
          <w:pgMar w:top="3080" w:bottom="2780" w:left="1440" w:right="1460"/>
        </w:sectPr>
      </w:pPr>
    </w:p>
    <w:p>
      <w:pPr>
        <w:spacing w:line="233" w:lineRule="exact" w:before="52"/>
        <w:ind w:left="428" w:right="-15" w:firstLine="0"/>
        <w:jc w:val="left"/>
        <w:rPr>
          <w:rFonts w:ascii="Times New Roman"/>
          <w:sz w:val="20"/>
        </w:rPr>
      </w:pPr>
      <w:r>
        <w:rPr>
          <w:rFonts w:ascii="Times New Roman"/>
          <w:position w:val="2"/>
          <w:sz w:val="20"/>
        </w:rPr>
        <w:t>c</w:t>
      </w:r>
      <w:r>
        <w:rPr>
          <w:rFonts w:ascii="Times New Roman"/>
          <w:sz w:val="13"/>
        </w:rPr>
        <w:t>4 </w:t>
      </w:r>
      <w:r>
        <w:rPr>
          <w:rFonts w:ascii="Times New Roman"/>
          <w:position w:val="2"/>
          <w:sz w:val="20"/>
        </w:rPr>
        <w:t>=&gt;</w:t>
      </w:r>
    </w:p>
    <w:p>
      <w:pPr>
        <w:spacing w:line="230" w:lineRule="exact" w:before="1"/>
        <w:ind w:left="428" w:right="-15" w:firstLine="0"/>
        <w:jc w:val="left"/>
        <w:rPr>
          <w:rFonts w:ascii="Times New Roman"/>
          <w:i/>
          <w:sz w:val="13"/>
        </w:rPr>
      </w:pPr>
      <w:r>
        <w:rPr/>
        <w:pict>
          <v:shape style="position:absolute;margin-left:93.407997pt;margin-top:23.649996pt;width:425.25pt;height:.1pt;mso-position-horizontal-relative:page;mso-position-vertical-relative:paragraph;z-index:5680" coordorigin="1868,473" coordsize="8505,0" path="m1868,473l2944,473m2944,473l2953,473m2953,473l4495,473m4495,473l4504,473m4504,473l5479,473m5479,473l5489,473m5489,473l6439,473m6439,473l6449,473m6449,473l7313,473m7313,473l7323,473m7323,473l8159,473m8159,473l8168,473m8168,473l8956,473m8956,473l8965,473m8965,473l9570,473m9570,473l9580,473m9580,473l10372,473e" filled="false" stroked="true" strokeweight=".48pt" strokecolor="#000000">
            <v:path arrowok="t"/>
            <v:stroke dashstyle="dash"/>
            <w10:wrap type="none"/>
          </v:shape>
        </w:pict>
      </w:r>
      <w:r>
        <w:rPr>
          <w:rFonts w:ascii="Times New Roman"/>
          <w:sz w:val="20"/>
        </w:rPr>
        <w:t>column </w:t>
      </w:r>
      <w:r>
        <w:rPr>
          <w:rFonts w:ascii="Times New Roman"/>
          <w:spacing w:val="-3"/>
          <w:sz w:val="20"/>
        </w:rPr>
        <w:t>of </w:t>
      </w:r>
      <w:r>
        <w:rPr>
          <w:rFonts w:ascii="Times New Roman"/>
          <w:sz w:val="20"/>
        </w:rPr>
        <w:t>GC </w:t>
      </w:r>
      <w:r>
        <w:rPr>
          <w:rFonts w:ascii="Times New Roman"/>
          <w:i/>
          <w:position w:val="7"/>
          <w:sz w:val="13"/>
        </w:rPr>
        <w:t>d</w:t>
      </w:r>
    </w:p>
    <w:p>
      <w:pPr>
        <w:pStyle w:val="BodyText"/>
        <w:spacing w:before="1"/>
        <w:rPr>
          <w:rFonts w:ascii="Times New Roman"/>
          <w:i/>
          <w:sz w:val="23"/>
        </w:rPr>
      </w:pPr>
    </w:p>
    <w:p>
      <w:pPr>
        <w:spacing w:line="233" w:lineRule="exact" w:before="0"/>
        <w:ind w:left="428" w:right="-15" w:firstLine="0"/>
        <w:jc w:val="left"/>
        <w:rPr>
          <w:rFonts w:ascii="Times New Roman"/>
          <w:sz w:val="20"/>
        </w:rPr>
      </w:pPr>
      <w:r>
        <w:rPr>
          <w:rFonts w:ascii="Times New Roman"/>
          <w:position w:val="2"/>
          <w:sz w:val="20"/>
        </w:rPr>
        <w:t>c</w:t>
      </w:r>
      <w:r>
        <w:rPr>
          <w:rFonts w:ascii="Times New Roman"/>
          <w:sz w:val="13"/>
        </w:rPr>
        <w:t>5 </w:t>
      </w:r>
      <w:r>
        <w:rPr>
          <w:rFonts w:ascii="Times New Roman"/>
          <w:position w:val="2"/>
          <w:sz w:val="20"/>
        </w:rPr>
        <w:t>=&gt;</w:t>
      </w:r>
    </w:p>
    <w:p>
      <w:pPr>
        <w:spacing w:line="230" w:lineRule="exact" w:before="1"/>
        <w:ind w:left="428" w:right="35" w:firstLine="0"/>
        <w:jc w:val="left"/>
        <w:rPr>
          <w:rFonts w:ascii="Times New Roman"/>
          <w:i/>
          <w:sz w:val="13"/>
        </w:rPr>
      </w:pPr>
      <w:r>
        <w:rPr>
          <w:rFonts w:ascii="Times New Roman"/>
          <w:sz w:val="20"/>
        </w:rPr>
        <w:t>replicates (</w:t>
      </w:r>
      <w:r>
        <w:rPr>
          <w:rFonts w:ascii="Times New Roman"/>
          <w:i/>
          <w:sz w:val="20"/>
        </w:rPr>
        <w:t>r</w:t>
      </w:r>
      <w:r>
        <w:rPr>
          <w:rFonts w:ascii="Times New Roman"/>
          <w:sz w:val="20"/>
        </w:rPr>
        <w:t>-error) </w:t>
      </w:r>
      <w:r>
        <w:rPr>
          <w:rFonts w:ascii="Times New Roman"/>
          <w:i/>
          <w:position w:val="7"/>
          <w:sz w:val="13"/>
        </w:rPr>
        <w:t>e</w:t>
      </w:r>
    </w:p>
    <w:p>
      <w:pPr>
        <w:pStyle w:val="BodyText"/>
        <w:spacing w:before="4"/>
        <w:rPr>
          <w:rFonts w:ascii="Times New Roman"/>
          <w:i/>
          <w:sz w:val="29"/>
        </w:rPr>
      </w:pPr>
    </w:p>
    <w:p>
      <w:pPr>
        <w:spacing w:line="231" w:lineRule="exact" w:before="0"/>
        <w:ind w:left="428" w:right="-15" w:firstLine="0"/>
        <w:jc w:val="left"/>
        <w:rPr>
          <w:rFonts w:ascii="Times New Roman"/>
          <w:sz w:val="20"/>
        </w:rPr>
      </w:pPr>
      <w:r>
        <w:rPr/>
        <w:pict>
          <v:shape style="position:absolute;margin-left:93.407997pt;margin-top:-3.586064pt;width:425.25pt;height:.1pt;mso-position-horizontal-relative:page;mso-position-vertical-relative:paragraph;z-index:5704" coordorigin="1868,-72" coordsize="8505,0" path="m1868,-72l2944,-72m2944,-72l2953,-72m2953,-72l4495,-72m4495,-72l4504,-72m4504,-72l5479,-72m5479,-72l5489,-72m5489,-72l6439,-72m6439,-72l6449,-72m6449,-72l7313,-72m7313,-72l7323,-72m7323,-72l8159,-72m8159,-72l8168,-72m8168,-72l8956,-72m8956,-72l8965,-72m8965,-72l9570,-72m9570,-72l9580,-72m9580,-72l10372,-72e" filled="false" stroked="true" strokeweight=".48pt" strokecolor="#000000">
            <v:path arrowok="t"/>
            <v:stroke dashstyle="dash"/>
            <w10:wrap type="none"/>
          </v:shape>
        </w:pict>
      </w:r>
      <w:r>
        <w:rPr>
          <w:rFonts w:ascii="Times New Roman"/>
          <w:position w:val="2"/>
          <w:sz w:val="20"/>
        </w:rPr>
        <w:t>c</w:t>
      </w:r>
      <w:r>
        <w:rPr>
          <w:rFonts w:ascii="Times New Roman"/>
          <w:sz w:val="13"/>
        </w:rPr>
        <w:t>6 </w:t>
      </w:r>
      <w:r>
        <w:rPr>
          <w:rFonts w:ascii="Times New Roman"/>
          <w:position w:val="2"/>
          <w:sz w:val="20"/>
        </w:rPr>
        <w:t>=&gt;</w:t>
      </w:r>
    </w:p>
    <w:p>
      <w:pPr>
        <w:spacing w:line="226" w:lineRule="exact" w:before="0"/>
        <w:ind w:left="428" w:right="-15" w:firstLine="0"/>
        <w:jc w:val="left"/>
        <w:rPr>
          <w:rFonts w:ascii="Times New Roman"/>
          <w:i/>
          <w:sz w:val="20"/>
        </w:rPr>
      </w:pPr>
      <w:r>
        <w:rPr>
          <w:rFonts w:ascii="Times New Roman"/>
          <w:i/>
          <w:sz w:val="20"/>
        </w:rPr>
        <w:t>cis</w:t>
      </w:r>
      <w:r>
        <w:rPr>
          <w:rFonts w:ascii="Times New Roman"/>
          <w:sz w:val="20"/>
        </w:rPr>
        <w:t>/</w:t>
      </w:r>
      <w:r>
        <w:rPr>
          <w:rFonts w:ascii="Times New Roman"/>
          <w:i/>
          <w:sz w:val="20"/>
        </w:rPr>
        <w:t>trans</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82"/>
        <w:ind w:left="234" w:right="0" w:firstLine="0"/>
        <w:jc w:val="left"/>
        <w:rPr>
          <w:rFonts w:ascii="Times New Roman"/>
          <w:sz w:val="20"/>
        </w:rPr>
      </w:pPr>
      <w:r>
        <w:rPr/>
        <w:br w:type="column"/>
      </w:r>
      <w:r>
        <w:rPr>
          <w:rFonts w:ascii="Times New Roman"/>
          <w:sz w:val="20"/>
        </w:rPr>
        <w:t>HP-88</w:t>
      </w:r>
      <w:r>
        <w:rPr>
          <w:rFonts w:ascii="Times New Roman"/>
          <w:spacing w:val="2"/>
          <w:sz w:val="20"/>
        </w:rPr>
        <w:t> </w:t>
      </w:r>
      <w:r>
        <w:rPr>
          <w:rFonts w:ascii="Times New Roman"/>
          <w:sz w:val="20"/>
        </w:rPr>
        <w:t>(112-88A7)</w:t>
        <w:tab/>
        <w:t>266.8</w:t>
        <w:tab/>
        <w:t>244.0</w:t>
        <w:tab/>
        <w:t>233.6</w:t>
        <w:tab/>
        <w:t>246.2</w:t>
        <w:tab/>
        <w:t>82.1</w:t>
        <w:tab/>
        <w:t>6.4</w:t>
        <w:tab/>
        <w:t>0.855</w:t>
      </w:r>
    </w:p>
    <w:p>
      <w:pPr>
        <w:tabs>
          <w:tab w:pos="2087" w:val="left" w:leader="none"/>
          <w:tab w:pos="3062" w:val="left" w:leader="none"/>
          <w:tab w:pos="3975" w:val="left" w:leader="none"/>
          <w:tab w:pos="4834" w:val="left" w:leader="none"/>
          <w:tab w:pos="5655" w:val="left" w:leader="none"/>
          <w:tab w:pos="6414" w:val="left" w:leader="none"/>
          <w:tab w:pos="7019" w:val="left" w:leader="none"/>
        </w:tabs>
        <w:spacing w:before="120"/>
        <w:ind w:left="234" w:right="0" w:firstLine="0"/>
        <w:jc w:val="left"/>
        <w:rPr>
          <w:rFonts w:ascii="Times New Roman"/>
          <w:sz w:val="20"/>
        </w:rPr>
      </w:pPr>
      <w:r>
        <w:rPr>
          <w:rFonts w:ascii="Times New Roman"/>
          <w:sz w:val="20"/>
        </w:rPr>
        <w:t>DB-FFAP</w:t>
        <w:tab/>
        <w:t>85.8</w:t>
        <w:tab/>
        <w:t>25.4</w:t>
        <w:tab/>
        <w:t>17.7</w:t>
        <w:tab/>
        <w:t>27.0</w:t>
        <w:tab/>
        <w:t>21.1</w:t>
        <w:tab/>
        <w:t>0.7</w:t>
        <w:tab/>
        <w:t>0.145</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135"/>
        <w:ind w:left="234" w:right="0" w:firstLine="0"/>
        <w:jc w:val="left"/>
        <w:rPr>
          <w:rFonts w:ascii="Times New Roman"/>
          <w:sz w:val="20"/>
        </w:rPr>
      </w:pPr>
      <w:r>
        <w:rPr>
          <w:rFonts w:ascii="Times New Roman"/>
          <w:b/>
          <w:i/>
          <w:sz w:val="20"/>
        </w:rPr>
        <w:t>0</w:t>
        <w:tab/>
      </w:r>
      <w:r>
        <w:rPr>
          <w:rFonts w:ascii="Times New Roman"/>
          <w:sz w:val="20"/>
        </w:rPr>
        <w:t>242.8</w:t>
        <w:tab/>
        <w:t>213.9</w:t>
        <w:tab/>
        <w:t>203.8</w:t>
        <w:tab/>
        <w:t>216.0</w:t>
        <w:tab/>
        <w:t>73.9</w:t>
        <w:tab/>
        <w:t>5.6</w:t>
        <w:tab/>
        <w:t>0.391</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72"/>
        <w:ind w:left="234" w:right="0" w:firstLine="0"/>
        <w:jc w:val="left"/>
        <w:rPr>
          <w:rFonts w:ascii="Times New Roman"/>
          <w:sz w:val="20"/>
        </w:rPr>
      </w:pPr>
      <w:r>
        <w:rPr>
          <w:rFonts w:ascii="Times New Roman"/>
          <w:b/>
          <w:i/>
          <w:sz w:val="20"/>
        </w:rPr>
        <w:t>0.1</w:t>
        <w:tab/>
      </w:r>
      <w:r>
        <w:rPr>
          <w:rFonts w:ascii="Times New Roman"/>
          <w:sz w:val="20"/>
        </w:rPr>
        <w:t>242.8</w:t>
        <w:tab/>
        <w:t>213.9</w:t>
        <w:tab/>
        <w:t>203.8</w:t>
        <w:tab/>
        <w:t>216.0</w:t>
        <w:tab/>
        <w:t>73.9</w:t>
        <w:tab/>
        <w:t>5.6</w:t>
        <w:tab/>
        <w:t>0.391</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72"/>
        <w:ind w:left="234" w:right="0" w:firstLine="0"/>
        <w:jc w:val="left"/>
        <w:rPr>
          <w:rFonts w:ascii="Times New Roman"/>
          <w:sz w:val="20"/>
        </w:rPr>
      </w:pPr>
      <w:r>
        <w:rPr>
          <w:rFonts w:ascii="Times New Roman"/>
          <w:b/>
          <w:i/>
          <w:sz w:val="20"/>
        </w:rPr>
        <w:t>0.2</w:t>
        <w:tab/>
      </w:r>
      <w:r>
        <w:rPr>
          <w:rFonts w:ascii="Times New Roman"/>
          <w:sz w:val="20"/>
        </w:rPr>
        <w:t>205.8</w:t>
        <w:tab/>
        <w:t>173.6</w:t>
        <w:tab/>
        <w:t>164.2</w:t>
        <w:tab/>
        <w:t>175.6</w:t>
        <w:tab/>
        <w:t>61.6</w:t>
        <w:tab/>
        <w:t>4.4</w:t>
        <w:tab/>
        <w:t>0.133</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67"/>
        <w:ind w:left="234" w:right="0" w:firstLine="0"/>
        <w:jc w:val="left"/>
        <w:rPr>
          <w:rFonts w:ascii="Times New Roman"/>
          <w:sz w:val="20"/>
        </w:rPr>
      </w:pPr>
      <w:r>
        <w:rPr>
          <w:rFonts w:ascii="Times New Roman"/>
          <w:b/>
          <w:i/>
          <w:sz w:val="20"/>
        </w:rPr>
        <w:t>0.3</w:t>
        <w:tab/>
      </w:r>
      <w:r>
        <w:rPr>
          <w:rFonts w:ascii="Times New Roman"/>
          <w:sz w:val="20"/>
        </w:rPr>
        <w:t>274.4</w:t>
        <w:tab/>
        <w:t>258.3</w:t>
        <w:tab/>
        <w:t>247.9</w:t>
        <w:tab/>
        <w:t>260.5</w:t>
        <w:tab/>
        <w:t>84.8</w:t>
        <w:tab/>
        <w:t>6.6</w:t>
        <w:tab/>
        <w:t>0.085</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77"/>
        <w:ind w:left="234" w:right="0" w:firstLine="0"/>
        <w:jc w:val="left"/>
        <w:rPr>
          <w:rFonts w:ascii="Times New Roman"/>
          <w:sz w:val="20"/>
        </w:rPr>
      </w:pPr>
      <w:r>
        <w:rPr>
          <w:rFonts w:ascii="Times New Roman"/>
          <w:i/>
          <w:sz w:val="20"/>
        </w:rPr>
        <w:t>linear</w:t>
        <w:tab/>
      </w:r>
      <w:r>
        <w:rPr>
          <w:rFonts w:ascii="Times New Roman"/>
          <w:sz w:val="20"/>
        </w:rPr>
        <w:t>203.2</w:t>
        <w:tab/>
        <w:t>180.8</w:t>
        <w:tab/>
        <w:t>171.5</w:t>
        <w:tab/>
        <w:t>182.8</w:t>
        <w:tab/>
        <w:t>59.6</w:t>
        <w:tab/>
        <w:t>4.6</w:t>
        <w:tab/>
        <w:t>0.238</w:t>
      </w:r>
    </w:p>
    <w:p>
      <w:pPr>
        <w:tabs>
          <w:tab w:pos="2035" w:val="left" w:leader="none"/>
          <w:tab w:pos="3009" w:val="left" w:leader="none"/>
          <w:tab w:pos="3922" w:val="left" w:leader="none"/>
          <w:tab w:pos="4781" w:val="left" w:leader="none"/>
          <w:tab w:pos="5655" w:val="left" w:leader="none"/>
          <w:tab w:pos="6414" w:val="left" w:leader="none"/>
          <w:tab w:pos="7019" w:val="left" w:leader="none"/>
        </w:tabs>
        <w:spacing w:before="72"/>
        <w:ind w:left="234" w:right="0" w:firstLine="0"/>
        <w:jc w:val="left"/>
        <w:rPr>
          <w:rFonts w:ascii="Times New Roman"/>
          <w:sz w:val="20"/>
        </w:rPr>
      </w:pPr>
      <w:r>
        <w:rPr>
          <w:rFonts w:ascii="Times New Roman"/>
          <w:i/>
          <w:sz w:val="20"/>
        </w:rPr>
        <w:t>cis</w:t>
        <w:tab/>
      </w:r>
      <w:r>
        <w:rPr>
          <w:rFonts w:ascii="Times New Roman"/>
          <w:sz w:val="20"/>
        </w:rPr>
        <w:t>278.5</w:t>
        <w:tab/>
        <w:t>269.1</w:t>
        <w:tab/>
        <w:t>258.6</w:t>
        <w:tab/>
        <w:t>271.3</w:t>
        <w:tab/>
        <w:t>86.1</w:t>
        <w:tab/>
        <w:t>6.7</w:t>
        <w:tab/>
        <w:t>0.111</w:t>
      </w:r>
    </w:p>
    <w:p>
      <w:pPr>
        <w:spacing w:after="0"/>
        <w:jc w:val="left"/>
        <w:rPr>
          <w:rFonts w:ascii="Times New Roman"/>
          <w:sz w:val="20"/>
        </w:rPr>
        <w:sectPr>
          <w:type w:val="continuous"/>
          <w:pgSz w:w="12240" w:h="15840"/>
          <w:pgMar w:top="3080" w:bottom="2780" w:left="1440" w:right="1460"/>
          <w:cols w:num="2" w:equalWidth="0">
            <w:col w:w="1244" w:space="40"/>
            <w:col w:w="8056"/>
          </w:cols>
        </w:sectPr>
      </w:pPr>
    </w:p>
    <w:p>
      <w:pPr>
        <w:pStyle w:val="BodyText"/>
        <w:rPr>
          <w:rFonts w:ascii="Times New Roman"/>
          <w:sz w:val="13"/>
        </w:rPr>
      </w:pPr>
    </w:p>
    <w:tbl>
      <w:tblPr>
        <w:tblW w:w="0" w:type="auto"/>
        <w:jc w:val="left"/>
        <w:tblInd w:w="3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3"/>
        <w:gridCol w:w="1840"/>
        <w:gridCol w:w="898"/>
        <w:gridCol w:w="945"/>
        <w:gridCol w:w="885"/>
        <w:gridCol w:w="867"/>
        <w:gridCol w:w="766"/>
        <w:gridCol w:w="631"/>
        <w:gridCol w:w="805"/>
      </w:tblGrid>
      <w:tr>
        <w:trPr>
          <w:trHeight w:val="397" w:hRule="exact"/>
        </w:trPr>
        <w:tc>
          <w:tcPr>
            <w:tcW w:w="903" w:type="dxa"/>
          </w:tcPr>
          <w:p>
            <w:pPr>
              <w:pStyle w:val="TableParagraph"/>
              <w:spacing w:before="98"/>
              <w:ind w:left="35"/>
              <w:rPr>
                <w:i/>
                <w:sz w:val="13"/>
              </w:rPr>
            </w:pPr>
            <w:r>
              <w:rPr>
                <w:sz w:val="20"/>
              </w:rPr>
              <w:t>pattern </w:t>
            </w:r>
            <w:r>
              <w:rPr>
                <w:i/>
                <w:position w:val="7"/>
                <w:sz w:val="13"/>
              </w:rPr>
              <w:t>f</w:t>
            </w:r>
          </w:p>
        </w:tc>
        <w:tc>
          <w:tcPr>
            <w:tcW w:w="1840" w:type="dxa"/>
          </w:tcPr>
          <w:p>
            <w:pPr>
              <w:pStyle w:val="TableParagraph"/>
              <w:spacing w:before="136"/>
              <w:ind w:left="222"/>
              <w:rPr>
                <w:i/>
                <w:sz w:val="20"/>
              </w:rPr>
            </w:pPr>
            <w:r>
              <w:rPr>
                <w:i/>
                <w:sz w:val="20"/>
              </w:rPr>
              <w:t>trans</w:t>
            </w:r>
          </w:p>
        </w:tc>
        <w:tc>
          <w:tcPr>
            <w:tcW w:w="898" w:type="dxa"/>
          </w:tcPr>
          <w:p>
            <w:pPr>
              <w:pStyle w:val="TableParagraph"/>
              <w:spacing w:before="136"/>
              <w:ind w:left="182"/>
              <w:rPr>
                <w:sz w:val="20"/>
              </w:rPr>
            </w:pPr>
            <w:r>
              <w:rPr>
                <w:sz w:val="20"/>
              </w:rPr>
              <w:t>310.6</w:t>
            </w:r>
          </w:p>
        </w:tc>
        <w:tc>
          <w:tcPr>
            <w:tcW w:w="945" w:type="dxa"/>
          </w:tcPr>
          <w:p>
            <w:pPr>
              <w:pStyle w:val="TableParagraph"/>
              <w:spacing w:before="136"/>
              <w:ind w:right="226"/>
              <w:jc w:val="right"/>
              <w:rPr>
                <w:sz w:val="20"/>
              </w:rPr>
            </w:pPr>
            <w:r>
              <w:rPr>
                <w:sz w:val="20"/>
              </w:rPr>
              <w:t>329.8</w:t>
            </w:r>
          </w:p>
        </w:tc>
        <w:tc>
          <w:tcPr>
            <w:tcW w:w="885" w:type="dxa"/>
          </w:tcPr>
          <w:p>
            <w:pPr>
              <w:pStyle w:val="TableParagraph"/>
              <w:spacing w:before="136"/>
              <w:ind w:right="199"/>
              <w:jc w:val="right"/>
              <w:rPr>
                <w:sz w:val="20"/>
              </w:rPr>
            </w:pPr>
            <w:r>
              <w:rPr>
                <w:sz w:val="20"/>
              </w:rPr>
              <w:t>319.2</w:t>
            </w:r>
          </w:p>
        </w:tc>
        <w:tc>
          <w:tcPr>
            <w:tcW w:w="867" w:type="dxa"/>
          </w:tcPr>
          <w:p>
            <w:pPr>
              <w:pStyle w:val="TableParagraph"/>
              <w:spacing w:before="136"/>
              <w:ind w:right="207"/>
              <w:jc w:val="right"/>
              <w:rPr>
                <w:sz w:val="20"/>
              </w:rPr>
            </w:pPr>
            <w:r>
              <w:rPr>
                <w:sz w:val="20"/>
              </w:rPr>
              <w:t>332.1</w:t>
            </w:r>
          </w:p>
        </w:tc>
        <w:tc>
          <w:tcPr>
            <w:tcW w:w="766" w:type="dxa"/>
          </w:tcPr>
          <w:p>
            <w:pPr>
              <w:pStyle w:val="TableParagraph"/>
              <w:spacing w:before="136"/>
              <w:ind w:left="190" w:right="184"/>
              <w:jc w:val="center"/>
              <w:rPr>
                <w:sz w:val="20"/>
              </w:rPr>
            </w:pPr>
            <w:r>
              <w:rPr>
                <w:sz w:val="20"/>
              </w:rPr>
              <w:t>96.6</w:t>
            </w:r>
          </w:p>
        </w:tc>
        <w:tc>
          <w:tcPr>
            <w:tcW w:w="631" w:type="dxa"/>
          </w:tcPr>
          <w:p>
            <w:pPr>
              <w:pStyle w:val="TableParagraph"/>
              <w:spacing w:before="136"/>
              <w:ind w:left="201"/>
              <w:rPr>
                <w:sz w:val="20"/>
              </w:rPr>
            </w:pPr>
            <w:r>
              <w:rPr>
                <w:sz w:val="20"/>
              </w:rPr>
              <w:t>7.7</w:t>
            </w:r>
          </w:p>
        </w:tc>
        <w:tc>
          <w:tcPr>
            <w:tcW w:w="805" w:type="dxa"/>
          </w:tcPr>
          <w:p>
            <w:pPr>
              <w:pStyle w:val="TableParagraph"/>
              <w:spacing w:before="136"/>
              <w:ind w:left="175"/>
              <w:rPr>
                <w:sz w:val="20"/>
              </w:rPr>
            </w:pPr>
            <w:r>
              <w:rPr>
                <w:sz w:val="20"/>
              </w:rPr>
              <w:t>0.032</w:t>
            </w:r>
          </w:p>
        </w:tc>
      </w:tr>
      <w:tr>
        <w:trPr>
          <w:trHeight w:val="300" w:hRule="exact"/>
        </w:trPr>
        <w:tc>
          <w:tcPr>
            <w:tcW w:w="903" w:type="dxa"/>
          </w:tcPr>
          <w:p>
            <w:pPr/>
          </w:p>
        </w:tc>
        <w:tc>
          <w:tcPr>
            <w:tcW w:w="1840" w:type="dxa"/>
          </w:tcPr>
          <w:p>
            <w:pPr>
              <w:pStyle w:val="TableParagraph"/>
              <w:spacing w:before="36"/>
              <w:ind w:left="222"/>
              <w:rPr>
                <w:i/>
                <w:sz w:val="20"/>
              </w:rPr>
            </w:pPr>
            <w:r>
              <w:rPr>
                <w:i/>
                <w:sz w:val="20"/>
              </w:rPr>
              <w:t>trans, trans</w:t>
            </w:r>
          </w:p>
        </w:tc>
        <w:tc>
          <w:tcPr>
            <w:tcW w:w="898" w:type="dxa"/>
          </w:tcPr>
          <w:p>
            <w:pPr>
              <w:pStyle w:val="TableParagraph"/>
              <w:spacing w:before="36"/>
              <w:ind w:left="182"/>
              <w:rPr>
                <w:sz w:val="20"/>
              </w:rPr>
            </w:pPr>
            <w:r>
              <w:rPr>
                <w:sz w:val="20"/>
              </w:rPr>
              <w:t>280.5</w:t>
            </w:r>
          </w:p>
        </w:tc>
        <w:tc>
          <w:tcPr>
            <w:tcW w:w="945" w:type="dxa"/>
          </w:tcPr>
          <w:p>
            <w:pPr>
              <w:pStyle w:val="TableParagraph"/>
              <w:spacing w:before="36"/>
              <w:ind w:right="227"/>
              <w:jc w:val="right"/>
              <w:rPr>
                <w:sz w:val="20"/>
              </w:rPr>
            </w:pPr>
            <w:r>
              <w:rPr>
                <w:sz w:val="20"/>
              </w:rPr>
              <w:t>260.9</w:t>
            </w:r>
          </w:p>
        </w:tc>
        <w:tc>
          <w:tcPr>
            <w:tcW w:w="885" w:type="dxa"/>
          </w:tcPr>
          <w:p>
            <w:pPr>
              <w:pStyle w:val="TableParagraph"/>
              <w:spacing w:before="36"/>
              <w:ind w:right="199"/>
              <w:jc w:val="right"/>
              <w:rPr>
                <w:sz w:val="20"/>
              </w:rPr>
            </w:pPr>
            <w:r>
              <w:rPr>
                <w:sz w:val="20"/>
              </w:rPr>
              <w:t>250.4</w:t>
            </w:r>
          </w:p>
        </w:tc>
        <w:tc>
          <w:tcPr>
            <w:tcW w:w="867" w:type="dxa"/>
          </w:tcPr>
          <w:p>
            <w:pPr>
              <w:pStyle w:val="TableParagraph"/>
              <w:spacing w:before="36"/>
              <w:ind w:right="207"/>
              <w:jc w:val="right"/>
              <w:rPr>
                <w:sz w:val="20"/>
              </w:rPr>
            </w:pPr>
            <w:r>
              <w:rPr>
                <w:sz w:val="20"/>
              </w:rPr>
              <w:t>263.1</w:t>
            </w:r>
          </w:p>
        </w:tc>
        <w:tc>
          <w:tcPr>
            <w:tcW w:w="766" w:type="dxa"/>
          </w:tcPr>
          <w:p>
            <w:pPr>
              <w:pStyle w:val="TableParagraph"/>
              <w:spacing w:before="36"/>
              <w:ind w:left="190" w:right="184"/>
              <w:jc w:val="center"/>
              <w:rPr>
                <w:sz w:val="20"/>
              </w:rPr>
            </w:pPr>
            <w:r>
              <w:rPr>
                <w:sz w:val="20"/>
              </w:rPr>
              <w:t>88.5</w:t>
            </w:r>
          </w:p>
        </w:tc>
        <w:tc>
          <w:tcPr>
            <w:tcW w:w="631" w:type="dxa"/>
          </w:tcPr>
          <w:p>
            <w:pPr>
              <w:pStyle w:val="TableParagraph"/>
              <w:spacing w:before="36"/>
              <w:ind w:left="201"/>
              <w:rPr>
                <w:sz w:val="20"/>
              </w:rPr>
            </w:pPr>
            <w:r>
              <w:rPr>
                <w:sz w:val="20"/>
              </w:rPr>
              <w:t>6.4</w:t>
            </w:r>
          </w:p>
        </w:tc>
        <w:tc>
          <w:tcPr>
            <w:tcW w:w="805" w:type="dxa"/>
          </w:tcPr>
          <w:p>
            <w:pPr>
              <w:pStyle w:val="TableParagraph"/>
              <w:spacing w:before="36"/>
              <w:ind w:left="175"/>
              <w:rPr>
                <w:sz w:val="20"/>
              </w:rPr>
            </w:pPr>
            <w:r>
              <w:rPr>
                <w:sz w:val="20"/>
              </w:rPr>
              <w:t>0.016</w:t>
            </w:r>
          </w:p>
        </w:tc>
      </w:tr>
      <w:tr>
        <w:trPr>
          <w:trHeight w:val="303" w:hRule="exact"/>
        </w:trPr>
        <w:tc>
          <w:tcPr>
            <w:tcW w:w="903" w:type="dxa"/>
          </w:tcPr>
          <w:p>
            <w:pPr/>
          </w:p>
        </w:tc>
        <w:tc>
          <w:tcPr>
            <w:tcW w:w="1840" w:type="dxa"/>
          </w:tcPr>
          <w:p>
            <w:pPr>
              <w:pStyle w:val="TableParagraph"/>
              <w:spacing w:before="39"/>
              <w:ind w:left="222"/>
              <w:rPr>
                <w:i/>
                <w:sz w:val="20"/>
              </w:rPr>
            </w:pPr>
            <w:r>
              <w:rPr>
                <w:i/>
                <w:sz w:val="20"/>
              </w:rPr>
              <w:t>cis, cis</w:t>
            </w:r>
          </w:p>
        </w:tc>
        <w:tc>
          <w:tcPr>
            <w:tcW w:w="898" w:type="dxa"/>
          </w:tcPr>
          <w:p>
            <w:pPr>
              <w:pStyle w:val="TableParagraph"/>
              <w:spacing w:before="39"/>
              <w:ind w:left="182"/>
              <w:rPr>
                <w:sz w:val="20"/>
              </w:rPr>
            </w:pPr>
            <w:r>
              <w:rPr>
                <w:sz w:val="20"/>
              </w:rPr>
              <w:t>308.6</w:t>
            </w:r>
          </w:p>
        </w:tc>
        <w:tc>
          <w:tcPr>
            <w:tcW w:w="945" w:type="dxa"/>
          </w:tcPr>
          <w:p>
            <w:pPr>
              <w:pStyle w:val="TableParagraph"/>
              <w:spacing w:before="39"/>
              <w:ind w:right="227"/>
              <w:jc w:val="right"/>
              <w:rPr>
                <w:sz w:val="20"/>
              </w:rPr>
            </w:pPr>
            <w:r>
              <w:rPr>
                <w:sz w:val="20"/>
              </w:rPr>
              <w:t>320.8</w:t>
            </w:r>
          </w:p>
        </w:tc>
        <w:tc>
          <w:tcPr>
            <w:tcW w:w="885" w:type="dxa"/>
          </w:tcPr>
          <w:p>
            <w:pPr>
              <w:pStyle w:val="TableParagraph"/>
              <w:spacing w:before="39"/>
              <w:ind w:right="199"/>
              <w:jc w:val="right"/>
              <w:rPr>
                <w:sz w:val="20"/>
              </w:rPr>
            </w:pPr>
            <w:r>
              <w:rPr>
                <w:sz w:val="20"/>
              </w:rPr>
              <w:t>310.1</w:t>
            </w:r>
          </w:p>
        </w:tc>
        <w:tc>
          <w:tcPr>
            <w:tcW w:w="867" w:type="dxa"/>
          </w:tcPr>
          <w:p>
            <w:pPr>
              <w:pStyle w:val="TableParagraph"/>
              <w:spacing w:before="39"/>
              <w:ind w:right="207"/>
              <w:jc w:val="right"/>
              <w:rPr>
                <w:sz w:val="20"/>
              </w:rPr>
            </w:pPr>
            <w:r>
              <w:rPr>
                <w:sz w:val="20"/>
              </w:rPr>
              <w:t>323.0</w:t>
            </w:r>
          </w:p>
        </w:tc>
        <w:tc>
          <w:tcPr>
            <w:tcW w:w="766" w:type="dxa"/>
          </w:tcPr>
          <w:p>
            <w:pPr>
              <w:pStyle w:val="TableParagraph"/>
              <w:spacing w:before="39"/>
              <w:ind w:left="190" w:right="184"/>
              <w:jc w:val="center"/>
              <w:rPr>
                <w:sz w:val="20"/>
              </w:rPr>
            </w:pPr>
            <w:r>
              <w:rPr>
                <w:sz w:val="20"/>
              </w:rPr>
              <w:t>97.7</w:t>
            </w:r>
          </w:p>
        </w:tc>
        <w:tc>
          <w:tcPr>
            <w:tcW w:w="631" w:type="dxa"/>
          </w:tcPr>
          <w:p>
            <w:pPr>
              <w:pStyle w:val="TableParagraph"/>
              <w:spacing w:before="39"/>
              <w:ind w:left="201"/>
              <w:rPr>
                <w:sz w:val="20"/>
              </w:rPr>
            </w:pPr>
            <w:r>
              <w:rPr>
                <w:sz w:val="20"/>
              </w:rPr>
              <w:t>7.3</w:t>
            </w:r>
          </w:p>
        </w:tc>
        <w:tc>
          <w:tcPr>
            <w:tcW w:w="805" w:type="dxa"/>
          </w:tcPr>
          <w:p>
            <w:pPr>
              <w:pStyle w:val="TableParagraph"/>
              <w:spacing w:before="39"/>
              <w:ind w:left="175"/>
              <w:rPr>
                <w:sz w:val="20"/>
              </w:rPr>
            </w:pPr>
            <w:r>
              <w:rPr>
                <w:sz w:val="20"/>
              </w:rPr>
              <w:t>0.032</w:t>
            </w:r>
          </w:p>
        </w:tc>
      </w:tr>
      <w:tr>
        <w:trPr>
          <w:trHeight w:val="303" w:hRule="exact"/>
        </w:trPr>
        <w:tc>
          <w:tcPr>
            <w:tcW w:w="903" w:type="dxa"/>
          </w:tcPr>
          <w:p>
            <w:pPr/>
          </w:p>
        </w:tc>
        <w:tc>
          <w:tcPr>
            <w:tcW w:w="1840" w:type="dxa"/>
          </w:tcPr>
          <w:p>
            <w:pPr>
              <w:pStyle w:val="TableParagraph"/>
              <w:spacing w:before="39"/>
              <w:ind w:left="222"/>
              <w:rPr>
                <w:i/>
                <w:sz w:val="20"/>
              </w:rPr>
            </w:pPr>
            <w:r>
              <w:rPr>
                <w:i/>
                <w:sz w:val="20"/>
              </w:rPr>
              <w:t>cis, trans</w:t>
            </w:r>
          </w:p>
        </w:tc>
        <w:tc>
          <w:tcPr>
            <w:tcW w:w="898" w:type="dxa"/>
          </w:tcPr>
          <w:p>
            <w:pPr>
              <w:pStyle w:val="TableParagraph"/>
              <w:spacing w:before="39"/>
              <w:ind w:left="182"/>
              <w:rPr>
                <w:sz w:val="20"/>
              </w:rPr>
            </w:pPr>
            <w:r>
              <w:rPr>
                <w:sz w:val="20"/>
              </w:rPr>
              <w:t>289.9</w:t>
            </w:r>
          </w:p>
        </w:tc>
        <w:tc>
          <w:tcPr>
            <w:tcW w:w="945" w:type="dxa"/>
          </w:tcPr>
          <w:p>
            <w:pPr>
              <w:pStyle w:val="TableParagraph"/>
              <w:spacing w:before="39"/>
              <w:ind w:right="227"/>
              <w:jc w:val="right"/>
              <w:rPr>
                <w:sz w:val="20"/>
              </w:rPr>
            </w:pPr>
            <w:r>
              <w:rPr>
                <w:sz w:val="20"/>
              </w:rPr>
              <w:t>279.6</w:t>
            </w:r>
          </w:p>
        </w:tc>
        <w:tc>
          <w:tcPr>
            <w:tcW w:w="885" w:type="dxa"/>
          </w:tcPr>
          <w:p>
            <w:pPr>
              <w:pStyle w:val="TableParagraph"/>
              <w:spacing w:before="39"/>
              <w:ind w:right="199"/>
              <w:jc w:val="right"/>
              <w:rPr>
                <w:sz w:val="20"/>
              </w:rPr>
            </w:pPr>
            <w:r>
              <w:rPr>
                <w:sz w:val="20"/>
              </w:rPr>
              <w:t>269.0</w:t>
            </w:r>
          </w:p>
        </w:tc>
        <w:tc>
          <w:tcPr>
            <w:tcW w:w="867" w:type="dxa"/>
          </w:tcPr>
          <w:p>
            <w:pPr>
              <w:pStyle w:val="TableParagraph"/>
              <w:spacing w:before="39"/>
              <w:ind w:right="207"/>
              <w:jc w:val="right"/>
              <w:rPr>
                <w:sz w:val="20"/>
              </w:rPr>
            </w:pPr>
            <w:r>
              <w:rPr>
                <w:sz w:val="20"/>
              </w:rPr>
              <w:t>281.8</w:t>
            </w:r>
          </w:p>
        </w:tc>
        <w:tc>
          <w:tcPr>
            <w:tcW w:w="766" w:type="dxa"/>
          </w:tcPr>
          <w:p>
            <w:pPr>
              <w:pStyle w:val="TableParagraph"/>
              <w:spacing w:before="39"/>
              <w:ind w:left="190" w:right="184"/>
              <w:jc w:val="center"/>
              <w:rPr>
                <w:sz w:val="20"/>
              </w:rPr>
            </w:pPr>
            <w:r>
              <w:rPr>
                <w:sz w:val="20"/>
              </w:rPr>
              <w:t>91.6</w:t>
            </w:r>
          </w:p>
        </w:tc>
        <w:tc>
          <w:tcPr>
            <w:tcW w:w="631" w:type="dxa"/>
          </w:tcPr>
          <w:p>
            <w:pPr>
              <w:pStyle w:val="TableParagraph"/>
              <w:spacing w:before="39"/>
              <w:ind w:left="201"/>
              <w:rPr>
                <w:sz w:val="20"/>
              </w:rPr>
            </w:pPr>
            <w:r>
              <w:rPr>
                <w:sz w:val="20"/>
              </w:rPr>
              <w:t>6.7</w:t>
            </w:r>
          </w:p>
        </w:tc>
        <w:tc>
          <w:tcPr>
            <w:tcW w:w="805" w:type="dxa"/>
          </w:tcPr>
          <w:p>
            <w:pPr>
              <w:pStyle w:val="TableParagraph"/>
              <w:spacing w:before="39"/>
              <w:ind w:left="175"/>
              <w:rPr>
                <w:sz w:val="20"/>
              </w:rPr>
            </w:pPr>
            <w:r>
              <w:rPr>
                <w:sz w:val="20"/>
              </w:rPr>
              <w:t>0.048</w:t>
            </w:r>
          </w:p>
        </w:tc>
      </w:tr>
      <w:tr>
        <w:trPr>
          <w:trHeight w:val="300" w:hRule="exact"/>
        </w:trPr>
        <w:tc>
          <w:tcPr>
            <w:tcW w:w="903" w:type="dxa"/>
          </w:tcPr>
          <w:p>
            <w:pPr/>
          </w:p>
        </w:tc>
        <w:tc>
          <w:tcPr>
            <w:tcW w:w="1840" w:type="dxa"/>
          </w:tcPr>
          <w:p>
            <w:pPr>
              <w:pStyle w:val="TableParagraph"/>
              <w:spacing w:before="39"/>
              <w:ind w:left="222"/>
              <w:rPr>
                <w:i/>
                <w:sz w:val="20"/>
              </w:rPr>
            </w:pPr>
            <w:r>
              <w:rPr>
                <w:i/>
                <w:sz w:val="20"/>
              </w:rPr>
              <w:t>trans, cis</w:t>
            </w:r>
          </w:p>
        </w:tc>
        <w:tc>
          <w:tcPr>
            <w:tcW w:w="898" w:type="dxa"/>
          </w:tcPr>
          <w:p>
            <w:pPr>
              <w:pStyle w:val="TableParagraph"/>
              <w:spacing w:before="39"/>
              <w:ind w:left="182"/>
              <w:rPr>
                <w:sz w:val="20"/>
              </w:rPr>
            </w:pPr>
            <w:r>
              <w:rPr>
                <w:sz w:val="20"/>
              </w:rPr>
              <w:t>280.5</w:t>
            </w:r>
          </w:p>
        </w:tc>
        <w:tc>
          <w:tcPr>
            <w:tcW w:w="945" w:type="dxa"/>
          </w:tcPr>
          <w:p>
            <w:pPr>
              <w:pStyle w:val="TableParagraph"/>
              <w:spacing w:before="39"/>
              <w:ind w:right="227"/>
              <w:jc w:val="right"/>
              <w:rPr>
                <w:sz w:val="20"/>
              </w:rPr>
            </w:pPr>
            <w:r>
              <w:rPr>
                <w:sz w:val="20"/>
              </w:rPr>
              <w:t>261.1</w:t>
            </w:r>
          </w:p>
        </w:tc>
        <w:tc>
          <w:tcPr>
            <w:tcW w:w="885" w:type="dxa"/>
          </w:tcPr>
          <w:p>
            <w:pPr>
              <w:pStyle w:val="TableParagraph"/>
              <w:spacing w:before="39"/>
              <w:ind w:right="199"/>
              <w:jc w:val="right"/>
              <w:rPr>
                <w:sz w:val="20"/>
              </w:rPr>
            </w:pPr>
            <w:r>
              <w:rPr>
                <w:sz w:val="20"/>
              </w:rPr>
              <w:t>250.5</w:t>
            </w:r>
          </w:p>
        </w:tc>
        <w:tc>
          <w:tcPr>
            <w:tcW w:w="867" w:type="dxa"/>
          </w:tcPr>
          <w:p>
            <w:pPr>
              <w:pStyle w:val="TableParagraph"/>
              <w:spacing w:before="39"/>
              <w:ind w:right="207"/>
              <w:jc w:val="right"/>
              <w:rPr>
                <w:sz w:val="20"/>
              </w:rPr>
            </w:pPr>
            <w:r>
              <w:rPr>
                <w:sz w:val="20"/>
              </w:rPr>
              <w:t>263.3</w:t>
            </w:r>
          </w:p>
        </w:tc>
        <w:tc>
          <w:tcPr>
            <w:tcW w:w="766" w:type="dxa"/>
          </w:tcPr>
          <w:p>
            <w:pPr>
              <w:pStyle w:val="TableParagraph"/>
              <w:spacing w:before="39"/>
              <w:ind w:left="190" w:right="184"/>
              <w:jc w:val="center"/>
              <w:rPr>
                <w:sz w:val="20"/>
              </w:rPr>
            </w:pPr>
            <w:r>
              <w:rPr>
                <w:sz w:val="20"/>
              </w:rPr>
              <w:t>88.5</w:t>
            </w:r>
          </w:p>
        </w:tc>
        <w:tc>
          <w:tcPr>
            <w:tcW w:w="631" w:type="dxa"/>
          </w:tcPr>
          <w:p>
            <w:pPr>
              <w:pStyle w:val="TableParagraph"/>
              <w:spacing w:before="39"/>
              <w:ind w:left="201"/>
              <w:rPr>
                <w:sz w:val="20"/>
              </w:rPr>
            </w:pPr>
            <w:r>
              <w:rPr>
                <w:sz w:val="20"/>
              </w:rPr>
              <w:t>6.4</w:t>
            </w:r>
          </w:p>
        </w:tc>
        <w:tc>
          <w:tcPr>
            <w:tcW w:w="805" w:type="dxa"/>
          </w:tcPr>
          <w:p>
            <w:pPr>
              <w:pStyle w:val="TableParagraph"/>
              <w:spacing w:before="39"/>
              <w:ind w:left="175"/>
              <w:rPr>
                <w:sz w:val="20"/>
              </w:rPr>
            </w:pPr>
            <w:r>
              <w:rPr>
                <w:sz w:val="20"/>
              </w:rPr>
              <w:t>0.016</w:t>
            </w:r>
          </w:p>
        </w:tc>
      </w:tr>
      <w:tr>
        <w:trPr>
          <w:trHeight w:val="300" w:hRule="exact"/>
        </w:trPr>
        <w:tc>
          <w:tcPr>
            <w:tcW w:w="903" w:type="dxa"/>
          </w:tcPr>
          <w:p>
            <w:pPr/>
          </w:p>
        </w:tc>
        <w:tc>
          <w:tcPr>
            <w:tcW w:w="1840" w:type="dxa"/>
          </w:tcPr>
          <w:p>
            <w:pPr>
              <w:pStyle w:val="TableParagraph"/>
              <w:spacing w:before="36"/>
              <w:ind w:left="222"/>
              <w:rPr>
                <w:i/>
                <w:sz w:val="20"/>
              </w:rPr>
            </w:pPr>
            <w:r>
              <w:rPr>
                <w:i/>
                <w:sz w:val="20"/>
              </w:rPr>
              <w:t>cis, cis, cis</w:t>
            </w:r>
          </w:p>
        </w:tc>
        <w:tc>
          <w:tcPr>
            <w:tcW w:w="898" w:type="dxa"/>
          </w:tcPr>
          <w:p>
            <w:pPr>
              <w:pStyle w:val="TableParagraph"/>
              <w:spacing w:before="36"/>
              <w:ind w:left="182"/>
              <w:rPr>
                <w:sz w:val="20"/>
              </w:rPr>
            </w:pPr>
            <w:r>
              <w:rPr>
                <w:sz w:val="20"/>
              </w:rPr>
              <w:t>286.5</w:t>
            </w:r>
          </w:p>
        </w:tc>
        <w:tc>
          <w:tcPr>
            <w:tcW w:w="945" w:type="dxa"/>
          </w:tcPr>
          <w:p>
            <w:pPr>
              <w:pStyle w:val="TableParagraph"/>
              <w:spacing w:before="36"/>
              <w:ind w:right="227"/>
              <w:jc w:val="right"/>
              <w:rPr>
                <w:sz w:val="20"/>
              </w:rPr>
            </w:pPr>
            <w:r>
              <w:rPr>
                <w:sz w:val="20"/>
              </w:rPr>
              <w:t>269.9</w:t>
            </w:r>
          </w:p>
        </w:tc>
        <w:tc>
          <w:tcPr>
            <w:tcW w:w="885" w:type="dxa"/>
          </w:tcPr>
          <w:p>
            <w:pPr>
              <w:pStyle w:val="TableParagraph"/>
              <w:spacing w:before="36"/>
              <w:ind w:right="199"/>
              <w:jc w:val="right"/>
              <w:rPr>
                <w:sz w:val="20"/>
              </w:rPr>
            </w:pPr>
            <w:r>
              <w:rPr>
                <w:sz w:val="20"/>
              </w:rPr>
              <w:t>259.3</w:t>
            </w:r>
          </w:p>
        </w:tc>
        <w:tc>
          <w:tcPr>
            <w:tcW w:w="867" w:type="dxa"/>
          </w:tcPr>
          <w:p>
            <w:pPr>
              <w:pStyle w:val="TableParagraph"/>
              <w:spacing w:before="36"/>
              <w:ind w:right="207"/>
              <w:jc w:val="right"/>
              <w:rPr>
                <w:sz w:val="20"/>
              </w:rPr>
            </w:pPr>
            <w:r>
              <w:rPr>
                <w:sz w:val="20"/>
              </w:rPr>
              <w:t>272.1</w:t>
            </w:r>
          </w:p>
        </w:tc>
        <w:tc>
          <w:tcPr>
            <w:tcW w:w="766" w:type="dxa"/>
          </w:tcPr>
          <w:p>
            <w:pPr>
              <w:pStyle w:val="TableParagraph"/>
              <w:spacing w:before="36"/>
              <w:ind w:left="190" w:right="184"/>
              <w:jc w:val="center"/>
              <w:rPr>
                <w:sz w:val="20"/>
              </w:rPr>
            </w:pPr>
            <w:r>
              <w:rPr>
                <w:sz w:val="20"/>
              </w:rPr>
              <w:t>92.3</w:t>
            </w:r>
          </w:p>
        </w:tc>
        <w:tc>
          <w:tcPr>
            <w:tcW w:w="631" w:type="dxa"/>
          </w:tcPr>
          <w:p>
            <w:pPr>
              <w:pStyle w:val="TableParagraph"/>
              <w:spacing w:before="36"/>
              <w:ind w:left="201"/>
              <w:rPr>
                <w:sz w:val="20"/>
              </w:rPr>
            </w:pPr>
            <w:r>
              <w:rPr>
                <w:sz w:val="20"/>
              </w:rPr>
              <w:t>6.2</w:t>
            </w:r>
          </w:p>
        </w:tc>
        <w:tc>
          <w:tcPr>
            <w:tcW w:w="805" w:type="dxa"/>
          </w:tcPr>
          <w:p>
            <w:pPr>
              <w:pStyle w:val="TableParagraph"/>
              <w:spacing w:before="36"/>
              <w:ind w:left="175"/>
              <w:rPr>
                <w:sz w:val="20"/>
              </w:rPr>
            </w:pPr>
            <w:r>
              <w:rPr>
                <w:sz w:val="20"/>
              </w:rPr>
              <w:t>0.111</w:t>
            </w:r>
          </w:p>
        </w:tc>
      </w:tr>
      <w:tr>
        <w:trPr>
          <w:trHeight w:val="302" w:hRule="exact"/>
        </w:trPr>
        <w:tc>
          <w:tcPr>
            <w:tcW w:w="903" w:type="dxa"/>
          </w:tcPr>
          <w:p>
            <w:pPr/>
          </w:p>
        </w:tc>
        <w:tc>
          <w:tcPr>
            <w:tcW w:w="1840" w:type="dxa"/>
          </w:tcPr>
          <w:p>
            <w:pPr>
              <w:pStyle w:val="TableParagraph"/>
              <w:spacing w:before="39"/>
              <w:ind w:left="222"/>
              <w:rPr>
                <w:i/>
                <w:sz w:val="20"/>
              </w:rPr>
            </w:pPr>
            <w:r>
              <w:rPr>
                <w:i/>
                <w:sz w:val="20"/>
              </w:rPr>
              <w:t>cis, trans, trans</w:t>
            </w:r>
          </w:p>
        </w:tc>
        <w:tc>
          <w:tcPr>
            <w:tcW w:w="898" w:type="dxa"/>
          </w:tcPr>
          <w:p>
            <w:pPr>
              <w:pStyle w:val="TableParagraph"/>
              <w:spacing w:before="39"/>
              <w:ind w:left="182"/>
              <w:rPr>
                <w:sz w:val="20"/>
              </w:rPr>
            </w:pPr>
            <w:r>
              <w:rPr>
                <w:sz w:val="20"/>
              </w:rPr>
              <w:t>292.5</w:t>
            </w:r>
          </w:p>
        </w:tc>
        <w:tc>
          <w:tcPr>
            <w:tcW w:w="945" w:type="dxa"/>
          </w:tcPr>
          <w:p>
            <w:pPr>
              <w:pStyle w:val="TableParagraph"/>
              <w:spacing w:before="39"/>
              <w:ind w:right="227"/>
              <w:jc w:val="right"/>
              <w:rPr>
                <w:sz w:val="20"/>
              </w:rPr>
            </w:pPr>
            <w:r>
              <w:rPr>
                <w:sz w:val="20"/>
              </w:rPr>
              <w:t>280.0</w:t>
            </w:r>
          </w:p>
        </w:tc>
        <w:tc>
          <w:tcPr>
            <w:tcW w:w="885" w:type="dxa"/>
          </w:tcPr>
          <w:p>
            <w:pPr>
              <w:pStyle w:val="TableParagraph"/>
              <w:spacing w:before="39"/>
              <w:ind w:right="199"/>
              <w:jc w:val="right"/>
              <w:rPr>
                <w:sz w:val="20"/>
              </w:rPr>
            </w:pPr>
            <w:r>
              <w:rPr>
                <w:sz w:val="20"/>
              </w:rPr>
              <w:t>269.3</w:t>
            </w:r>
          </w:p>
        </w:tc>
        <w:tc>
          <w:tcPr>
            <w:tcW w:w="867" w:type="dxa"/>
          </w:tcPr>
          <w:p>
            <w:pPr>
              <w:pStyle w:val="TableParagraph"/>
              <w:spacing w:before="39"/>
              <w:ind w:right="207"/>
              <w:jc w:val="right"/>
              <w:rPr>
                <w:sz w:val="20"/>
              </w:rPr>
            </w:pPr>
            <w:r>
              <w:rPr>
                <w:sz w:val="20"/>
              </w:rPr>
              <w:t>282.2</w:t>
            </w:r>
          </w:p>
        </w:tc>
        <w:tc>
          <w:tcPr>
            <w:tcW w:w="766" w:type="dxa"/>
          </w:tcPr>
          <w:p>
            <w:pPr>
              <w:pStyle w:val="TableParagraph"/>
              <w:spacing w:before="39"/>
              <w:ind w:left="190" w:right="184"/>
              <w:jc w:val="center"/>
              <w:rPr>
                <w:sz w:val="20"/>
              </w:rPr>
            </w:pPr>
            <w:r>
              <w:rPr>
                <w:sz w:val="20"/>
              </w:rPr>
              <w:t>94.2</w:t>
            </w:r>
          </w:p>
        </w:tc>
        <w:tc>
          <w:tcPr>
            <w:tcW w:w="631" w:type="dxa"/>
          </w:tcPr>
          <w:p>
            <w:pPr>
              <w:pStyle w:val="TableParagraph"/>
              <w:spacing w:before="39"/>
              <w:ind w:left="201"/>
              <w:rPr>
                <w:sz w:val="20"/>
              </w:rPr>
            </w:pPr>
            <w:r>
              <w:rPr>
                <w:sz w:val="20"/>
              </w:rPr>
              <w:t>6.4</w:t>
            </w:r>
          </w:p>
        </w:tc>
        <w:tc>
          <w:tcPr>
            <w:tcW w:w="805" w:type="dxa"/>
          </w:tcPr>
          <w:p>
            <w:pPr>
              <w:pStyle w:val="TableParagraph"/>
              <w:spacing w:before="39"/>
              <w:ind w:left="175"/>
              <w:rPr>
                <w:sz w:val="20"/>
              </w:rPr>
            </w:pPr>
            <w:r>
              <w:rPr>
                <w:sz w:val="20"/>
              </w:rPr>
              <w:t>0.032</w:t>
            </w:r>
          </w:p>
        </w:tc>
      </w:tr>
      <w:tr>
        <w:trPr>
          <w:trHeight w:val="300" w:hRule="exact"/>
        </w:trPr>
        <w:tc>
          <w:tcPr>
            <w:tcW w:w="903" w:type="dxa"/>
          </w:tcPr>
          <w:p>
            <w:pPr/>
          </w:p>
        </w:tc>
        <w:tc>
          <w:tcPr>
            <w:tcW w:w="1840" w:type="dxa"/>
          </w:tcPr>
          <w:p>
            <w:pPr>
              <w:pStyle w:val="TableParagraph"/>
              <w:spacing w:before="39"/>
              <w:ind w:left="222"/>
              <w:rPr>
                <w:i/>
                <w:sz w:val="20"/>
              </w:rPr>
            </w:pPr>
            <w:r>
              <w:rPr>
                <w:i/>
                <w:sz w:val="20"/>
              </w:rPr>
              <w:t>trans, cis, trans</w:t>
            </w:r>
          </w:p>
        </w:tc>
        <w:tc>
          <w:tcPr>
            <w:tcW w:w="898" w:type="dxa"/>
          </w:tcPr>
          <w:p>
            <w:pPr>
              <w:pStyle w:val="TableParagraph"/>
              <w:spacing w:before="39"/>
              <w:ind w:left="182"/>
              <w:rPr>
                <w:sz w:val="20"/>
              </w:rPr>
            </w:pPr>
            <w:r>
              <w:rPr>
                <w:sz w:val="20"/>
              </w:rPr>
              <w:t>278.5</w:t>
            </w:r>
          </w:p>
        </w:tc>
        <w:tc>
          <w:tcPr>
            <w:tcW w:w="945" w:type="dxa"/>
          </w:tcPr>
          <w:p>
            <w:pPr>
              <w:pStyle w:val="TableParagraph"/>
              <w:spacing w:before="39"/>
              <w:ind w:right="227"/>
              <w:jc w:val="right"/>
              <w:rPr>
                <w:sz w:val="20"/>
              </w:rPr>
            </w:pPr>
            <w:r>
              <w:rPr>
                <w:sz w:val="20"/>
              </w:rPr>
              <w:t>254.6</w:t>
            </w:r>
          </w:p>
        </w:tc>
        <w:tc>
          <w:tcPr>
            <w:tcW w:w="885" w:type="dxa"/>
          </w:tcPr>
          <w:p>
            <w:pPr>
              <w:pStyle w:val="TableParagraph"/>
              <w:spacing w:before="39"/>
              <w:ind w:right="199"/>
              <w:jc w:val="right"/>
              <w:rPr>
                <w:sz w:val="20"/>
              </w:rPr>
            </w:pPr>
            <w:r>
              <w:rPr>
                <w:sz w:val="20"/>
              </w:rPr>
              <w:t>244.0</w:t>
            </w:r>
          </w:p>
        </w:tc>
        <w:tc>
          <w:tcPr>
            <w:tcW w:w="867" w:type="dxa"/>
          </w:tcPr>
          <w:p>
            <w:pPr>
              <w:pStyle w:val="TableParagraph"/>
              <w:spacing w:before="39"/>
              <w:ind w:right="207"/>
              <w:jc w:val="right"/>
              <w:rPr>
                <w:sz w:val="20"/>
              </w:rPr>
            </w:pPr>
            <w:r>
              <w:rPr>
                <w:sz w:val="20"/>
              </w:rPr>
              <w:t>256.8</w:t>
            </w:r>
          </w:p>
        </w:tc>
        <w:tc>
          <w:tcPr>
            <w:tcW w:w="766" w:type="dxa"/>
          </w:tcPr>
          <w:p>
            <w:pPr>
              <w:pStyle w:val="TableParagraph"/>
              <w:spacing w:before="39"/>
              <w:ind w:left="190" w:right="184"/>
              <w:jc w:val="center"/>
              <w:rPr>
                <w:sz w:val="20"/>
              </w:rPr>
            </w:pPr>
            <w:r>
              <w:rPr>
                <w:sz w:val="20"/>
              </w:rPr>
              <w:t>89.6</w:t>
            </w:r>
          </w:p>
        </w:tc>
        <w:tc>
          <w:tcPr>
            <w:tcW w:w="631" w:type="dxa"/>
          </w:tcPr>
          <w:p>
            <w:pPr>
              <w:pStyle w:val="TableParagraph"/>
              <w:spacing w:before="39"/>
              <w:ind w:left="201"/>
              <w:rPr>
                <w:sz w:val="20"/>
              </w:rPr>
            </w:pPr>
            <w:r>
              <w:rPr>
                <w:sz w:val="20"/>
              </w:rPr>
              <w:t>5.9</w:t>
            </w:r>
          </w:p>
        </w:tc>
        <w:tc>
          <w:tcPr>
            <w:tcW w:w="805" w:type="dxa"/>
          </w:tcPr>
          <w:p>
            <w:pPr>
              <w:pStyle w:val="TableParagraph"/>
              <w:spacing w:before="39"/>
              <w:ind w:left="175"/>
              <w:rPr>
                <w:sz w:val="20"/>
              </w:rPr>
            </w:pPr>
            <w:r>
              <w:rPr>
                <w:sz w:val="20"/>
              </w:rPr>
              <w:t>0.016</w:t>
            </w:r>
          </w:p>
        </w:tc>
      </w:tr>
      <w:tr>
        <w:trPr>
          <w:trHeight w:val="300" w:hRule="exact"/>
        </w:trPr>
        <w:tc>
          <w:tcPr>
            <w:tcW w:w="903" w:type="dxa"/>
          </w:tcPr>
          <w:p>
            <w:pPr/>
          </w:p>
        </w:tc>
        <w:tc>
          <w:tcPr>
            <w:tcW w:w="1840" w:type="dxa"/>
          </w:tcPr>
          <w:p>
            <w:pPr>
              <w:pStyle w:val="TableParagraph"/>
              <w:spacing w:before="36"/>
              <w:ind w:left="222"/>
              <w:rPr>
                <w:i/>
                <w:sz w:val="20"/>
              </w:rPr>
            </w:pPr>
            <w:r>
              <w:rPr>
                <w:i/>
                <w:sz w:val="20"/>
              </w:rPr>
              <w:t>trans, trans, trans</w:t>
            </w:r>
          </w:p>
        </w:tc>
        <w:tc>
          <w:tcPr>
            <w:tcW w:w="898" w:type="dxa"/>
          </w:tcPr>
          <w:p>
            <w:pPr>
              <w:pStyle w:val="TableParagraph"/>
              <w:spacing w:before="36"/>
              <w:ind w:left="182"/>
              <w:rPr>
                <w:sz w:val="20"/>
              </w:rPr>
            </w:pPr>
            <w:r>
              <w:rPr>
                <w:sz w:val="20"/>
              </w:rPr>
              <w:t>278.5</w:t>
            </w:r>
          </w:p>
        </w:tc>
        <w:tc>
          <w:tcPr>
            <w:tcW w:w="945" w:type="dxa"/>
          </w:tcPr>
          <w:p>
            <w:pPr>
              <w:pStyle w:val="TableParagraph"/>
              <w:spacing w:before="36"/>
              <w:ind w:right="227"/>
              <w:jc w:val="right"/>
              <w:rPr>
                <w:sz w:val="20"/>
              </w:rPr>
            </w:pPr>
            <w:r>
              <w:rPr>
                <w:sz w:val="20"/>
              </w:rPr>
              <w:t>252.0</w:t>
            </w:r>
          </w:p>
        </w:tc>
        <w:tc>
          <w:tcPr>
            <w:tcW w:w="885" w:type="dxa"/>
          </w:tcPr>
          <w:p>
            <w:pPr>
              <w:pStyle w:val="TableParagraph"/>
              <w:spacing w:before="36"/>
              <w:ind w:right="199"/>
              <w:jc w:val="right"/>
              <w:rPr>
                <w:sz w:val="20"/>
              </w:rPr>
            </w:pPr>
            <w:r>
              <w:rPr>
                <w:sz w:val="20"/>
              </w:rPr>
              <w:t>241.4</w:t>
            </w:r>
          </w:p>
        </w:tc>
        <w:tc>
          <w:tcPr>
            <w:tcW w:w="867" w:type="dxa"/>
          </w:tcPr>
          <w:p>
            <w:pPr>
              <w:pStyle w:val="TableParagraph"/>
              <w:spacing w:before="36"/>
              <w:ind w:right="207"/>
              <w:jc w:val="right"/>
              <w:rPr>
                <w:sz w:val="20"/>
              </w:rPr>
            </w:pPr>
            <w:r>
              <w:rPr>
                <w:sz w:val="20"/>
              </w:rPr>
              <w:t>254.2</w:t>
            </w:r>
          </w:p>
        </w:tc>
        <w:tc>
          <w:tcPr>
            <w:tcW w:w="766" w:type="dxa"/>
          </w:tcPr>
          <w:p>
            <w:pPr>
              <w:pStyle w:val="TableParagraph"/>
              <w:spacing w:before="36"/>
              <w:ind w:left="190" w:right="184"/>
              <w:jc w:val="center"/>
              <w:rPr>
                <w:sz w:val="20"/>
              </w:rPr>
            </w:pPr>
            <w:r>
              <w:rPr>
                <w:sz w:val="20"/>
              </w:rPr>
              <w:t>89.6</w:t>
            </w:r>
          </w:p>
        </w:tc>
        <w:tc>
          <w:tcPr>
            <w:tcW w:w="631" w:type="dxa"/>
          </w:tcPr>
          <w:p>
            <w:pPr>
              <w:pStyle w:val="TableParagraph"/>
              <w:spacing w:before="36"/>
              <w:ind w:left="201"/>
              <w:rPr>
                <w:sz w:val="20"/>
              </w:rPr>
            </w:pPr>
            <w:r>
              <w:rPr>
                <w:sz w:val="20"/>
              </w:rPr>
              <w:t>5.9</w:t>
            </w:r>
          </w:p>
        </w:tc>
        <w:tc>
          <w:tcPr>
            <w:tcW w:w="805" w:type="dxa"/>
          </w:tcPr>
          <w:p>
            <w:pPr>
              <w:pStyle w:val="TableParagraph"/>
              <w:spacing w:before="36"/>
              <w:ind w:left="175"/>
              <w:rPr>
                <w:sz w:val="20"/>
              </w:rPr>
            </w:pPr>
            <w:r>
              <w:rPr>
                <w:sz w:val="20"/>
              </w:rPr>
              <w:t>0.032</w:t>
            </w:r>
          </w:p>
        </w:tc>
      </w:tr>
      <w:tr>
        <w:trPr>
          <w:trHeight w:val="302" w:hRule="exact"/>
        </w:trPr>
        <w:tc>
          <w:tcPr>
            <w:tcW w:w="903" w:type="dxa"/>
          </w:tcPr>
          <w:p>
            <w:pPr/>
          </w:p>
        </w:tc>
        <w:tc>
          <w:tcPr>
            <w:tcW w:w="1840" w:type="dxa"/>
          </w:tcPr>
          <w:p>
            <w:pPr>
              <w:pStyle w:val="TableParagraph"/>
              <w:spacing w:before="39"/>
              <w:ind w:left="222"/>
              <w:rPr>
                <w:i/>
                <w:sz w:val="20"/>
              </w:rPr>
            </w:pPr>
            <w:r>
              <w:rPr>
                <w:i/>
                <w:sz w:val="20"/>
              </w:rPr>
              <w:t>cis, cis, trans</w:t>
            </w:r>
          </w:p>
        </w:tc>
        <w:tc>
          <w:tcPr>
            <w:tcW w:w="898" w:type="dxa"/>
          </w:tcPr>
          <w:p>
            <w:pPr>
              <w:pStyle w:val="TableParagraph"/>
              <w:spacing w:before="39"/>
              <w:ind w:left="182"/>
              <w:rPr>
                <w:sz w:val="20"/>
              </w:rPr>
            </w:pPr>
            <w:r>
              <w:rPr>
                <w:sz w:val="20"/>
              </w:rPr>
              <w:t>278.5</w:t>
            </w:r>
          </w:p>
        </w:tc>
        <w:tc>
          <w:tcPr>
            <w:tcW w:w="945" w:type="dxa"/>
          </w:tcPr>
          <w:p>
            <w:pPr>
              <w:pStyle w:val="TableParagraph"/>
              <w:spacing w:before="39"/>
              <w:ind w:right="227"/>
              <w:jc w:val="right"/>
              <w:rPr>
                <w:sz w:val="20"/>
              </w:rPr>
            </w:pPr>
            <w:r>
              <w:rPr>
                <w:sz w:val="20"/>
              </w:rPr>
              <w:t>252.5</w:t>
            </w:r>
          </w:p>
        </w:tc>
        <w:tc>
          <w:tcPr>
            <w:tcW w:w="885" w:type="dxa"/>
          </w:tcPr>
          <w:p>
            <w:pPr>
              <w:pStyle w:val="TableParagraph"/>
              <w:spacing w:before="39"/>
              <w:ind w:right="199"/>
              <w:jc w:val="right"/>
              <w:rPr>
                <w:sz w:val="20"/>
              </w:rPr>
            </w:pPr>
            <w:r>
              <w:rPr>
                <w:sz w:val="20"/>
              </w:rPr>
              <w:t>241.9</w:t>
            </w:r>
          </w:p>
        </w:tc>
        <w:tc>
          <w:tcPr>
            <w:tcW w:w="867" w:type="dxa"/>
          </w:tcPr>
          <w:p>
            <w:pPr>
              <w:pStyle w:val="TableParagraph"/>
              <w:spacing w:before="39"/>
              <w:ind w:right="206"/>
              <w:jc w:val="right"/>
              <w:rPr>
                <w:sz w:val="20"/>
              </w:rPr>
            </w:pPr>
            <w:r>
              <w:rPr>
                <w:sz w:val="20"/>
              </w:rPr>
              <w:t>254.8</w:t>
            </w:r>
          </w:p>
        </w:tc>
        <w:tc>
          <w:tcPr>
            <w:tcW w:w="766" w:type="dxa"/>
          </w:tcPr>
          <w:p>
            <w:pPr>
              <w:pStyle w:val="TableParagraph"/>
              <w:spacing w:before="39"/>
              <w:ind w:left="190" w:right="184"/>
              <w:jc w:val="center"/>
              <w:rPr>
                <w:sz w:val="20"/>
              </w:rPr>
            </w:pPr>
            <w:r>
              <w:rPr>
                <w:sz w:val="20"/>
              </w:rPr>
              <w:t>89.6</w:t>
            </w:r>
          </w:p>
        </w:tc>
        <w:tc>
          <w:tcPr>
            <w:tcW w:w="631" w:type="dxa"/>
          </w:tcPr>
          <w:p>
            <w:pPr>
              <w:pStyle w:val="TableParagraph"/>
              <w:spacing w:before="39"/>
              <w:ind w:left="201"/>
              <w:rPr>
                <w:sz w:val="20"/>
              </w:rPr>
            </w:pPr>
            <w:r>
              <w:rPr>
                <w:sz w:val="20"/>
              </w:rPr>
              <w:t>5.9</w:t>
            </w:r>
          </w:p>
        </w:tc>
        <w:tc>
          <w:tcPr>
            <w:tcW w:w="805" w:type="dxa"/>
          </w:tcPr>
          <w:p>
            <w:pPr>
              <w:pStyle w:val="TableParagraph"/>
              <w:spacing w:before="39"/>
              <w:ind w:left="175"/>
              <w:rPr>
                <w:sz w:val="20"/>
              </w:rPr>
            </w:pPr>
            <w:r>
              <w:rPr>
                <w:sz w:val="20"/>
              </w:rPr>
              <w:t>0.016</w:t>
            </w:r>
          </w:p>
        </w:tc>
      </w:tr>
      <w:tr>
        <w:trPr>
          <w:trHeight w:val="309" w:hRule="exact"/>
        </w:trPr>
        <w:tc>
          <w:tcPr>
            <w:tcW w:w="903" w:type="dxa"/>
            <w:tcBorders>
              <w:bottom w:val="single" w:sz="12" w:space="0" w:color="000000"/>
            </w:tcBorders>
          </w:tcPr>
          <w:p>
            <w:pPr/>
          </w:p>
        </w:tc>
        <w:tc>
          <w:tcPr>
            <w:tcW w:w="1840" w:type="dxa"/>
            <w:tcBorders>
              <w:bottom w:val="single" w:sz="12" w:space="0" w:color="000000"/>
            </w:tcBorders>
          </w:tcPr>
          <w:p>
            <w:pPr>
              <w:pStyle w:val="TableParagraph"/>
              <w:spacing w:before="39"/>
              <w:ind w:left="222"/>
              <w:rPr>
                <w:i/>
                <w:sz w:val="20"/>
              </w:rPr>
            </w:pPr>
            <w:r>
              <w:rPr>
                <w:i/>
                <w:sz w:val="20"/>
              </w:rPr>
              <w:t>cis, trans, cis</w:t>
            </w:r>
          </w:p>
        </w:tc>
        <w:tc>
          <w:tcPr>
            <w:tcW w:w="898" w:type="dxa"/>
            <w:tcBorders>
              <w:bottom w:val="single" w:sz="12" w:space="0" w:color="000000"/>
            </w:tcBorders>
          </w:tcPr>
          <w:p>
            <w:pPr>
              <w:pStyle w:val="TableParagraph"/>
              <w:spacing w:before="39"/>
              <w:ind w:left="182"/>
              <w:rPr>
                <w:sz w:val="20"/>
              </w:rPr>
            </w:pPr>
            <w:r>
              <w:rPr>
                <w:sz w:val="20"/>
              </w:rPr>
              <w:t>278.5</w:t>
            </w:r>
          </w:p>
        </w:tc>
        <w:tc>
          <w:tcPr>
            <w:tcW w:w="945" w:type="dxa"/>
            <w:tcBorders>
              <w:bottom w:val="single" w:sz="12" w:space="0" w:color="000000"/>
            </w:tcBorders>
          </w:tcPr>
          <w:p>
            <w:pPr>
              <w:pStyle w:val="TableParagraph"/>
              <w:spacing w:before="39"/>
              <w:ind w:right="227"/>
              <w:jc w:val="right"/>
              <w:rPr>
                <w:sz w:val="20"/>
              </w:rPr>
            </w:pPr>
            <w:r>
              <w:rPr>
                <w:sz w:val="20"/>
              </w:rPr>
              <w:t>252.0</w:t>
            </w:r>
          </w:p>
        </w:tc>
        <w:tc>
          <w:tcPr>
            <w:tcW w:w="885" w:type="dxa"/>
            <w:tcBorders>
              <w:bottom w:val="single" w:sz="12" w:space="0" w:color="000000"/>
            </w:tcBorders>
          </w:tcPr>
          <w:p>
            <w:pPr>
              <w:pStyle w:val="TableParagraph"/>
              <w:spacing w:before="39"/>
              <w:ind w:right="199"/>
              <w:jc w:val="right"/>
              <w:rPr>
                <w:sz w:val="20"/>
              </w:rPr>
            </w:pPr>
            <w:r>
              <w:rPr>
                <w:sz w:val="20"/>
              </w:rPr>
              <w:t>241.4</w:t>
            </w:r>
          </w:p>
        </w:tc>
        <w:tc>
          <w:tcPr>
            <w:tcW w:w="867" w:type="dxa"/>
            <w:tcBorders>
              <w:bottom w:val="single" w:sz="12" w:space="0" w:color="000000"/>
            </w:tcBorders>
          </w:tcPr>
          <w:p>
            <w:pPr>
              <w:pStyle w:val="TableParagraph"/>
              <w:spacing w:before="39"/>
              <w:ind w:right="207"/>
              <w:jc w:val="right"/>
              <w:rPr>
                <w:sz w:val="20"/>
              </w:rPr>
            </w:pPr>
            <w:r>
              <w:rPr>
                <w:sz w:val="20"/>
              </w:rPr>
              <w:t>254.2</w:t>
            </w:r>
          </w:p>
        </w:tc>
        <w:tc>
          <w:tcPr>
            <w:tcW w:w="766" w:type="dxa"/>
            <w:tcBorders>
              <w:bottom w:val="single" w:sz="12" w:space="0" w:color="000000"/>
            </w:tcBorders>
          </w:tcPr>
          <w:p>
            <w:pPr>
              <w:pStyle w:val="TableParagraph"/>
              <w:spacing w:before="39"/>
              <w:ind w:left="190" w:right="184"/>
              <w:jc w:val="center"/>
              <w:rPr>
                <w:sz w:val="20"/>
              </w:rPr>
            </w:pPr>
            <w:r>
              <w:rPr>
                <w:sz w:val="20"/>
              </w:rPr>
              <w:t>89.6</w:t>
            </w:r>
          </w:p>
        </w:tc>
        <w:tc>
          <w:tcPr>
            <w:tcW w:w="631" w:type="dxa"/>
            <w:tcBorders>
              <w:bottom w:val="single" w:sz="12" w:space="0" w:color="000000"/>
            </w:tcBorders>
          </w:tcPr>
          <w:p>
            <w:pPr>
              <w:pStyle w:val="TableParagraph"/>
              <w:spacing w:before="39"/>
              <w:ind w:left="201"/>
              <w:rPr>
                <w:sz w:val="20"/>
              </w:rPr>
            </w:pPr>
            <w:r>
              <w:rPr>
                <w:sz w:val="20"/>
              </w:rPr>
              <w:t>5.9</w:t>
            </w:r>
          </w:p>
        </w:tc>
        <w:tc>
          <w:tcPr>
            <w:tcW w:w="805" w:type="dxa"/>
            <w:tcBorders>
              <w:bottom w:val="single" w:sz="12" w:space="0" w:color="000000"/>
            </w:tcBorders>
          </w:tcPr>
          <w:p>
            <w:pPr>
              <w:pStyle w:val="TableParagraph"/>
              <w:spacing w:before="39"/>
              <w:ind w:left="175"/>
              <w:rPr>
                <w:sz w:val="20"/>
              </w:rPr>
            </w:pPr>
            <w:r>
              <w:rPr>
                <w:sz w:val="20"/>
              </w:rPr>
              <w:t>0.032</w:t>
            </w:r>
          </w:p>
        </w:tc>
      </w:tr>
    </w:tbl>
    <w:p>
      <w:pPr>
        <w:spacing w:line="220" w:lineRule="exact" w:before="0"/>
        <w:ind w:left="259" w:right="0" w:firstLine="0"/>
        <w:jc w:val="both"/>
        <w:rPr>
          <w:rFonts w:ascii="Times New Roman" w:hAnsi="Times New Roman"/>
          <w:sz w:val="20"/>
        </w:rPr>
      </w:pPr>
      <w:r>
        <w:rPr>
          <w:rFonts w:ascii="Times New Roman" w:hAnsi="Times New Roman"/>
          <w:i/>
          <w:position w:val="7"/>
          <w:sz w:val="13"/>
        </w:rPr>
        <w:t>a  </w:t>
      </w:r>
      <w:r>
        <w:rPr>
          <w:rFonts w:ascii="Times New Roman" w:hAnsi="Times New Roman"/>
          <w:sz w:val="20"/>
        </w:rPr>
        <w:t>“BM” means base methylation without fermentation; “AM” means acid methylation without   fermentation;</w:t>
      </w:r>
    </w:p>
    <w:p>
      <w:pPr>
        <w:spacing w:line="237" w:lineRule="auto" w:before="2"/>
        <w:ind w:left="259" w:right="234" w:firstLine="0"/>
        <w:jc w:val="both"/>
        <w:rPr>
          <w:rFonts w:ascii="Times New Roman" w:hAnsi="Times New Roman"/>
          <w:sz w:val="20"/>
        </w:rPr>
      </w:pPr>
      <w:r>
        <w:rPr>
          <w:rFonts w:ascii="Times New Roman" w:hAnsi="Times New Roman"/>
          <w:sz w:val="20"/>
        </w:rPr>
        <w:t>“CM” means acid- and base- combined methylation; </w:t>
      </w:r>
      <w:r>
        <w:rPr>
          <w:rFonts w:ascii="Times New Roman" w:hAnsi="Times New Roman"/>
          <w:spacing w:val="-3"/>
          <w:sz w:val="20"/>
        </w:rPr>
        <w:t>“BA” </w:t>
      </w:r>
      <w:r>
        <w:rPr>
          <w:rFonts w:ascii="Times New Roman" w:hAnsi="Times New Roman"/>
          <w:sz w:val="20"/>
        </w:rPr>
        <w:t>means fatty acids from bacterial fraction after 48h fermentation; “PA” means fatty acids from protozoal fraction after 48h fermentation; “MA”  means  the volatile fatty acids from media fraction after 48h fermentation; </w:t>
      </w:r>
      <w:r>
        <w:rPr>
          <w:rFonts w:ascii="Times New Roman" w:hAnsi="Times New Roman"/>
          <w:i/>
          <w:position w:val="7"/>
          <w:sz w:val="13"/>
        </w:rPr>
        <w:t>b </w:t>
      </w:r>
      <w:r>
        <w:rPr>
          <w:rFonts w:ascii="Times New Roman" w:hAnsi="Times New Roman"/>
          <w:sz w:val="20"/>
        </w:rPr>
        <w:t>“</w:t>
      </w:r>
      <w:r>
        <w:rPr>
          <w:rFonts w:ascii="Times New Roman" w:hAnsi="Times New Roman"/>
          <w:b/>
          <w:i/>
          <w:sz w:val="20"/>
        </w:rPr>
        <w:t>0</w:t>
      </w:r>
      <w:r>
        <w:rPr>
          <w:rFonts w:ascii="Times New Roman" w:hAnsi="Times New Roman"/>
          <w:sz w:val="20"/>
        </w:rPr>
        <w:t>” means the dataset from experimental 1 without fermentation; “</w:t>
      </w:r>
      <w:r>
        <w:rPr>
          <w:rFonts w:ascii="Times New Roman" w:hAnsi="Times New Roman"/>
          <w:b/>
          <w:i/>
          <w:sz w:val="20"/>
        </w:rPr>
        <w:t>1</w:t>
      </w:r>
      <w:r>
        <w:rPr>
          <w:rFonts w:ascii="Times New Roman" w:hAnsi="Times New Roman"/>
          <w:sz w:val="20"/>
        </w:rPr>
        <w:t>” means the dataset from experimental 2 </w:t>
      </w:r>
      <w:r>
        <w:rPr>
          <w:rFonts w:ascii="Times New Roman" w:hAnsi="Times New Roman"/>
          <w:spacing w:val="-3"/>
          <w:sz w:val="20"/>
        </w:rPr>
        <w:t>with </w:t>
      </w:r>
      <w:r>
        <w:rPr>
          <w:rFonts w:ascii="Times New Roman" w:hAnsi="Times New Roman"/>
          <w:sz w:val="20"/>
        </w:rPr>
        <w:t>fermentation </w:t>
      </w:r>
      <w:r>
        <w:rPr>
          <w:rFonts w:ascii="Times New Roman" w:hAnsi="Times New Roman"/>
          <w:spacing w:val="-3"/>
          <w:sz w:val="20"/>
        </w:rPr>
        <w:t>of </w:t>
      </w:r>
      <w:r>
        <w:rPr>
          <w:rFonts w:ascii="Times New Roman" w:hAnsi="Times New Roman"/>
          <w:sz w:val="20"/>
        </w:rPr>
        <w:t>omega 6 and omega 3;  </w:t>
      </w:r>
      <w:r>
        <w:rPr>
          <w:rFonts w:ascii="Times New Roman" w:hAnsi="Times New Roman"/>
          <w:i/>
          <w:position w:val="7"/>
          <w:sz w:val="13"/>
        </w:rPr>
        <w:t>c </w:t>
      </w:r>
      <w:r>
        <w:rPr>
          <w:rFonts w:ascii="Times New Roman" w:hAnsi="Times New Roman"/>
          <w:sz w:val="20"/>
        </w:rPr>
        <w:t>“phase”, means the dataset: long </w:t>
      </w:r>
      <w:r>
        <w:rPr>
          <w:rFonts w:ascii="Times New Roman" w:hAnsi="Times New Roman"/>
          <w:spacing w:val="-3"/>
          <w:sz w:val="20"/>
        </w:rPr>
        <w:t>chain </w:t>
      </w:r>
      <w:r>
        <w:rPr>
          <w:rFonts w:ascii="Times New Roman" w:hAnsi="Times New Roman"/>
          <w:sz w:val="20"/>
        </w:rPr>
        <w:t>fatty acids from including bacterial membrane (bacterial fraction), protozoal membrane (protozoa fraction), volatile fatty acids from fermentation media (media fraction); </w:t>
      </w:r>
      <w:r>
        <w:rPr>
          <w:rFonts w:ascii="Times New Roman" w:hAnsi="Times New Roman"/>
          <w:i/>
          <w:position w:val="7"/>
          <w:sz w:val="13"/>
        </w:rPr>
        <w:t>d </w:t>
      </w:r>
      <w:r>
        <w:rPr>
          <w:rFonts w:ascii="Times New Roman" w:hAnsi="Times New Roman"/>
          <w:sz w:val="20"/>
        </w:rPr>
        <w:t>Column </w:t>
      </w:r>
      <w:r>
        <w:rPr>
          <w:rFonts w:ascii="Times New Roman" w:hAnsi="Times New Roman"/>
          <w:spacing w:val="-3"/>
          <w:sz w:val="20"/>
        </w:rPr>
        <w:t>of </w:t>
      </w:r>
      <w:r>
        <w:rPr>
          <w:rFonts w:ascii="Times New Roman" w:hAnsi="Times New Roman"/>
          <w:sz w:val="20"/>
        </w:rPr>
        <w:t>GC, “HP-88 (112-88A7)” means the </w:t>
      </w:r>
      <w:r>
        <w:rPr>
          <w:rFonts w:ascii="Times New Roman" w:hAnsi="Times New Roman"/>
          <w:spacing w:val="-2"/>
          <w:sz w:val="20"/>
        </w:rPr>
        <w:t>column </w:t>
      </w:r>
      <w:r>
        <w:rPr>
          <w:rFonts w:ascii="Times New Roman" w:hAnsi="Times New Roman"/>
          <w:spacing w:val="-3"/>
          <w:sz w:val="20"/>
        </w:rPr>
        <w:t>of </w:t>
      </w:r>
      <w:r>
        <w:rPr>
          <w:rFonts w:ascii="Times New Roman" w:hAnsi="Times New Roman"/>
          <w:sz w:val="20"/>
        </w:rPr>
        <w:t>GC for determining long </w:t>
      </w:r>
      <w:r>
        <w:rPr>
          <w:rFonts w:ascii="Times New Roman" w:hAnsi="Times New Roman"/>
          <w:spacing w:val="-3"/>
          <w:sz w:val="20"/>
        </w:rPr>
        <w:t>chain </w:t>
      </w:r>
      <w:r>
        <w:rPr>
          <w:rFonts w:ascii="Times New Roman" w:hAnsi="Times New Roman"/>
          <w:sz w:val="20"/>
        </w:rPr>
        <w:t>fatty acids; “DB- FFAP” means the column </w:t>
      </w:r>
      <w:r>
        <w:rPr>
          <w:rFonts w:ascii="Times New Roman" w:hAnsi="Times New Roman"/>
          <w:spacing w:val="-4"/>
          <w:sz w:val="20"/>
        </w:rPr>
        <w:t>for </w:t>
      </w:r>
      <w:r>
        <w:rPr>
          <w:rFonts w:ascii="Times New Roman" w:hAnsi="Times New Roman"/>
          <w:sz w:val="20"/>
        </w:rPr>
        <w:t>determining volatile fatty acids; </w:t>
      </w:r>
      <w:r>
        <w:rPr>
          <w:rFonts w:ascii="Times New Roman" w:hAnsi="Times New Roman"/>
          <w:i/>
          <w:position w:val="7"/>
          <w:sz w:val="13"/>
        </w:rPr>
        <w:t>e </w:t>
      </w:r>
      <w:r>
        <w:rPr>
          <w:rFonts w:ascii="Times New Roman" w:hAnsi="Times New Roman"/>
          <w:sz w:val="20"/>
        </w:rPr>
        <w:t>“</w:t>
      </w:r>
      <w:r>
        <w:rPr>
          <w:rFonts w:ascii="Times New Roman" w:hAnsi="Times New Roman"/>
          <w:b/>
          <w:i/>
          <w:sz w:val="20"/>
        </w:rPr>
        <w:t>0</w:t>
      </w:r>
      <w:r>
        <w:rPr>
          <w:rFonts w:ascii="Times New Roman" w:hAnsi="Times New Roman"/>
          <w:sz w:val="20"/>
        </w:rPr>
        <w:t>” means the original data, “</w:t>
      </w:r>
      <w:r>
        <w:rPr>
          <w:rFonts w:ascii="Times New Roman" w:hAnsi="Times New Roman"/>
          <w:b/>
          <w:i/>
          <w:sz w:val="20"/>
        </w:rPr>
        <w:t>0.1</w:t>
      </w:r>
      <w:r>
        <w:rPr>
          <w:rFonts w:ascii="Times New Roman" w:hAnsi="Times New Roman"/>
          <w:sz w:val="20"/>
        </w:rPr>
        <w:t>, </w:t>
      </w:r>
      <w:r>
        <w:rPr>
          <w:rFonts w:ascii="Times New Roman" w:hAnsi="Times New Roman"/>
          <w:b/>
          <w:i/>
          <w:sz w:val="20"/>
        </w:rPr>
        <w:t>0.2</w:t>
      </w:r>
      <w:r>
        <w:rPr>
          <w:rFonts w:ascii="Times New Roman" w:hAnsi="Times New Roman"/>
          <w:sz w:val="20"/>
        </w:rPr>
        <w:t>, </w:t>
      </w:r>
      <w:r>
        <w:rPr>
          <w:rFonts w:ascii="Times New Roman" w:hAnsi="Times New Roman"/>
          <w:spacing w:val="-3"/>
          <w:sz w:val="20"/>
        </w:rPr>
        <w:t>or </w:t>
      </w:r>
      <w:r>
        <w:rPr>
          <w:rFonts w:ascii="Times New Roman" w:hAnsi="Times New Roman"/>
          <w:b/>
          <w:i/>
          <w:sz w:val="20"/>
        </w:rPr>
        <w:t>0.3</w:t>
      </w:r>
      <w:r>
        <w:rPr>
          <w:rFonts w:ascii="Times New Roman" w:hAnsi="Times New Roman"/>
          <w:sz w:val="20"/>
        </w:rPr>
        <w:t>” means the </w:t>
      </w:r>
      <w:r>
        <w:rPr>
          <w:rFonts w:ascii="Times New Roman" w:hAnsi="Times New Roman"/>
          <w:spacing w:val="-3"/>
          <w:sz w:val="20"/>
        </w:rPr>
        <w:t>1, 2, </w:t>
      </w:r>
      <w:r>
        <w:rPr>
          <w:rFonts w:ascii="Times New Roman" w:hAnsi="Times New Roman"/>
          <w:spacing w:val="-5"/>
          <w:sz w:val="20"/>
        </w:rPr>
        <w:t>or </w:t>
      </w:r>
      <w:r>
        <w:rPr>
          <w:rFonts w:ascii="Times New Roman" w:hAnsi="Times New Roman"/>
          <w:sz w:val="20"/>
        </w:rPr>
        <w:t>3 replicates, respectively; </w:t>
      </w:r>
      <w:r>
        <w:rPr>
          <w:rFonts w:ascii="Times New Roman" w:hAnsi="Times New Roman"/>
          <w:i/>
          <w:position w:val="7"/>
          <w:sz w:val="13"/>
        </w:rPr>
        <w:t>f </w:t>
      </w:r>
      <w:r>
        <w:rPr>
          <w:rFonts w:ascii="Times New Roman" w:hAnsi="Times New Roman"/>
          <w:i/>
          <w:sz w:val="20"/>
        </w:rPr>
        <w:t>cis</w:t>
      </w:r>
      <w:r>
        <w:rPr>
          <w:rFonts w:ascii="Times New Roman" w:hAnsi="Times New Roman"/>
          <w:sz w:val="20"/>
        </w:rPr>
        <w:t>/</w:t>
      </w:r>
      <w:r>
        <w:rPr>
          <w:rFonts w:ascii="Times New Roman" w:hAnsi="Times New Roman"/>
          <w:i/>
          <w:sz w:val="20"/>
        </w:rPr>
        <w:t>trans </w:t>
      </w:r>
      <w:r>
        <w:rPr>
          <w:rFonts w:ascii="Times New Roman" w:hAnsi="Times New Roman"/>
          <w:sz w:val="20"/>
        </w:rPr>
        <w:t>pattern: “</w:t>
      </w:r>
      <w:r>
        <w:rPr>
          <w:rFonts w:ascii="Times New Roman" w:hAnsi="Times New Roman"/>
          <w:i/>
          <w:sz w:val="20"/>
        </w:rPr>
        <w:t>linear</w:t>
      </w:r>
      <w:r>
        <w:rPr>
          <w:rFonts w:ascii="Times New Roman" w:hAnsi="Times New Roman"/>
          <w:sz w:val="20"/>
        </w:rPr>
        <w:t>” means LCFA without double bonds; “</w:t>
      </w:r>
      <w:r>
        <w:rPr>
          <w:rFonts w:ascii="Times New Roman" w:hAnsi="Times New Roman"/>
          <w:i/>
          <w:sz w:val="20"/>
        </w:rPr>
        <w:t>cis</w:t>
      </w:r>
      <w:r>
        <w:rPr>
          <w:rFonts w:ascii="Times New Roman" w:hAnsi="Times New Roman"/>
          <w:sz w:val="20"/>
        </w:rPr>
        <w:t>” means LCFA </w:t>
      </w:r>
      <w:r>
        <w:rPr>
          <w:rFonts w:ascii="Times New Roman" w:hAnsi="Times New Roman"/>
          <w:spacing w:val="-3"/>
          <w:sz w:val="20"/>
        </w:rPr>
        <w:t>with </w:t>
      </w:r>
      <w:r>
        <w:rPr>
          <w:rFonts w:ascii="Times New Roman" w:hAnsi="Times New Roman"/>
          <w:i/>
          <w:sz w:val="20"/>
        </w:rPr>
        <w:t>cis </w:t>
      </w:r>
      <w:r>
        <w:rPr>
          <w:rFonts w:ascii="Times New Roman" w:hAnsi="Times New Roman"/>
          <w:sz w:val="20"/>
        </w:rPr>
        <w:t>isomerization; “</w:t>
      </w:r>
      <w:r>
        <w:rPr>
          <w:rFonts w:ascii="Times New Roman" w:hAnsi="Times New Roman"/>
          <w:i/>
          <w:sz w:val="20"/>
        </w:rPr>
        <w:t>trans</w:t>
      </w:r>
      <w:r>
        <w:rPr>
          <w:rFonts w:ascii="Times New Roman" w:hAnsi="Times New Roman"/>
          <w:sz w:val="20"/>
        </w:rPr>
        <w:t>” means </w:t>
      </w:r>
      <w:r>
        <w:rPr>
          <w:rFonts w:ascii="Times New Roman" w:hAnsi="Times New Roman"/>
          <w:spacing w:val="-3"/>
          <w:sz w:val="20"/>
        </w:rPr>
        <w:t>LCFA </w:t>
      </w:r>
      <w:r>
        <w:rPr>
          <w:rFonts w:ascii="Times New Roman" w:hAnsi="Times New Roman"/>
          <w:sz w:val="20"/>
        </w:rPr>
        <w:t>with </w:t>
      </w:r>
      <w:r>
        <w:rPr>
          <w:rFonts w:ascii="Times New Roman" w:hAnsi="Times New Roman"/>
          <w:i/>
          <w:sz w:val="20"/>
        </w:rPr>
        <w:t>trans </w:t>
      </w:r>
      <w:r>
        <w:rPr>
          <w:rFonts w:ascii="Times New Roman" w:hAnsi="Times New Roman"/>
          <w:sz w:val="20"/>
        </w:rPr>
        <w:t>isomerization; and the number </w:t>
      </w:r>
      <w:r>
        <w:rPr>
          <w:rFonts w:ascii="Times New Roman" w:hAnsi="Times New Roman"/>
          <w:spacing w:val="-3"/>
          <w:sz w:val="20"/>
        </w:rPr>
        <w:t>of </w:t>
      </w:r>
      <w:r>
        <w:rPr>
          <w:rFonts w:ascii="Times New Roman" w:hAnsi="Times New Roman"/>
          <w:position w:val="2"/>
          <w:sz w:val="20"/>
        </w:rPr>
        <w:t>cis </w:t>
      </w:r>
      <w:r>
        <w:rPr>
          <w:rFonts w:ascii="Times New Roman" w:hAnsi="Times New Roman"/>
          <w:spacing w:val="-3"/>
          <w:position w:val="2"/>
          <w:sz w:val="20"/>
        </w:rPr>
        <w:t>or </w:t>
      </w:r>
      <w:r>
        <w:rPr>
          <w:rFonts w:ascii="Times New Roman" w:hAnsi="Times New Roman"/>
          <w:position w:val="2"/>
          <w:sz w:val="20"/>
        </w:rPr>
        <w:t>trans means LCFA with the same number of </w:t>
      </w:r>
      <w:r>
        <w:rPr>
          <w:rFonts w:ascii="Times New Roman" w:hAnsi="Times New Roman"/>
          <w:i/>
          <w:position w:val="2"/>
          <w:sz w:val="20"/>
        </w:rPr>
        <w:t>cis </w:t>
      </w:r>
      <w:r>
        <w:rPr>
          <w:rFonts w:ascii="Times New Roman" w:hAnsi="Times New Roman"/>
          <w:spacing w:val="-3"/>
          <w:position w:val="2"/>
          <w:sz w:val="20"/>
        </w:rPr>
        <w:t>or </w:t>
      </w:r>
      <w:r>
        <w:rPr>
          <w:rFonts w:ascii="Times New Roman" w:hAnsi="Times New Roman"/>
          <w:i/>
          <w:position w:val="2"/>
          <w:sz w:val="20"/>
        </w:rPr>
        <w:t>trans </w:t>
      </w:r>
      <w:r>
        <w:rPr>
          <w:rFonts w:ascii="Times New Roman" w:hAnsi="Times New Roman"/>
          <w:position w:val="2"/>
          <w:sz w:val="20"/>
        </w:rPr>
        <w:t>double bonds; </w:t>
      </w:r>
      <w:r>
        <w:rPr>
          <w:rFonts w:ascii="Times New Roman" w:hAnsi="Times New Roman"/>
          <w:i/>
          <w:position w:val="9"/>
          <w:sz w:val="13"/>
        </w:rPr>
        <w:t>aa </w:t>
      </w:r>
      <w:r>
        <w:rPr>
          <w:rFonts w:ascii="Times New Roman" w:hAnsi="Times New Roman"/>
          <w:position w:val="2"/>
          <w:sz w:val="20"/>
        </w:rPr>
        <w:t>&lt;V</w:t>
      </w:r>
      <w:r>
        <w:rPr>
          <w:rFonts w:ascii="Times New Roman" w:hAnsi="Times New Roman"/>
          <w:sz w:val="13"/>
        </w:rPr>
        <w:t>k</w:t>
      </w:r>
      <w:r>
        <w:rPr>
          <w:rFonts w:ascii="Times New Roman" w:hAnsi="Times New Roman"/>
          <w:position w:val="2"/>
          <w:sz w:val="20"/>
        </w:rPr>
        <w:t>(c</w:t>
      </w:r>
      <w:r>
        <w:rPr>
          <w:rFonts w:ascii="Times New Roman" w:hAnsi="Times New Roman"/>
          <w:sz w:val="13"/>
        </w:rPr>
        <w:t>j</w:t>
      </w:r>
      <w:r>
        <w:rPr>
          <w:rFonts w:ascii="Times New Roman" w:hAnsi="Times New Roman"/>
          <w:position w:val="2"/>
          <w:sz w:val="20"/>
        </w:rPr>
        <w:t>)&gt; means the average </w:t>
      </w:r>
      <w:r>
        <w:rPr>
          <w:rFonts w:ascii="Times New Roman" w:hAnsi="Times New Roman"/>
          <w:spacing w:val="-3"/>
          <w:position w:val="2"/>
          <w:sz w:val="20"/>
        </w:rPr>
        <w:t>of </w:t>
      </w:r>
      <w:r>
        <w:rPr>
          <w:rFonts w:ascii="Times New Roman" w:hAnsi="Times New Roman"/>
          <w:position w:val="2"/>
          <w:sz w:val="20"/>
        </w:rPr>
        <w:t>Molecular descriptors (V</w:t>
      </w:r>
      <w:r>
        <w:rPr>
          <w:rFonts w:ascii="Times New Roman" w:hAnsi="Times New Roman"/>
          <w:sz w:val="13"/>
        </w:rPr>
        <w:t>k</w:t>
      </w:r>
      <w:r>
        <w:rPr>
          <w:rFonts w:ascii="Times New Roman" w:hAnsi="Times New Roman"/>
          <w:position w:val="2"/>
          <w:sz w:val="20"/>
        </w:rPr>
        <w:t>) </w:t>
      </w:r>
      <w:r>
        <w:rPr>
          <w:rFonts w:ascii="Times New Roman" w:hAnsi="Times New Roman"/>
          <w:spacing w:val="-4"/>
          <w:position w:val="2"/>
          <w:sz w:val="20"/>
        </w:rPr>
        <w:t>for </w:t>
      </w:r>
      <w:r>
        <w:rPr>
          <w:rFonts w:ascii="Times New Roman" w:hAnsi="Times New Roman"/>
          <w:position w:val="2"/>
          <w:sz w:val="20"/>
        </w:rPr>
        <w:t>different conditions (c</w:t>
      </w:r>
      <w:r>
        <w:rPr>
          <w:rFonts w:ascii="Times New Roman" w:hAnsi="Times New Roman"/>
          <w:sz w:val="13"/>
        </w:rPr>
        <w:t>j</w:t>
      </w:r>
      <w:r>
        <w:rPr>
          <w:rFonts w:ascii="Times New Roman" w:hAnsi="Times New Roman"/>
          <w:position w:val="2"/>
          <w:sz w:val="20"/>
        </w:rPr>
        <w:t>); the descriptors are V</w:t>
      </w:r>
      <w:r>
        <w:rPr>
          <w:rFonts w:ascii="Times New Roman" w:hAnsi="Times New Roman"/>
          <w:sz w:val="13"/>
        </w:rPr>
        <w:t>1 </w:t>
      </w:r>
      <w:r>
        <w:rPr>
          <w:rFonts w:ascii="Times New Roman" w:hAnsi="Times New Roman"/>
          <w:position w:val="2"/>
          <w:sz w:val="20"/>
        </w:rPr>
        <w:t>= </w:t>
      </w:r>
      <w:r>
        <w:rPr>
          <w:rFonts w:ascii="Times New Roman" w:hAnsi="Times New Roman"/>
          <w:spacing w:val="-3"/>
          <w:position w:val="2"/>
          <w:sz w:val="20"/>
        </w:rPr>
        <w:t>Mw, </w:t>
      </w:r>
      <w:r>
        <w:rPr>
          <w:rFonts w:ascii="Times New Roman" w:hAnsi="Times New Roman"/>
          <w:position w:val="2"/>
          <w:sz w:val="20"/>
        </w:rPr>
        <w:t>V</w:t>
      </w:r>
      <w:r>
        <w:rPr>
          <w:rFonts w:ascii="Times New Roman" w:hAnsi="Times New Roman"/>
          <w:sz w:val="13"/>
        </w:rPr>
        <w:t>2 </w:t>
      </w:r>
      <w:r>
        <w:rPr>
          <w:rFonts w:ascii="Times New Roman" w:hAnsi="Times New Roman"/>
          <w:position w:val="2"/>
          <w:sz w:val="20"/>
        </w:rPr>
        <w:t>= Aeigv, V</w:t>
      </w:r>
      <w:r>
        <w:rPr>
          <w:rFonts w:ascii="Times New Roman" w:hAnsi="Times New Roman"/>
          <w:sz w:val="13"/>
        </w:rPr>
        <w:t>3 </w:t>
      </w:r>
      <w:r>
        <w:rPr>
          <w:rFonts w:ascii="Times New Roman" w:hAnsi="Times New Roman"/>
          <w:position w:val="2"/>
          <w:sz w:val="20"/>
        </w:rPr>
        <w:t>= </w:t>
      </w:r>
      <w:r>
        <w:rPr>
          <w:rFonts w:ascii="Times New Roman" w:hAnsi="Times New Roman"/>
          <w:spacing w:val="-2"/>
          <w:position w:val="2"/>
          <w:sz w:val="20"/>
        </w:rPr>
        <w:t>Aeige, </w:t>
      </w:r>
      <w:r>
        <w:rPr>
          <w:rFonts w:ascii="Times New Roman" w:hAnsi="Times New Roman"/>
          <w:position w:val="2"/>
          <w:sz w:val="20"/>
        </w:rPr>
        <w:t>V</w:t>
      </w:r>
      <w:r>
        <w:rPr>
          <w:rFonts w:ascii="Times New Roman" w:hAnsi="Times New Roman"/>
          <w:sz w:val="13"/>
        </w:rPr>
        <w:t>4 </w:t>
      </w:r>
      <w:r>
        <w:rPr>
          <w:rFonts w:ascii="Times New Roman" w:hAnsi="Times New Roman"/>
          <w:position w:val="2"/>
          <w:sz w:val="20"/>
        </w:rPr>
        <w:t>= Aeigp, V</w:t>
      </w:r>
      <w:r>
        <w:rPr>
          <w:rFonts w:ascii="Times New Roman" w:hAnsi="Times New Roman"/>
          <w:sz w:val="13"/>
        </w:rPr>
        <w:t>5 </w:t>
      </w:r>
      <w:r>
        <w:rPr>
          <w:rFonts w:ascii="Times New Roman" w:hAnsi="Times New Roman"/>
          <w:position w:val="2"/>
          <w:sz w:val="20"/>
        </w:rPr>
        <w:t>= </w:t>
      </w:r>
      <w:r>
        <w:rPr>
          <w:rFonts w:ascii="Times New Roman" w:hAnsi="Times New Roman"/>
          <w:spacing w:val="-3"/>
          <w:position w:val="2"/>
          <w:sz w:val="20"/>
        </w:rPr>
        <w:t>AMR, </w:t>
      </w:r>
      <w:r>
        <w:rPr>
          <w:rFonts w:ascii="Times New Roman" w:hAnsi="Times New Roman"/>
          <w:position w:val="2"/>
          <w:sz w:val="20"/>
        </w:rPr>
        <w:t>and V</w:t>
      </w:r>
      <w:r>
        <w:rPr>
          <w:rFonts w:ascii="Times New Roman" w:hAnsi="Times New Roman"/>
          <w:sz w:val="13"/>
        </w:rPr>
        <w:t>6 </w:t>
      </w:r>
      <w:r>
        <w:rPr>
          <w:rFonts w:ascii="Times New Roman" w:hAnsi="Times New Roman"/>
          <w:position w:val="2"/>
          <w:sz w:val="20"/>
        </w:rPr>
        <w:t>= </w:t>
      </w:r>
      <w:r>
        <w:rPr>
          <w:rFonts w:ascii="Times New Roman" w:hAnsi="Times New Roman"/>
          <w:spacing w:val="-3"/>
          <w:position w:val="2"/>
          <w:sz w:val="20"/>
        </w:rPr>
        <w:t>LogP; </w:t>
      </w:r>
      <w:r>
        <w:rPr>
          <w:rFonts w:ascii="Times New Roman" w:hAnsi="Times New Roman"/>
          <w:position w:val="2"/>
          <w:sz w:val="20"/>
        </w:rPr>
        <w:t>V</w:t>
      </w:r>
      <w:r>
        <w:rPr>
          <w:rFonts w:ascii="Times New Roman" w:hAnsi="Times New Roman"/>
          <w:sz w:val="13"/>
        </w:rPr>
        <w:t>2</w:t>
      </w:r>
      <w:r>
        <w:rPr>
          <w:rFonts w:ascii="Times New Roman" w:hAnsi="Times New Roman"/>
          <w:position w:val="2"/>
          <w:sz w:val="20"/>
        </w:rPr>
        <w:t>, V</w:t>
      </w:r>
      <w:r>
        <w:rPr>
          <w:rFonts w:ascii="Times New Roman" w:hAnsi="Times New Roman"/>
          <w:sz w:val="13"/>
        </w:rPr>
        <w:t>3</w:t>
      </w:r>
      <w:r>
        <w:rPr>
          <w:rFonts w:ascii="Times New Roman" w:hAnsi="Times New Roman"/>
          <w:position w:val="2"/>
          <w:sz w:val="20"/>
        </w:rPr>
        <w:t>, and V</w:t>
      </w:r>
      <w:r>
        <w:rPr>
          <w:rFonts w:ascii="Times New Roman" w:hAnsi="Times New Roman"/>
          <w:sz w:val="13"/>
        </w:rPr>
        <w:t>4 </w:t>
      </w:r>
      <w:r>
        <w:rPr>
          <w:rFonts w:ascii="Times New Roman" w:hAnsi="Times New Roman"/>
          <w:position w:val="2"/>
          <w:sz w:val="20"/>
        </w:rPr>
        <w:t>are function </w:t>
      </w:r>
      <w:r>
        <w:rPr>
          <w:rFonts w:ascii="Times New Roman" w:hAnsi="Times New Roman"/>
          <w:spacing w:val="-3"/>
          <w:position w:val="2"/>
          <w:sz w:val="20"/>
        </w:rPr>
        <w:t>of </w:t>
      </w:r>
      <w:r>
        <w:rPr>
          <w:rFonts w:ascii="Times New Roman" w:hAnsi="Times New Roman"/>
          <w:position w:val="2"/>
          <w:sz w:val="20"/>
        </w:rPr>
        <w:t>eigenvalues  </w:t>
      </w:r>
      <w:r>
        <w:rPr>
          <w:rFonts w:ascii="Times New Roman" w:hAnsi="Times New Roman"/>
          <w:spacing w:val="-3"/>
          <w:position w:val="2"/>
          <w:sz w:val="20"/>
        </w:rPr>
        <w:t>of  </w:t>
      </w:r>
      <w:r>
        <w:rPr>
          <w:rFonts w:ascii="Times New Roman" w:hAnsi="Times New Roman"/>
          <w:position w:val="2"/>
          <w:sz w:val="20"/>
        </w:rPr>
        <w:t>the topological  </w:t>
      </w:r>
      <w:r>
        <w:rPr>
          <w:rFonts w:ascii="Times New Roman" w:hAnsi="Times New Roman"/>
          <w:sz w:val="20"/>
        </w:rPr>
        <w:t>distance matrix weighted with atomic van der Waals volumes (</w:t>
      </w:r>
      <w:r>
        <w:rPr>
          <w:rFonts w:ascii="Times New Roman" w:hAnsi="Times New Roman"/>
          <w:i/>
          <w:sz w:val="20"/>
        </w:rPr>
        <w:t>v</w:t>
      </w:r>
      <w:r>
        <w:rPr>
          <w:rFonts w:ascii="Times New Roman" w:hAnsi="Times New Roman"/>
          <w:sz w:val="20"/>
        </w:rPr>
        <w:t>), Electronegativities (</w:t>
      </w:r>
      <w:r>
        <w:rPr>
          <w:rFonts w:ascii="Times New Roman" w:hAnsi="Times New Roman"/>
          <w:i/>
          <w:sz w:val="20"/>
        </w:rPr>
        <w:t>e</w:t>
      </w:r>
      <w:r>
        <w:rPr>
          <w:rFonts w:ascii="Times New Roman" w:hAnsi="Times New Roman"/>
          <w:sz w:val="20"/>
        </w:rPr>
        <w:t>), </w:t>
      </w:r>
      <w:r>
        <w:rPr>
          <w:rFonts w:ascii="Times New Roman" w:hAnsi="Times New Roman"/>
          <w:spacing w:val="-3"/>
          <w:sz w:val="20"/>
        </w:rPr>
        <w:t>or </w:t>
      </w:r>
      <w:r>
        <w:rPr>
          <w:rFonts w:ascii="Times New Roman" w:hAnsi="Times New Roman"/>
          <w:sz w:val="20"/>
        </w:rPr>
        <w:t>Polarizabilities </w:t>
      </w:r>
      <w:r>
        <w:rPr>
          <w:rFonts w:ascii="Times New Roman" w:hAnsi="Times New Roman"/>
          <w:position w:val="2"/>
          <w:sz w:val="20"/>
        </w:rPr>
        <w:t>(</w:t>
      </w:r>
      <w:r>
        <w:rPr>
          <w:rFonts w:ascii="Times New Roman" w:hAnsi="Times New Roman"/>
          <w:i/>
          <w:position w:val="2"/>
          <w:sz w:val="20"/>
        </w:rPr>
        <w:t>p</w:t>
      </w:r>
      <w:r>
        <w:rPr>
          <w:rFonts w:ascii="Times New Roman" w:hAnsi="Times New Roman"/>
          <w:position w:val="2"/>
          <w:sz w:val="20"/>
        </w:rPr>
        <w:t>); </w:t>
      </w:r>
      <w:r>
        <w:rPr>
          <w:rFonts w:ascii="Times New Roman" w:hAnsi="Times New Roman"/>
          <w:i/>
          <w:position w:val="9"/>
          <w:sz w:val="13"/>
        </w:rPr>
        <w:t>ab </w:t>
      </w:r>
      <w:r>
        <w:rPr>
          <w:rFonts w:ascii="Times New Roman" w:hAnsi="Times New Roman"/>
          <w:i/>
          <w:position w:val="2"/>
          <w:sz w:val="20"/>
        </w:rPr>
        <w:t>p</w:t>
      </w:r>
      <w:r>
        <w:rPr>
          <w:rFonts w:ascii="Times New Roman" w:hAnsi="Times New Roman"/>
          <w:position w:val="2"/>
          <w:sz w:val="20"/>
        </w:rPr>
        <w:t>(c</w:t>
      </w:r>
      <w:r>
        <w:rPr>
          <w:rFonts w:ascii="Times New Roman" w:hAnsi="Times New Roman"/>
          <w:sz w:val="13"/>
        </w:rPr>
        <w:t>j</w:t>
      </w:r>
      <w:r>
        <w:rPr>
          <w:rFonts w:ascii="Times New Roman" w:hAnsi="Times New Roman"/>
          <w:position w:val="2"/>
          <w:sz w:val="20"/>
        </w:rPr>
        <w:t>) = n</w:t>
      </w:r>
      <w:r>
        <w:rPr>
          <w:rFonts w:ascii="Times New Roman" w:hAnsi="Times New Roman"/>
          <w:sz w:val="13"/>
        </w:rPr>
        <w:t>j</w:t>
      </w:r>
      <w:r>
        <w:rPr>
          <w:rFonts w:ascii="Times New Roman" w:hAnsi="Times New Roman"/>
          <w:position w:val="2"/>
          <w:sz w:val="20"/>
        </w:rPr>
        <w:t>/ n</w:t>
      </w:r>
      <w:r>
        <w:rPr>
          <w:rFonts w:ascii="Times New Roman" w:hAnsi="Times New Roman"/>
          <w:sz w:val="13"/>
        </w:rPr>
        <w:t>total</w:t>
      </w:r>
      <w:r>
        <w:rPr>
          <w:rFonts w:ascii="Times New Roman" w:hAnsi="Times New Roman"/>
          <w:position w:val="2"/>
          <w:sz w:val="20"/>
        </w:rPr>
        <w:t>; </w:t>
      </w:r>
      <w:r>
        <w:rPr>
          <w:rFonts w:ascii="Times New Roman" w:hAnsi="Times New Roman"/>
          <w:spacing w:val="2"/>
          <w:position w:val="2"/>
          <w:sz w:val="20"/>
        </w:rPr>
        <w:t>n</w:t>
      </w:r>
      <w:r>
        <w:rPr>
          <w:rFonts w:ascii="Times New Roman" w:hAnsi="Times New Roman"/>
          <w:spacing w:val="2"/>
          <w:sz w:val="13"/>
        </w:rPr>
        <w:t>j </w:t>
      </w:r>
      <w:r>
        <w:rPr>
          <w:rFonts w:ascii="Times New Roman" w:hAnsi="Times New Roman"/>
          <w:position w:val="2"/>
          <w:sz w:val="20"/>
        </w:rPr>
        <w:t>number </w:t>
      </w:r>
      <w:r>
        <w:rPr>
          <w:rFonts w:ascii="Times New Roman" w:hAnsi="Times New Roman"/>
          <w:spacing w:val="-3"/>
          <w:position w:val="2"/>
          <w:sz w:val="20"/>
        </w:rPr>
        <w:t>of </w:t>
      </w:r>
      <w:r>
        <w:rPr>
          <w:rFonts w:ascii="Times New Roman" w:hAnsi="Times New Roman"/>
          <w:position w:val="2"/>
          <w:sz w:val="20"/>
        </w:rPr>
        <w:t>experimental entries </w:t>
      </w:r>
      <w:r>
        <w:rPr>
          <w:rFonts w:ascii="Times New Roman" w:hAnsi="Times New Roman"/>
          <w:spacing w:val="-4"/>
          <w:position w:val="2"/>
          <w:sz w:val="20"/>
        </w:rPr>
        <w:t>for </w:t>
      </w:r>
      <w:r>
        <w:rPr>
          <w:rFonts w:ascii="Times New Roman" w:hAnsi="Times New Roman"/>
          <w:position w:val="2"/>
          <w:sz w:val="20"/>
        </w:rPr>
        <w:t>condition c</w:t>
      </w:r>
      <w:r>
        <w:rPr>
          <w:rFonts w:ascii="Times New Roman" w:hAnsi="Times New Roman"/>
          <w:sz w:val="13"/>
        </w:rPr>
        <w:t>j </w:t>
      </w:r>
      <w:r>
        <w:rPr>
          <w:rFonts w:ascii="Times New Roman" w:hAnsi="Times New Roman"/>
          <w:position w:val="2"/>
          <w:sz w:val="20"/>
        </w:rPr>
        <w:t>and n</w:t>
      </w:r>
      <w:r>
        <w:rPr>
          <w:rFonts w:ascii="Times New Roman" w:hAnsi="Times New Roman"/>
          <w:sz w:val="13"/>
        </w:rPr>
        <w:t>total </w:t>
      </w:r>
      <w:r>
        <w:rPr>
          <w:rFonts w:ascii="Times New Roman" w:hAnsi="Times New Roman"/>
          <w:position w:val="2"/>
          <w:sz w:val="20"/>
        </w:rPr>
        <w:t>= 744 total number </w:t>
      </w:r>
      <w:r>
        <w:rPr>
          <w:rFonts w:ascii="Times New Roman" w:hAnsi="Times New Roman"/>
          <w:spacing w:val="-3"/>
          <w:position w:val="2"/>
          <w:sz w:val="20"/>
        </w:rPr>
        <w:t>of </w:t>
      </w:r>
      <w:r>
        <w:rPr>
          <w:rFonts w:ascii="Times New Roman" w:hAnsi="Times New Roman"/>
          <w:sz w:val="20"/>
        </w:rPr>
        <w:t>experimental</w:t>
      </w:r>
      <w:r>
        <w:rPr>
          <w:rFonts w:ascii="Times New Roman" w:hAnsi="Times New Roman"/>
          <w:spacing w:val="-3"/>
          <w:sz w:val="20"/>
        </w:rPr>
        <w:t> </w:t>
      </w:r>
      <w:r>
        <w:rPr>
          <w:rFonts w:ascii="Times New Roman" w:hAnsi="Times New Roman"/>
          <w:sz w:val="20"/>
        </w:rPr>
        <w:t>entries.</w:t>
      </w:r>
    </w:p>
    <w:p>
      <w:pPr>
        <w:pStyle w:val="BodyText"/>
        <w:spacing w:before="9"/>
        <w:rPr>
          <w:rFonts w:ascii="Times New Roman"/>
          <w:sz w:val="16"/>
        </w:rPr>
      </w:pPr>
    </w:p>
    <w:p>
      <w:pPr>
        <w:spacing w:before="0" w:after="6"/>
        <w:ind w:left="17" w:right="0" w:firstLine="0"/>
        <w:jc w:val="center"/>
        <w:rPr>
          <w:rFonts w:ascii="Times New Roman"/>
          <w:i/>
          <w:sz w:val="16"/>
        </w:rPr>
      </w:pPr>
      <w:r>
        <w:rPr>
          <w:rFonts w:ascii="Times New Roman"/>
          <w:b/>
          <w:sz w:val="24"/>
        </w:rPr>
        <w:t>Table 11. </w:t>
      </w:r>
      <w:r>
        <w:rPr>
          <w:rFonts w:ascii="Times New Roman"/>
          <w:sz w:val="24"/>
        </w:rPr>
        <w:t>Comparative study of PT-LFER </w:t>
      </w:r>
      <w:r>
        <w:rPr>
          <w:rFonts w:ascii="Times New Roman"/>
          <w:i/>
          <w:sz w:val="24"/>
        </w:rPr>
        <w:t>vs. </w:t>
      </w:r>
      <w:r>
        <w:rPr>
          <w:rFonts w:ascii="Times New Roman"/>
          <w:sz w:val="24"/>
        </w:rPr>
        <w:t>PT-NLFER models </w:t>
      </w:r>
      <w:r>
        <w:rPr>
          <w:rFonts w:ascii="Times New Roman"/>
          <w:i/>
          <w:position w:val="9"/>
          <w:sz w:val="16"/>
        </w:rPr>
        <w:t>a</w:t>
      </w:r>
    </w:p>
    <w:p>
      <w:pPr>
        <w:pStyle w:val="BodyText"/>
        <w:spacing w:line="29" w:lineRule="exact"/>
        <w:ind w:left="432"/>
        <w:rPr>
          <w:rFonts w:ascii="Times New Roman"/>
          <w:sz w:val="2"/>
        </w:rPr>
      </w:pPr>
      <w:r>
        <w:rPr>
          <w:rFonts w:ascii="Times New Roman"/>
          <w:position w:val="0"/>
          <w:sz w:val="2"/>
        </w:rPr>
        <w:pict>
          <v:group style="width:424.75pt;height:1.45pt;mso-position-horizontal-relative:char;mso-position-vertical-relative:line" coordorigin="0,0" coordsize="8495,29">
            <v:line style="position:absolute" from="15,15" to="615,15" stroked="true" strokeweight="1.44pt" strokecolor="#000000"/>
            <v:line style="position:absolute" from="615,15" to="643,15" stroked="true" strokeweight="1.44pt" strokecolor="#000000"/>
            <v:line style="position:absolute" from="643,15" to="2843,15" stroked="true" strokeweight="1.44pt" strokecolor="#000000"/>
            <v:line style="position:absolute" from="2843,15" to="2872,15" stroked="true" strokeweight="1.44pt" strokecolor="#000000"/>
            <v:line style="position:absolute" from="2872,15" to="8480,15" stroked="true" strokeweight="1.44pt" strokecolor="#000000"/>
          </v:group>
        </w:pict>
      </w:r>
      <w:r>
        <w:rPr>
          <w:rFonts w:ascii="Times New Roman"/>
          <w:position w:val="0"/>
          <w:sz w:val="2"/>
        </w:rPr>
      </w:r>
    </w:p>
    <w:p>
      <w:pPr>
        <w:spacing w:line="196" w:lineRule="exact" w:before="0"/>
        <w:ind w:left="4999" w:right="0" w:firstLine="0"/>
        <w:jc w:val="left"/>
        <w:rPr>
          <w:rFonts w:ascii="Times New Roman"/>
          <w:b/>
          <w:sz w:val="14"/>
        </w:rPr>
      </w:pPr>
      <w:r>
        <w:rPr>
          <w:rFonts w:ascii="Times New Roman"/>
          <w:b/>
          <w:sz w:val="22"/>
        </w:rPr>
        <w:t>Statistical Parameters </w:t>
      </w:r>
      <w:r>
        <w:rPr>
          <w:rFonts w:ascii="Times New Roman"/>
          <w:b/>
          <w:position w:val="10"/>
          <w:sz w:val="14"/>
        </w:rPr>
        <w:t>a</w:t>
      </w:r>
    </w:p>
    <w:p>
      <w:pPr>
        <w:tabs>
          <w:tab w:pos="1119" w:val="left" w:leader="none"/>
        </w:tabs>
        <w:spacing w:line="225" w:lineRule="exact" w:before="0"/>
        <w:ind w:left="519" w:right="0" w:firstLine="0"/>
        <w:jc w:val="left"/>
        <w:rPr>
          <w:rFonts w:ascii="Times New Roman"/>
          <w:b/>
          <w:sz w:val="22"/>
        </w:rPr>
      </w:pPr>
      <w:r>
        <w:rPr/>
        <w:pict>
          <v:shape style="position:absolute;margin-left:94.367996pt;margin-top:5.283608pt;width:423.3pt;height:222.8pt;mso-position-horizontal-relative:page;mso-position-vertical-relative:paragraph;z-index:57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3"/>
                    <w:gridCol w:w="2065"/>
                    <w:gridCol w:w="1724"/>
                    <w:gridCol w:w="1414"/>
                    <w:gridCol w:w="1405"/>
                    <w:gridCol w:w="1095"/>
                  </w:tblGrid>
                  <w:tr>
                    <w:trPr>
                      <w:trHeight w:val="302" w:hRule="exact"/>
                    </w:trPr>
                    <w:tc>
                      <w:tcPr>
                        <w:tcW w:w="2828" w:type="dxa"/>
                        <w:gridSpan w:val="2"/>
                        <w:tcBorders>
                          <w:bottom w:val="single" w:sz="4" w:space="0" w:color="000000"/>
                        </w:tcBorders>
                      </w:tcPr>
                      <w:p>
                        <w:pPr/>
                      </w:p>
                    </w:tc>
                    <w:tc>
                      <w:tcPr>
                        <w:tcW w:w="1724" w:type="dxa"/>
                        <w:tcBorders>
                          <w:top w:val="single" w:sz="4" w:space="0" w:color="000000"/>
                          <w:bottom w:val="single" w:sz="4" w:space="0" w:color="000000"/>
                        </w:tcBorders>
                      </w:tcPr>
                      <w:p>
                        <w:pPr>
                          <w:pStyle w:val="TableParagraph"/>
                          <w:spacing w:before="24"/>
                          <w:ind w:right="387"/>
                          <w:jc w:val="right"/>
                          <w:rPr>
                            <w:b/>
                            <w:sz w:val="20"/>
                          </w:rPr>
                        </w:pPr>
                        <w:r>
                          <w:rPr>
                            <w:b/>
                            <w:i/>
                            <w:sz w:val="20"/>
                          </w:rPr>
                          <w:t>TP </w:t>
                        </w:r>
                        <w:r>
                          <w:rPr>
                            <w:b/>
                            <w:sz w:val="20"/>
                          </w:rPr>
                          <w:t>(%)</w:t>
                        </w:r>
                      </w:p>
                    </w:tc>
                    <w:tc>
                      <w:tcPr>
                        <w:tcW w:w="1414" w:type="dxa"/>
                        <w:tcBorders>
                          <w:top w:val="single" w:sz="4" w:space="0" w:color="000000"/>
                          <w:bottom w:val="single" w:sz="4" w:space="0" w:color="000000"/>
                        </w:tcBorders>
                      </w:tcPr>
                      <w:p>
                        <w:pPr>
                          <w:pStyle w:val="TableParagraph"/>
                          <w:spacing w:before="24"/>
                          <w:ind w:right="379"/>
                          <w:jc w:val="right"/>
                          <w:rPr>
                            <w:b/>
                            <w:sz w:val="20"/>
                          </w:rPr>
                        </w:pPr>
                        <w:r>
                          <w:rPr>
                            <w:b/>
                            <w:i/>
                            <w:sz w:val="20"/>
                          </w:rPr>
                          <w:t>VP </w:t>
                        </w:r>
                        <w:r>
                          <w:rPr>
                            <w:b/>
                            <w:sz w:val="20"/>
                          </w:rPr>
                          <w:t>(%)</w:t>
                        </w:r>
                      </w:p>
                    </w:tc>
                    <w:tc>
                      <w:tcPr>
                        <w:tcW w:w="1405" w:type="dxa"/>
                        <w:tcBorders>
                          <w:top w:val="single" w:sz="4" w:space="0" w:color="000000"/>
                          <w:bottom w:val="single" w:sz="4" w:space="0" w:color="000000"/>
                        </w:tcBorders>
                      </w:tcPr>
                      <w:p>
                        <w:pPr>
                          <w:pStyle w:val="TableParagraph"/>
                          <w:spacing w:before="24"/>
                          <w:ind w:right="377"/>
                          <w:jc w:val="right"/>
                          <w:rPr>
                            <w:b/>
                            <w:sz w:val="20"/>
                          </w:rPr>
                        </w:pPr>
                        <w:r>
                          <w:rPr>
                            <w:b/>
                            <w:i/>
                            <w:sz w:val="20"/>
                          </w:rPr>
                          <w:t>TE </w:t>
                        </w:r>
                        <w:r>
                          <w:rPr>
                            <w:b/>
                            <w:sz w:val="20"/>
                          </w:rPr>
                          <w:t>(%)</w:t>
                        </w:r>
                      </w:p>
                    </w:tc>
                    <w:tc>
                      <w:tcPr>
                        <w:tcW w:w="1095" w:type="dxa"/>
                        <w:tcBorders>
                          <w:top w:val="single" w:sz="4" w:space="0" w:color="000000"/>
                          <w:bottom w:val="single" w:sz="4" w:space="0" w:color="000000"/>
                        </w:tcBorders>
                      </w:tcPr>
                      <w:p>
                        <w:pPr>
                          <w:pStyle w:val="TableParagraph"/>
                          <w:spacing w:before="24"/>
                          <w:ind w:right="60"/>
                          <w:jc w:val="right"/>
                          <w:rPr>
                            <w:b/>
                            <w:sz w:val="20"/>
                          </w:rPr>
                        </w:pPr>
                        <w:r>
                          <w:rPr>
                            <w:b/>
                            <w:i/>
                            <w:sz w:val="20"/>
                          </w:rPr>
                          <w:t>VE </w:t>
                        </w:r>
                        <w:r>
                          <w:rPr>
                            <w:b/>
                            <w:sz w:val="20"/>
                          </w:rPr>
                          <w:t>(%)</w:t>
                        </w:r>
                      </w:p>
                    </w:tc>
                  </w:tr>
                  <w:tr>
                    <w:trPr>
                      <w:trHeight w:val="296" w:hRule="exact"/>
                    </w:trPr>
                    <w:tc>
                      <w:tcPr>
                        <w:tcW w:w="763" w:type="dxa"/>
                        <w:tcBorders>
                          <w:top w:val="single" w:sz="4" w:space="0" w:color="000000"/>
                        </w:tcBorders>
                      </w:tcPr>
                      <w:p>
                        <w:pPr>
                          <w:pStyle w:val="TableParagraph"/>
                          <w:spacing w:before="19"/>
                          <w:ind w:left="72"/>
                          <w:rPr>
                            <w:sz w:val="20"/>
                          </w:rPr>
                        </w:pPr>
                        <w:r>
                          <w:rPr>
                            <w:w w:val="100"/>
                            <w:sz w:val="20"/>
                          </w:rPr>
                          <w:t>1</w:t>
                        </w:r>
                      </w:p>
                    </w:tc>
                    <w:tc>
                      <w:tcPr>
                        <w:tcW w:w="2065" w:type="dxa"/>
                        <w:tcBorders>
                          <w:top w:val="single" w:sz="4" w:space="0" w:color="000000"/>
                        </w:tcBorders>
                      </w:tcPr>
                      <w:p>
                        <w:pPr>
                          <w:pStyle w:val="TableParagraph"/>
                          <w:spacing w:before="19"/>
                          <w:ind w:right="60"/>
                          <w:jc w:val="right"/>
                          <w:rPr>
                            <w:sz w:val="20"/>
                          </w:rPr>
                        </w:pPr>
                        <w:r>
                          <w:rPr>
                            <w:sz w:val="20"/>
                          </w:rPr>
                          <w:t>MLP 10:10-9-1:1</w:t>
                        </w:r>
                      </w:p>
                    </w:tc>
                    <w:tc>
                      <w:tcPr>
                        <w:tcW w:w="1724" w:type="dxa"/>
                        <w:tcBorders>
                          <w:top w:val="single" w:sz="4" w:space="0" w:color="000000"/>
                        </w:tcBorders>
                      </w:tcPr>
                      <w:p>
                        <w:pPr>
                          <w:pStyle w:val="TableParagraph"/>
                          <w:spacing w:before="19"/>
                          <w:ind w:right="387"/>
                          <w:jc w:val="right"/>
                          <w:rPr>
                            <w:sz w:val="20"/>
                          </w:rPr>
                        </w:pPr>
                        <w:r>
                          <w:rPr>
                            <w:sz w:val="20"/>
                          </w:rPr>
                          <w:t>88.56</w:t>
                        </w:r>
                      </w:p>
                    </w:tc>
                    <w:tc>
                      <w:tcPr>
                        <w:tcW w:w="1414" w:type="dxa"/>
                        <w:tcBorders>
                          <w:top w:val="single" w:sz="4" w:space="0" w:color="000000"/>
                        </w:tcBorders>
                      </w:tcPr>
                      <w:p>
                        <w:pPr>
                          <w:pStyle w:val="TableParagraph"/>
                          <w:spacing w:before="19"/>
                          <w:ind w:right="380"/>
                          <w:jc w:val="right"/>
                          <w:rPr>
                            <w:sz w:val="20"/>
                          </w:rPr>
                        </w:pPr>
                        <w:r>
                          <w:rPr>
                            <w:sz w:val="20"/>
                          </w:rPr>
                          <w:t>88.44</w:t>
                        </w:r>
                      </w:p>
                    </w:tc>
                    <w:tc>
                      <w:tcPr>
                        <w:tcW w:w="1405" w:type="dxa"/>
                        <w:tcBorders>
                          <w:top w:val="single" w:sz="4" w:space="0" w:color="000000"/>
                        </w:tcBorders>
                      </w:tcPr>
                      <w:p>
                        <w:pPr>
                          <w:pStyle w:val="TableParagraph"/>
                          <w:spacing w:before="19"/>
                          <w:ind w:right="377"/>
                          <w:jc w:val="right"/>
                          <w:rPr>
                            <w:sz w:val="20"/>
                          </w:rPr>
                        </w:pPr>
                        <w:r>
                          <w:rPr>
                            <w:sz w:val="20"/>
                          </w:rPr>
                          <w:t>77.12</w:t>
                        </w:r>
                      </w:p>
                    </w:tc>
                    <w:tc>
                      <w:tcPr>
                        <w:tcW w:w="1095" w:type="dxa"/>
                        <w:tcBorders>
                          <w:top w:val="single" w:sz="4" w:space="0" w:color="000000"/>
                        </w:tcBorders>
                      </w:tcPr>
                      <w:p>
                        <w:pPr>
                          <w:pStyle w:val="TableParagraph"/>
                          <w:spacing w:before="19"/>
                          <w:ind w:right="61"/>
                          <w:jc w:val="right"/>
                          <w:rPr>
                            <w:sz w:val="20"/>
                          </w:rPr>
                        </w:pPr>
                        <w:r>
                          <w:rPr>
                            <w:sz w:val="20"/>
                          </w:rPr>
                          <w:t>77.45</w:t>
                        </w:r>
                      </w:p>
                    </w:tc>
                  </w:tr>
                  <w:tr>
                    <w:trPr>
                      <w:trHeight w:val="295" w:hRule="exact"/>
                    </w:trPr>
                    <w:tc>
                      <w:tcPr>
                        <w:tcW w:w="763" w:type="dxa"/>
                      </w:tcPr>
                      <w:p>
                        <w:pPr>
                          <w:pStyle w:val="TableParagraph"/>
                          <w:spacing w:before="21"/>
                          <w:ind w:left="72"/>
                          <w:rPr>
                            <w:sz w:val="20"/>
                          </w:rPr>
                        </w:pPr>
                        <w:r>
                          <w:rPr>
                            <w:w w:val="100"/>
                            <w:sz w:val="20"/>
                          </w:rPr>
                          <w:t>2</w:t>
                        </w:r>
                      </w:p>
                    </w:tc>
                    <w:tc>
                      <w:tcPr>
                        <w:tcW w:w="2065" w:type="dxa"/>
                      </w:tcPr>
                      <w:p>
                        <w:pPr>
                          <w:pStyle w:val="TableParagraph"/>
                          <w:spacing w:before="21"/>
                          <w:ind w:right="60"/>
                          <w:jc w:val="right"/>
                          <w:rPr>
                            <w:sz w:val="20"/>
                          </w:rPr>
                        </w:pPr>
                        <w:r>
                          <w:rPr>
                            <w:sz w:val="20"/>
                          </w:rPr>
                          <w:t>MLP 11:11-8-1:1</w:t>
                        </w:r>
                      </w:p>
                    </w:tc>
                    <w:tc>
                      <w:tcPr>
                        <w:tcW w:w="1724" w:type="dxa"/>
                      </w:tcPr>
                      <w:p>
                        <w:pPr>
                          <w:pStyle w:val="TableParagraph"/>
                          <w:spacing w:before="21"/>
                          <w:ind w:right="387"/>
                          <w:jc w:val="right"/>
                          <w:rPr>
                            <w:sz w:val="20"/>
                          </w:rPr>
                        </w:pPr>
                        <w:r>
                          <w:rPr>
                            <w:sz w:val="20"/>
                          </w:rPr>
                          <w:t>97.57</w:t>
                        </w:r>
                      </w:p>
                    </w:tc>
                    <w:tc>
                      <w:tcPr>
                        <w:tcW w:w="1414" w:type="dxa"/>
                      </w:tcPr>
                      <w:p>
                        <w:pPr>
                          <w:pStyle w:val="TableParagraph"/>
                          <w:spacing w:before="21"/>
                          <w:ind w:right="380"/>
                          <w:jc w:val="right"/>
                          <w:rPr>
                            <w:sz w:val="20"/>
                          </w:rPr>
                        </w:pPr>
                        <w:r>
                          <w:rPr>
                            <w:sz w:val="20"/>
                          </w:rPr>
                          <w:t>97.57</w:t>
                        </w:r>
                      </w:p>
                    </w:tc>
                    <w:tc>
                      <w:tcPr>
                        <w:tcW w:w="1405" w:type="dxa"/>
                      </w:tcPr>
                      <w:p>
                        <w:pPr>
                          <w:pStyle w:val="TableParagraph"/>
                          <w:spacing w:before="21"/>
                          <w:ind w:right="377"/>
                          <w:jc w:val="right"/>
                          <w:rPr>
                            <w:sz w:val="20"/>
                          </w:rPr>
                        </w:pPr>
                        <w:r>
                          <w:rPr>
                            <w:sz w:val="20"/>
                          </w:rPr>
                          <w:t>42.19</w:t>
                        </w:r>
                      </w:p>
                    </w:tc>
                    <w:tc>
                      <w:tcPr>
                        <w:tcW w:w="1095" w:type="dxa"/>
                      </w:tcPr>
                      <w:p>
                        <w:pPr>
                          <w:pStyle w:val="TableParagraph"/>
                          <w:spacing w:before="21"/>
                          <w:ind w:right="61"/>
                          <w:jc w:val="right"/>
                          <w:rPr>
                            <w:sz w:val="20"/>
                          </w:rPr>
                        </w:pPr>
                        <w:r>
                          <w:rPr>
                            <w:sz w:val="20"/>
                          </w:rPr>
                          <w:t>41.92</w:t>
                        </w:r>
                      </w:p>
                    </w:tc>
                  </w:tr>
                  <w:tr>
                    <w:trPr>
                      <w:trHeight w:val="295" w:hRule="exact"/>
                    </w:trPr>
                    <w:tc>
                      <w:tcPr>
                        <w:tcW w:w="763" w:type="dxa"/>
                      </w:tcPr>
                      <w:p>
                        <w:pPr>
                          <w:pStyle w:val="TableParagraph"/>
                          <w:spacing w:before="23"/>
                          <w:ind w:left="72"/>
                          <w:rPr>
                            <w:sz w:val="20"/>
                          </w:rPr>
                        </w:pPr>
                        <w:r>
                          <w:rPr>
                            <w:w w:val="100"/>
                            <w:sz w:val="20"/>
                          </w:rPr>
                          <w:t>3</w:t>
                        </w:r>
                      </w:p>
                    </w:tc>
                    <w:tc>
                      <w:tcPr>
                        <w:tcW w:w="2065" w:type="dxa"/>
                      </w:tcPr>
                      <w:p>
                        <w:pPr>
                          <w:pStyle w:val="TableParagraph"/>
                          <w:spacing w:before="23"/>
                          <w:ind w:right="60"/>
                          <w:jc w:val="right"/>
                          <w:rPr>
                            <w:sz w:val="20"/>
                          </w:rPr>
                        </w:pPr>
                        <w:r>
                          <w:rPr>
                            <w:sz w:val="20"/>
                          </w:rPr>
                          <w:t>MLP 14:14-10-1:1</w:t>
                        </w:r>
                      </w:p>
                    </w:tc>
                    <w:tc>
                      <w:tcPr>
                        <w:tcW w:w="1724" w:type="dxa"/>
                      </w:tcPr>
                      <w:p>
                        <w:pPr>
                          <w:pStyle w:val="TableParagraph"/>
                          <w:spacing w:before="23"/>
                          <w:ind w:right="388"/>
                          <w:jc w:val="right"/>
                          <w:rPr>
                            <w:sz w:val="20"/>
                          </w:rPr>
                        </w:pPr>
                        <w:r>
                          <w:rPr>
                            <w:sz w:val="20"/>
                          </w:rPr>
                          <w:t>98.44</w:t>
                        </w:r>
                      </w:p>
                    </w:tc>
                    <w:tc>
                      <w:tcPr>
                        <w:tcW w:w="1414" w:type="dxa"/>
                      </w:tcPr>
                      <w:p>
                        <w:pPr>
                          <w:pStyle w:val="TableParagraph"/>
                          <w:spacing w:before="23"/>
                          <w:ind w:right="380"/>
                          <w:jc w:val="right"/>
                          <w:rPr>
                            <w:sz w:val="20"/>
                          </w:rPr>
                        </w:pPr>
                        <w:r>
                          <w:rPr>
                            <w:sz w:val="20"/>
                          </w:rPr>
                          <w:t>98.43</w:t>
                        </w:r>
                      </w:p>
                    </w:tc>
                    <w:tc>
                      <w:tcPr>
                        <w:tcW w:w="1405" w:type="dxa"/>
                      </w:tcPr>
                      <w:p>
                        <w:pPr>
                          <w:pStyle w:val="TableParagraph"/>
                          <w:spacing w:before="23"/>
                          <w:ind w:right="377"/>
                          <w:jc w:val="right"/>
                          <w:rPr>
                            <w:sz w:val="20"/>
                          </w:rPr>
                        </w:pPr>
                        <w:r>
                          <w:rPr>
                            <w:sz w:val="20"/>
                          </w:rPr>
                          <w:t>35.54</w:t>
                        </w:r>
                      </w:p>
                    </w:tc>
                    <w:tc>
                      <w:tcPr>
                        <w:tcW w:w="1095" w:type="dxa"/>
                      </w:tcPr>
                      <w:p>
                        <w:pPr>
                          <w:pStyle w:val="TableParagraph"/>
                          <w:spacing w:before="23"/>
                          <w:ind w:right="61"/>
                          <w:jc w:val="right"/>
                          <w:rPr>
                            <w:sz w:val="20"/>
                          </w:rPr>
                        </w:pPr>
                        <w:r>
                          <w:rPr>
                            <w:sz w:val="20"/>
                          </w:rPr>
                          <w:t>35.48</w:t>
                        </w:r>
                      </w:p>
                    </w:tc>
                  </w:tr>
                  <w:tr>
                    <w:trPr>
                      <w:trHeight w:val="293" w:hRule="exact"/>
                    </w:trPr>
                    <w:tc>
                      <w:tcPr>
                        <w:tcW w:w="763" w:type="dxa"/>
                      </w:tcPr>
                      <w:p>
                        <w:pPr>
                          <w:pStyle w:val="TableParagraph"/>
                          <w:spacing w:before="21"/>
                          <w:ind w:left="72"/>
                          <w:rPr>
                            <w:sz w:val="20"/>
                          </w:rPr>
                        </w:pPr>
                        <w:r>
                          <w:rPr>
                            <w:w w:val="100"/>
                            <w:sz w:val="20"/>
                          </w:rPr>
                          <w:t>4</w:t>
                        </w:r>
                      </w:p>
                    </w:tc>
                    <w:tc>
                      <w:tcPr>
                        <w:tcW w:w="2065" w:type="dxa"/>
                      </w:tcPr>
                      <w:p>
                        <w:pPr>
                          <w:pStyle w:val="TableParagraph"/>
                          <w:spacing w:before="21"/>
                          <w:ind w:right="60"/>
                          <w:jc w:val="right"/>
                          <w:rPr>
                            <w:sz w:val="20"/>
                          </w:rPr>
                        </w:pPr>
                        <w:r>
                          <w:rPr>
                            <w:sz w:val="20"/>
                          </w:rPr>
                          <w:t>MLP 14:14-14-1:1</w:t>
                        </w:r>
                      </w:p>
                    </w:tc>
                    <w:tc>
                      <w:tcPr>
                        <w:tcW w:w="1724" w:type="dxa"/>
                      </w:tcPr>
                      <w:p>
                        <w:pPr>
                          <w:pStyle w:val="TableParagraph"/>
                          <w:spacing w:before="21"/>
                          <w:ind w:right="387"/>
                          <w:jc w:val="right"/>
                          <w:rPr>
                            <w:sz w:val="20"/>
                          </w:rPr>
                        </w:pPr>
                        <w:r>
                          <w:rPr>
                            <w:sz w:val="20"/>
                          </w:rPr>
                          <w:t>98.97</w:t>
                        </w:r>
                      </w:p>
                    </w:tc>
                    <w:tc>
                      <w:tcPr>
                        <w:tcW w:w="1414" w:type="dxa"/>
                      </w:tcPr>
                      <w:p>
                        <w:pPr>
                          <w:pStyle w:val="TableParagraph"/>
                          <w:spacing w:before="21"/>
                          <w:ind w:right="380"/>
                          <w:jc w:val="right"/>
                          <w:rPr>
                            <w:sz w:val="20"/>
                          </w:rPr>
                        </w:pPr>
                        <w:r>
                          <w:rPr>
                            <w:sz w:val="20"/>
                          </w:rPr>
                          <w:t>98.95</w:t>
                        </w:r>
                      </w:p>
                    </w:tc>
                    <w:tc>
                      <w:tcPr>
                        <w:tcW w:w="1405" w:type="dxa"/>
                      </w:tcPr>
                      <w:p>
                        <w:pPr>
                          <w:pStyle w:val="TableParagraph"/>
                          <w:spacing w:before="21"/>
                          <w:ind w:right="377"/>
                          <w:jc w:val="right"/>
                          <w:rPr>
                            <w:sz w:val="20"/>
                          </w:rPr>
                        </w:pPr>
                        <w:r>
                          <w:rPr>
                            <w:sz w:val="20"/>
                          </w:rPr>
                          <w:t>32.06</w:t>
                        </w:r>
                      </w:p>
                    </w:tc>
                    <w:tc>
                      <w:tcPr>
                        <w:tcW w:w="1095" w:type="dxa"/>
                      </w:tcPr>
                      <w:p>
                        <w:pPr>
                          <w:pStyle w:val="TableParagraph"/>
                          <w:spacing w:before="21"/>
                          <w:ind w:right="61"/>
                          <w:jc w:val="right"/>
                          <w:rPr>
                            <w:sz w:val="20"/>
                          </w:rPr>
                        </w:pPr>
                        <w:r>
                          <w:rPr>
                            <w:sz w:val="20"/>
                          </w:rPr>
                          <w:t>31.58</w:t>
                        </w:r>
                      </w:p>
                    </w:tc>
                  </w:tr>
                  <w:tr>
                    <w:trPr>
                      <w:trHeight w:val="293" w:hRule="exact"/>
                    </w:trPr>
                    <w:tc>
                      <w:tcPr>
                        <w:tcW w:w="763" w:type="dxa"/>
                      </w:tcPr>
                      <w:p>
                        <w:pPr>
                          <w:pStyle w:val="TableParagraph"/>
                          <w:spacing w:before="21"/>
                          <w:ind w:left="72"/>
                          <w:rPr>
                            <w:sz w:val="20"/>
                          </w:rPr>
                        </w:pPr>
                        <w:r>
                          <w:rPr>
                            <w:w w:val="100"/>
                            <w:sz w:val="20"/>
                          </w:rPr>
                          <w:t>5</w:t>
                        </w:r>
                      </w:p>
                    </w:tc>
                    <w:tc>
                      <w:tcPr>
                        <w:tcW w:w="2065" w:type="dxa"/>
                      </w:tcPr>
                      <w:p>
                        <w:pPr>
                          <w:pStyle w:val="TableParagraph"/>
                          <w:spacing w:before="21"/>
                          <w:ind w:right="60"/>
                          <w:jc w:val="right"/>
                          <w:rPr>
                            <w:sz w:val="20"/>
                          </w:rPr>
                        </w:pPr>
                        <w:r>
                          <w:rPr>
                            <w:sz w:val="20"/>
                          </w:rPr>
                          <w:t>MLP 15:15-10-1:1</w:t>
                        </w:r>
                      </w:p>
                    </w:tc>
                    <w:tc>
                      <w:tcPr>
                        <w:tcW w:w="1724" w:type="dxa"/>
                      </w:tcPr>
                      <w:p>
                        <w:pPr>
                          <w:pStyle w:val="TableParagraph"/>
                          <w:spacing w:before="21"/>
                          <w:ind w:right="387"/>
                          <w:jc w:val="right"/>
                          <w:rPr>
                            <w:sz w:val="20"/>
                          </w:rPr>
                        </w:pPr>
                        <w:r>
                          <w:rPr>
                            <w:sz w:val="20"/>
                          </w:rPr>
                          <w:t>98.86</w:t>
                        </w:r>
                      </w:p>
                    </w:tc>
                    <w:tc>
                      <w:tcPr>
                        <w:tcW w:w="1414" w:type="dxa"/>
                      </w:tcPr>
                      <w:p>
                        <w:pPr>
                          <w:pStyle w:val="TableParagraph"/>
                          <w:spacing w:before="21"/>
                          <w:ind w:right="380"/>
                          <w:jc w:val="right"/>
                          <w:rPr>
                            <w:sz w:val="20"/>
                          </w:rPr>
                        </w:pPr>
                        <w:r>
                          <w:rPr>
                            <w:sz w:val="20"/>
                          </w:rPr>
                          <w:t>98.80</w:t>
                        </w:r>
                      </w:p>
                    </w:tc>
                    <w:tc>
                      <w:tcPr>
                        <w:tcW w:w="1405" w:type="dxa"/>
                      </w:tcPr>
                      <w:p>
                        <w:pPr>
                          <w:pStyle w:val="TableParagraph"/>
                          <w:spacing w:before="21"/>
                          <w:ind w:right="377"/>
                          <w:jc w:val="right"/>
                          <w:rPr>
                            <w:sz w:val="20"/>
                          </w:rPr>
                        </w:pPr>
                        <w:r>
                          <w:rPr>
                            <w:sz w:val="20"/>
                          </w:rPr>
                          <w:t>30.24</w:t>
                        </w:r>
                      </w:p>
                    </w:tc>
                    <w:tc>
                      <w:tcPr>
                        <w:tcW w:w="1095" w:type="dxa"/>
                      </w:tcPr>
                      <w:p>
                        <w:pPr>
                          <w:pStyle w:val="TableParagraph"/>
                          <w:spacing w:before="21"/>
                          <w:ind w:right="61"/>
                          <w:jc w:val="right"/>
                          <w:rPr>
                            <w:sz w:val="20"/>
                          </w:rPr>
                        </w:pPr>
                        <w:r>
                          <w:rPr>
                            <w:sz w:val="20"/>
                          </w:rPr>
                          <w:t>30.44</w:t>
                        </w:r>
                      </w:p>
                    </w:tc>
                  </w:tr>
                  <w:tr>
                    <w:trPr>
                      <w:trHeight w:val="293" w:hRule="exact"/>
                    </w:trPr>
                    <w:tc>
                      <w:tcPr>
                        <w:tcW w:w="763" w:type="dxa"/>
                      </w:tcPr>
                      <w:p>
                        <w:pPr>
                          <w:pStyle w:val="TableParagraph"/>
                          <w:spacing w:before="21"/>
                          <w:ind w:left="72"/>
                          <w:rPr>
                            <w:sz w:val="20"/>
                          </w:rPr>
                        </w:pPr>
                        <w:r>
                          <w:rPr>
                            <w:w w:val="100"/>
                            <w:sz w:val="20"/>
                          </w:rPr>
                          <w:t>6</w:t>
                        </w:r>
                      </w:p>
                    </w:tc>
                    <w:tc>
                      <w:tcPr>
                        <w:tcW w:w="2065" w:type="dxa"/>
                      </w:tcPr>
                      <w:p>
                        <w:pPr>
                          <w:pStyle w:val="TableParagraph"/>
                          <w:spacing w:before="21"/>
                          <w:ind w:right="60"/>
                          <w:jc w:val="right"/>
                          <w:rPr>
                            <w:sz w:val="20"/>
                          </w:rPr>
                        </w:pPr>
                        <w:r>
                          <w:rPr>
                            <w:sz w:val="20"/>
                          </w:rPr>
                          <w:t>MLP 15:15-12-1:1</w:t>
                        </w:r>
                      </w:p>
                    </w:tc>
                    <w:tc>
                      <w:tcPr>
                        <w:tcW w:w="1724" w:type="dxa"/>
                      </w:tcPr>
                      <w:p>
                        <w:pPr>
                          <w:pStyle w:val="TableParagraph"/>
                          <w:spacing w:before="21"/>
                          <w:ind w:right="387"/>
                          <w:jc w:val="right"/>
                          <w:rPr>
                            <w:sz w:val="20"/>
                          </w:rPr>
                        </w:pPr>
                        <w:r>
                          <w:rPr>
                            <w:sz w:val="20"/>
                          </w:rPr>
                          <w:t>99.27</w:t>
                        </w:r>
                      </w:p>
                    </w:tc>
                    <w:tc>
                      <w:tcPr>
                        <w:tcW w:w="1414" w:type="dxa"/>
                      </w:tcPr>
                      <w:p>
                        <w:pPr>
                          <w:pStyle w:val="TableParagraph"/>
                          <w:spacing w:before="21"/>
                          <w:ind w:right="380"/>
                          <w:jc w:val="right"/>
                          <w:rPr>
                            <w:sz w:val="20"/>
                          </w:rPr>
                        </w:pPr>
                        <w:r>
                          <w:rPr>
                            <w:sz w:val="20"/>
                          </w:rPr>
                          <w:t>99.25</w:t>
                        </w:r>
                      </w:p>
                    </w:tc>
                    <w:tc>
                      <w:tcPr>
                        <w:tcW w:w="1405" w:type="dxa"/>
                      </w:tcPr>
                      <w:p>
                        <w:pPr>
                          <w:pStyle w:val="TableParagraph"/>
                          <w:spacing w:before="21"/>
                          <w:ind w:right="377"/>
                          <w:jc w:val="right"/>
                          <w:rPr>
                            <w:sz w:val="20"/>
                          </w:rPr>
                        </w:pPr>
                        <w:r>
                          <w:rPr>
                            <w:sz w:val="20"/>
                          </w:rPr>
                          <w:t>24.16</w:t>
                        </w:r>
                      </w:p>
                    </w:tc>
                    <w:tc>
                      <w:tcPr>
                        <w:tcW w:w="1095" w:type="dxa"/>
                      </w:tcPr>
                      <w:p>
                        <w:pPr>
                          <w:pStyle w:val="TableParagraph"/>
                          <w:spacing w:before="21"/>
                          <w:ind w:right="61"/>
                          <w:jc w:val="right"/>
                          <w:rPr>
                            <w:sz w:val="20"/>
                          </w:rPr>
                        </w:pPr>
                        <w:r>
                          <w:rPr>
                            <w:sz w:val="20"/>
                          </w:rPr>
                          <w:t>24.31</w:t>
                        </w:r>
                      </w:p>
                    </w:tc>
                  </w:tr>
                  <w:tr>
                    <w:trPr>
                      <w:trHeight w:val="293" w:hRule="exact"/>
                    </w:trPr>
                    <w:tc>
                      <w:tcPr>
                        <w:tcW w:w="763" w:type="dxa"/>
                      </w:tcPr>
                      <w:p>
                        <w:pPr>
                          <w:pStyle w:val="TableParagraph"/>
                          <w:spacing w:before="21"/>
                          <w:ind w:left="72"/>
                          <w:rPr>
                            <w:sz w:val="20"/>
                          </w:rPr>
                        </w:pPr>
                        <w:r>
                          <w:rPr>
                            <w:w w:val="100"/>
                            <w:sz w:val="20"/>
                          </w:rPr>
                          <w:t>7</w:t>
                        </w:r>
                      </w:p>
                    </w:tc>
                    <w:tc>
                      <w:tcPr>
                        <w:tcW w:w="2065" w:type="dxa"/>
                      </w:tcPr>
                      <w:p>
                        <w:pPr>
                          <w:pStyle w:val="TableParagraph"/>
                          <w:spacing w:before="21"/>
                          <w:ind w:right="60"/>
                          <w:jc w:val="right"/>
                          <w:rPr>
                            <w:sz w:val="20"/>
                          </w:rPr>
                        </w:pPr>
                        <w:r>
                          <w:rPr>
                            <w:sz w:val="20"/>
                          </w:rPr>
                          <w:t>MLP 16:16-11-1:1</w:t>
                        </w:r>
                      </w:p>
                    </w:tc>
                    <w:tc>
                      <w:tcPr>
                        <w:tcW w:w="1724" w:type="dxa"/>
                      </w:tcPr>
                      <w:p>
                        <w:pPr>
                          <w:pStyle w:val="TableParagraph"/>
                          <w:spacing w:before="21"/>
                          <w:ind w:right="387"/>
                          <w:jc w:val="right"/>
                          <w:rPr>
                            <w:sz w:val="20"/>
                          </w:rPr>
                        </w:pPr>
                        <w:r>
                          <w:rPr>
                            <w:sz w:val="20"/>
                          </w:rPr>
                          <w:t>99.03</w:t>
                        </w:r>
                      </w:p>
                    </w:tc>
                    <w:tc>
                      <w:tcPr>
                        <w:tcW w:w="1414" w:type="dxa"/>
                      </w:tcPr>
                      <w:p>
                        <w:pPr>
                          <w:pStyle w:val="TableParagraph"/>
                          <w:spacing w:before="21"/>
                          <w:ind w:right="380"/>
                          <w:jc w:val="right"/>
                          <w:rPr>
                            <w:sz w:val="20"/>
                          </w:rPr>
                        </w:pPr>
                        <w:r>
                          <w:rPr>
                            <w:sz w:val="20"/>
                          </w:rPr>
                          <w:t>99.03</w:t>
                        </w:r>
                      </w:p>
                    </w:tc>
                    <w:tc>
                      <w:tcPr>
                        <w:tcW w:w="1405" w:type="dxa"/>
                      </w:tcPr>
                      <w:p>
                        <w:pPr>
                          <w:pStyle w:val="TableParagraph"/>
                          <w:spacing w:before="21"/>
                          <w:ind w:right="377"/>
                          <w:jc w:val="right"/>
                          <w:rPr>
                            <w:sz w:val="20"/>
                          </w:rPr>
                        </w:pPr>
                        <w:r>
                          <w:rPr>
                            <w:sz w:val="20"/>
                          </w:rPr>
                          <w:t>27.11</w:t>
                        </w:r>
                      </w:p>
                    </w:tc>
                    <w:tc>
                      <w:tcPr>
                        <w:tcW w:w="1095" w:type="dxa"/>
                      </w:tcPr>
                      <w:p>
                        <w:pPr>
                          <w:pStyle w:val="TableParagraph"/>
                          <w:spacing w:before="21"/>
                          <w:ind w:right="61"/>
                          <w:jc w:val="right"/>
                          <w:rPr>
                            <w:sz w:val="20"/>
                          </w:rPr>
                        </w:pPr>
                        <w:r>
                          <w:rPr>
                            <w:sz w:val="20"/>
                          </w:rPr>
                          <w:t>27.16</w:t>
                        </w:r>
                      </w:p>
                    </w:tc>
                  </w:tr>
                  <w:tr>
                    <w:trPr>
                      <w:trHeight w:val="293" w:hRule="exact"/>
                    </w:trPr>
                    <w:tc>
                      <w:tcPr>
                        <w:tcW w:w="763" w:type="dxa"/>
                      </w:tcPr>
                      <w:p>
                        <w:pPr>
                          <w:pStyle w:val="TableParagraph"/>
                          <w:spacing w:before="21"/>
                          <w:ind w:left="72"/>
                          <w:rPr>
                            <w:sz w:val="20"/>
                          </w:rPr>
                        </w:pPr>
                        <w:r>
                          <w:rPr>
                            <w:w w:val="100"/>
                            <w:sz w:val="20"/>
                          </w:rPr>
                          <w:t>8</w:t>
                        </w:r>
                      </w:p>
                    </w:tc>
                    <w:tc>
                      <w:tcPr>
                        <w:tcW w:w="2065" w:type="dxa"/>
                      </w:tcPr>
                      <w:p>
                        <w:pPr>
                          <w:pStyle w:val="TableParagraph"/>
                          <w:spacing w:before="21"/>
                          <w:ind w:right="60"/>
                          <w:jc w:val="right"/>
                          <w:rPr>
                            <w:sz w:val="20"/>
                          </w:rPr>
                        </w:pPr>
                        <w:r>
                          <w:rPr>
                            <w:sz w:val="20"/>
                          </w:rPr>
                          <w:t>MLP 16:16-13-1:1</w:t>
                        </w:r>
                      </w:p>
                    </w:tc>
                    <w:tc>
                      <w:tcPr>
                        <w:tcW w:w="1724" w:type="dxa"/>
                      </w:tcPr>
                      <w:p>
                        <w:pPr>
                          <w:pStyle w:val="TableParagraph"/>
                          <w:spacing w:before="21"/>
                          <w:ind w:right="387"/>
                          <w:jc w:val="right"/>
                          <w:rPr>
                            <w:sz w:val="20"/>
                          </w:rPr>
                        </w:pPr>
                        <w:r>
                          <w:rPr>
                            <w:sz w:val="20"/>
                          </w:rPr>
                          <w:t>99.37</w:t>
                        </w:r>
                      </w:p>
                    </w:tc>
                    <w:tc>
                      <w:tcPr>
                        <w:tcW w:w="1414" w:type="dxa"/>
                      </w:tcPr>
                      <w:p>
                        <w:pPr>
                          <w:pStyle w:val="TableParagraph"/>
                          <w:spacing w:before="21"/>
                          <w:ind w:right="380"/>
                          <w:jc w:val="right"/>
                          <w:rPr>
                            <w:sz w:val="20"/>
                          </w:rPr>
                        </w:pPr>
                        <w:r>
                          <w:rPr>
                            <w:sz w:val="20"/>
                          </w:rPr>
                          <w:t>99.34</w:t>
                        </w:r>
                      </w:p>
                    </w:tc>
                    <w:tc>
                      <w:tcPr>
                        <w:tcW w:w="1405" w:type="dxa"/>
                      </w:tcPr>
                      <w:p>
                        <w:pPr>
                          <w:pStyle w:val="TableParagraph"/>
                          <w:spacing w:before="21"/>
                          <w:ind w:right="377"/>
                          <w:jc w:val="right"/>
                          <w:rPr>
                            <w:sz w:val="20"/>
                          </w:rPr>
                        </w:pPr>
                        <w:r>
                          <w:rPr>
                            <w:sz w:val="20"/>
                          </w:rPr>
                          <w:t>22.33</w:t>
                        </w:r>
                      </w:p>
                    </w:tc>
                    <w:tc>
                      <w:tcPr>
                        <w:tcW w:w="1095" w:type="dxa"/>
                      </w:tcPr>
                      <w:p>
                        <w:pPr>
                          <w:pStyle w:val="TableParagraph"/>
                          <w:spacing w:before="21"/>
                          <w:ind w:right="61"/>
                          <w:jc w:val="right"/>
                          <w:rPr>
                            <w:sz w:val="20"/>
                          </w:rPr>
                        </w:pPr>
                        <w:r>
                          <w:rPr>
                            <w:sz w:val="20"/>
                          </w:rPr>
                          <w:t>21.99</w:t>
                        </w:r>
                      </w:p>
                    </w:tc>
                  </w:tr>
                  <w:tr>
                    <w:trPr>
                      <w:trHeight w:val="293" w:hRule="exact"/>
                    </w:trPr>
                    <w:tc>
                      <w:tcPr>
                        <w:tcW w:w="763" w:type="dxa"/>
                      </w:tcPr>
                      <w:p>
                        <w:pPr>
                          <w:pStyle w:val="TableParagraph"/>
                          <w:spacing w:before="21"/>
                          <w:ind w:left="72"/>
                          <w:rPr>
                            <w:sz w:val="20"/>
                          </w:rPr>
                        </w:pPr>
                        <w:r>
                          <w:rPr>
                            <w:w w:val="100"/>
                            <w:sz w:val="20"/>
                          </w:rPr>
                          <w:t>9</w:t>
                        </w:r>
                      </w:p>
                    </w:tc>
                    <w:tc>
                      <w:tcPr>
                        <w:tcW w:w="2065" w:type="dxa"/>
                      </w:tcPr>
                      <w:p>
                        <w:pPr>
                          <w:pStyle w:val="TableParagraph"/>
                          <w:spacing w:before="21"/>
                          <w:ind w:right="60"/>
                          <w:jc w:val="right"/>
                          <w:rPr>
                            <w:sz w:val="20"/>
                          </w:rPr>
                        </w:pPr>
                        <w:r>
                          <w:rPr>
                            <w:sz w:val="20"/>
                          </w:rPr>
                          <w:t>MLP 17:17-12-1:1</w:t>
                        </w:r>
                      </w:p>
                    </w:tc>
                    <w:tc>
                      <w:tcPr>
                        <w:tcW w:w="1724" w:type="dxa"/>
                      </w:tcPr>
                      <w:p>
                        <w:pPr>
                          <w:pStyle w:val="TableParagraph"/>
                          <w:spacing w:before="21"/>
                          <w:ind w:right="387"/>
                          <w:jc w:val="right"/>
                          <w:rPr>
                            <w:sz w:val="20"/>
                          </w:rPr>
                        </w:pPr>
                        <w:r>
                          <w:rPr>
                            <w:sz w:val="20"/>
                          </w:rPr>
                          <w:t>99.30</w:t>
                        </w:r>
                      </w:p>
                    </w:tc>
                    <w:tc>
                      <w:tcPr>
                        <w:tcW w:w="1414" w:type="dxa"/>
                      </w:tcPr>
                      <w:p>
                        <w:pPr>
                          <w:pStyle w:val="TableParagraph"/>
                          <w:spacing w:before="21"/>
                          <w:ind w:right="380"/>
                          <w:jc w:val="right"/>
                          <w:rPr>
                            <w:sz w:val="20"/>
                          </w:rPr>
                        </w:pPr>
                        <w:r>
                          <w:rPr>
                            <w:sz w:val="20"/>
                          </w:rPr>
                          <w:t>99.26</w:t>
                        </w:r>
                      </w:p>
                    </w:tc>
                    <w:tc>
                      <w:tcPr>
                        <w:tcW w:w="1405" w:type="dxa"/>
                      </w:tcPr>
                      <w:p>
                        <w:pPr>
                          <w:pStyle w:val="TableParagraph"/>
                          <w:spacing w:before="21"/>
                          <w:ind w:right="377"/>
                          <w:jc w:val="right"/>
                          <w:rPr>
                            <w:sz w:val="20"/>
                          </w:rPr>
                        </w:pPr>
                        <w:r>
                          <w:rPr>
                            <w:sz w:val="20"/>
                          </w:rPr>
                          <w:t>19.07</w:t>
                        </w:r>
                      </w:p>
                    </w:tc>
                    <w:tc>
                      <w:tcPr>
                        <w:tcW w:w="1095" w:type="dxa"/>
                      </w:tcPr>
                      <w:p>
                        <w:pPr>
                          <w:pStyle w:val="TableParagraph"/>
                          <w:spacing w:before="21"/>
                          <w:ind w:right="61"/>
                          <w:jc w:val="right"/>
                          <w:rPr>
                            <w:sz w:val="20"/>
                          </w:rPr>
                        </w:pPr>
                        <w:r>
                          <w:rPr>
                            <w:sz w:val="20"/>
                          </w:rPr>
                          <w:t>19.99</w:t>
                        </w:r>
                      </w:p>
                    </w:tc>
                  </w:tr>
                  <w:tr>
                    <w:trPr>
                      <w:trHeight w:val="293" w:hRule="exact"/>
                    </w:trPr>
                    <w:tc>
                      <w:tcPr>
                        <w:tcW w:w="763" w:type="dxa"/>
                      </w:tcPr>
                      <w:p>
                        <w:pPr>
                          <w:pStyle w:val="TableParagraph"/>
                          <w:spacing w:before="21"/>
                          <w:ind w:left="72"/>
                          <w:rPr>
                            <w:sz w:val="20"/>
                          </w:rPr>
                        </w:pPr>
                        <w:r>
                          <w:rPr>
                            <w:sz w:val="20"/>
                          </w:rPr>
                          <w:t>10</w:t>
                        </w:r>
                      </w:p>
                    </w:tc>
                    <w:tc>
                      <w:tcPr>
                        <w:tcW w:w="2065" w:type="dxa"/>
                      </w:tcPr>
                      <w:p>
                        <w:pPr>
                          <w:pStyle w:val="TableParagraph"/>
                          <w:spacing w:before="21"/>
                          <w:ind w:right="60"/>
                          <w:jc w:val="right"/>
                          <w:rPr>
                            <w:sz w:val="20"/>
                          </w:rPr>
                        </w:pPr>
                        <w:r>
                          <w:rPr>
                            <w:sz w:val="20"/>
                          </w:rPr>
                          <w:t>MLP 17:17-13-1:1</w:t>
                        </w:r>
                      </w:p>
                    </w:tc>
                    <w:tc>
                      <w:tcPr>
                        <w:tcW w:w="1724" w:type="dxa"/>
                      </w:tcPr>
                      <w:p>
                        <w:pPr>
                          <w:pStyle w:val="TableParagraph"/>
                          <w:spacing w:before="21"/>
                          <w:ind w:right="387"/>
                          <w:jc w:val="right"/>
                          <w:rPr>
                            <w:sz w:val="20"/>
                          </w:rPr>
                        </w:pPr>
                        <w:r>
                          <w:rPr>
                            <w:sz w:val="20"/>
                          </w:rPr>
                          <w:t>99.55</w:t>
                        </w:r>
                      </w:p>
                    </w:tc>
                    <w:tc>
                      <w:tcPr>
                        <w:tcW w:w="1414" w:type="dxa"/>
                      </w:tcPr>
                      <w:p>
                        <w:pPr>
                          <w:pStyle w:val="TableParagraph"/>
                          <w:spacing w:before="21"/>
                          <w:ind w:right="380"/>
                          <w:jc w:val="right"/>
                          <w:rPr>
                            <w:sz w:val="20"/>
                          </w:rPr>
                        </w:pPr>
                        <w:r>
                          <w:rPr>
                            <w:sz w:val="20"/>
                          </w:rPr>
                          <w:t>99.53</w:t>
                        </w:r>
                      </w:p>
                    </w:tc>
                    <w:tc>
                      <w:tcPr>
                        <w:tcW w:w="1405" w:type="dxa"/>
                      </w:tcPr>
                      <w:p>
                        <w:pPr>
                          <w:pStyle w:val="TableParagraph"/>
                          <w:spacing w:before="21"/>
                          <w:ind w:right="377"/>
                          <w:jc w:val="right"/>
                          <w:rPr>
                            <w:sz w:val="20"/>
                          </w:rPr>
                        </w:pPr>
                        <w:r>
                          <w:rPr>
                            <w:sz w:val="20"/>
                          </w:rPr>
                          <w:t>16.73</w:t>
                        </w:r>
                      </w:p>
                    </w:tc>
                    <w:tc>
                      <w:tcPr>
                        <w:tcW w:w="1095" w:type="dxa"/>
                      </w:tcPr>
                      <w:p>
                        <w:pPr>
                          <w:pStyle w:val="TableParagraph"/>
                          <w:spacing w:before="21"/>
                          <w:ind w:right="61"/>
                          <w:jc w:val="right"/>
                          <w:rPr>
                            <w:sz w:val="20"/>
                          </w:rPr>
                        </w:pPr>
                        <w:r>
                          <w:rPr>
                            <w:sz w:val="20"/>
                          </w:rPr>
                          <w:t>17.20</w:t>
                        </w:r>
                      </w:p>
                    </w:tc>
                  </w:tr>
                  <w:tr>
                    <w:trPr>
                      <w:trHeight w:val="293" w:hRule="exact"/>
                    </w:trPr>
                    <w:tc>
                      <w:tcPr>
                        <w:tcW w:w="763" w:type="dxa"/>
                      </w:tcPr>
                      <w:p>
                        <w:pPr>
                          <w:pStyle w:val="TableParagraph"/>
                          <w:spacing w:before="21"/>
                          <w:ind w:left="72"/>
                          <w:rPr>
                            <w:sz w:val="20"/>
                          </w:rPr>
                        </w:pPr>
                        <w:r>
                          <w:rPr>
                            <w:sz w:val="20"/>
                          </w:rPr>
                          <w:t>11</w:t>
                        </w:r>
                      </w:p>
                    </w:tc>
                    <w:tc>
                      <w:tcPr>
                        <w:tcW w:w="2065" w:type="dxa"/>
                      </w:tcPr>
                      <w:p>
                        <w:pPr>
                          <w:pStyle w:val="TableParagraph"/>
                          <w:spacing w:before="21"/>
                          <w:ind w:right="60"/>
                          <w:jc w:val="right"/>
                          <w:rPr>
                            <w:sz w:val="20"/>
                          </w:rPr>
                        </w:pPr>
                        <w:r>
                          <w:rPr>
                            <w:sz w:val="20"/>
                          </w:rPr>
                          <w:t>MLP 17:17-14-1:1</w:t>
                        </w:r>
                      </w:p>
                    </w:tc>
                    <w:tc>
                      <w:tcPr>
                        <w:tcW w:w="1724" w:type="dxa"/>
                      </w:tcPr>
                      <w:p>
                        <w:pPr>
                          <w:pStyle w:val="TableParagraph"/>
                          <w:spacing w:before="21"/>
                          <w:ind w:right="387"/>
                          <w:jc w:val="right"/>
                          <w:rPr>
                            <w:sz w:val="20"/>
                          </w:rPr>
                        </w:pPr>
                        <w:r>
                          <w:rPr>
                            <w:sz w:val="20"/>
                          </w:rPr>
                          <w:t>99.69</w:t>
                        </w:r>
                      </w:p>
                    </w:tc>
                    <w:tc>
                      <w:tcPr>
                        <w:tcW w:w="1414" w:type="dxa"/>
                      </w:tcPr>
                      <w:p>
                        <w:pPr>
                          <w:pStyle w:val="TableParagraph"/>
                          <w:spacing w:before="21"/>
                          <w:ind w:right="380"/>
                          <w:jc w:val="right"/>
                          <w:rPr>
                            <w:sz w:val="20"/>
                          </w:rPr>
                        </w:pPr>
                        <w:r>
                          <w:rPr>
                            <w:sz w:val="20"/>
                          </w:rPr>
                          <w:t>99.68</w:t>
                        </w:r>
                      </w:p>
                    </w:tc>
                    <w:tc>
                      <w:tcPr>
                        <w:tcW w:w="1405" w:type="dxa"/>
                      </w:tcPr>
                      <w:p>
                        <w:pPr>
                          <w:pStyle w:val="TableParagraph"/>
                          <w:spacing w:before="21"/>
                          <w:ind w:right="377"/>
                          <w:jc w:val="right"/>
                          <w:rPr>
                            <w:sz w:val="20"/>
                          </w:rPr>
                        </w:pPr>
                        <w:r>
                          <w:rPr>
                            <w:sz w:val="20"/>
                          </w:rPr>
                          <w:t>16.97</w:t>
                        </w:r>
                      </w:p>
                    </w:tc>
                    <w:tc>
                      <w:tcPr>
                        <w:tcW w:w="1095" w:type="dxa"/>
                      </w:tcPr>
                      <w:p>
                        <w:pPr>
                          <w:pStyle w:val="TableParagraph"/>
                          <w:spacing w:before="21"/>
                          <w:ind w:right="61"/>
                          <w:jc w:val="right"/>
                          <w:rPr>
                            <w:sz w:val="20"/>
                          </w:rPr>
                        </w:pPr>
                        <w:r>
                          <w:rPr>
                            <w:sz w:val="20"/>
                          </w:rPr>
                          <w:t>17.31</w:t>
                        </w:r>
                      </w:p>
                    </w:tc>
                  </w:tr>
                  <w:tr>
                    <w:trPr>
                      <w:trHeight w:val="293" w:hRule="exact"/>
                    </w:trPr>
                    <w:tc>
                      <w:tcPr>
                        <w:tcW w:w="763" w:type="dxa"/>
                      </w:tcPr>
                      <w:p>
                        <w:pPr>
                          <w:pStyle w:val="TableParagraph"/>
                          <w:spacing w:before="21"/>
                          <w:ind w:left="72"/>
                          <w:rPr>
                            <w:sz w:val="20"/>
                          </w:rPr>
                        </w:pPr>
                        <w:r>
                          <w:rPr>
                            <w:sz w:val="20"/>
                          </w:rPr>
                          <w:t>12</w:t>
                        </w:r>
                      </w:p>
                    </w:tc>
                    <w:tc>
                      <w:tcPr>
                        <w:tcW w:w="2065" w:type="dxa"/>
                      </w:tcPr>
                      <w:p>
                        <w:pPr>
                          <w:pStyle w:val="TableParagraph"/>
                          <w:spacing w:before="21"/>
                          <w:ind w:right="60"/>
                          <w:jc w:val="right"/>
                          <w:rPr>
                            <w:sz w:val="20"/>
                          </w:rPr>
                        </w:pPr>
                        <w:r>
                          <w:rPr>
                            <w:sz w:val="20"/>
                          </w:rPr>
                          <w:t>MLP 18:18-12-1:1</w:t>
                        </w:r>
                      </w:p>
                    </w:tc>
                    <w:tc>
                      <w:tcPr>
                        <w:tcW w:w="1724" w:type="dxa"/>
                      </w:tcPr>
                      <w:p>
                        <w:pPr>
                          <w:pStyle w:val="TableParagraph"/>
                          <w:spacing w:before="21"/>
                          <w:ind w:right="387"/>
                          <w:jc w:val="right"/>
                          <w:rPr>
                            <w:sz w:val="20"/>
                          </w:rPr>
                        </w:pPr>
                        <w:r>
                          <w:rPr>
                            <w:sz w:val="20"/>
                          </w:rPr>
                          <w:t>99.51</w:t>
                        </w:r>
                      </w:p>
                    </w:tc>
                    <w:tc>
                      <w:tcPr>
                        <w:tcW w:w="1414" w:type="dxa"/>
                      </w:tcPr>
                      <w:p>
                        <w:pPr>
                          <w:pStyle w:val="TableParagraph"/>
                          <w:spacing w:before="21"/>
                          <w:ind w:right="380"/>
                          <w:jc w:val="right"/>
                          <w:rPr>
                            <w:sz w:val="20"/>
                          </w:rPr>
                        </w:pPr>
                        <w:r>
                          <w:rPr>
                            <w:sz w:val="20"/>
                          </w:rPr>
                          <w:t>99.47</w:t>
                        </w:r>
                      </w:p>
                    </w:tc>
                    <w:tc>
                      <w:tcPr>
                        <w:tcW w:w="1405" w:type="dxa"/>
                      </w:tcPr>
                      <w:p>
                        <w:pPr>
                          <w:pStyle w:val="TableParagraph"/>
                          <w:spacing w:before="21"/>
                          <w:ind w:right="377"/>
                          <w:jc w:val="right"/>
                          <w:rPr>
                            <w:sz w:val="20"/>
                          </w:rPr>
                        </w:pPr>
                        <w:r>
                          <w:rPr>
                            <w:sz w:val="20"/>
                          </w:rPr>
                          <w:t>15.02</w:t>
                        </w:r>
                      </w:p>
                    </w:tc>
                    <w:tc>
                      <w:tcPr>
                        <w:tcW w:w="1095" w:type="dxa"/>
                      </w:tcPr>
                      <w:p>
                        <w:pPr>
                          <w:pStyle w:val="TableParagraph"/>
                          <w:spacing w:before="21"/>
                          <w:ind w:right="61"/>
                          <w:jc w:val="right"/>
                          <w:rPr>
                            <w:sz w:val="20"/>
                          </w:rPr>
                        </w:pPr>
                        <w:r>
                          <w:rPr>
                            <w:sz w:val="20"/>
                          </w:rPr>
                          <w:t>15.72</w:t>
                        </w:r>
                      </w:p>
                    </w:tc>
                  </w:tr>
                  <w:tr>
                    <w:trPr>
                      <w:trHeight w:val="293" w:hRule="exact"/>
                    </w:trPr>
                    <w:tc>
                      <w:tcPr>
                        <w:tcW w:w="763" w:type="dxa"/>
                      </w:tcPr>
                      <w:p>
                        <w:pPr>
                          <w:pStyle w:val="TableParagraph"/>
                          <w:spacing w:before="21"/>
                          <w:ind w:left="72"/>
                          <w:rPr>
                            <w:sz w:val="20"/>
                          </w:rPr>
                        </w:pPr>
                        <w:r>
                          <w:rPr>
                            <w:sz w:val="20"/>
                          </w:rPr>
                          <w:t>13</w:t>
                        </w:r>
                      </w:p>
                    </w:tc>
                    <w:tc>
                      <w:tcPr>
                        <w:tcW w:w="2065" w:type="dxa"/>
                      </w:tcPr>
                      <w:p>
                        <w:pPr>
                          <w:pStyle w:val="TableParagraph"/>
                          <w:spacing w:before="21"/>
                          <w:ind w:right="60"/>
                          <w:jc w:val="right"/>
                          <w:rPr>
                            <w:sz w:val="20"/>
                          </w:rPr>
                        </w:pPr>
                        <w:r>
                          <w:rPr>
                            <w:sz w:val="20"/>
                          </w:rPr>
                          <w:t>MLP 18:18-13-1:1</w:t>
                        </w:r>
                      </w:p>
                    </w:tc>
                    <w:tc>
                      <w:tcPr>
                        <w:tcW w:w="1724" w:type="dxa"/>
                      </w:tcPr>
                      <w:p>
                        <w:pPr>
                          <w:pStyle w:val="TableParagraph"/>
                          <w:spacing w:before="21"/>
                          <w:ind w:right="387"/>
                          <w:jc w:val="right"/>
                          <w:rPr>
                            <w:sz w:val="20"/>
                          </w:rPr>
                        </w:pPr>
                        <w:r>
                          <w:rPr>
                            <w:sz w:val="20"/>
                          </w:rPr>
                          <w:t>99.53</w:t>
                        </w:r>
                      </w:p>
                    </w:tc>
                    <w:tc>
                      <w:tcPr>
                        <w:tcW w:w="1414" w:type="dxa"/>
                      </w:tcPr>
                      <w:p>
                        <w:pPr>
                          <w:pStyle w:val="TableParagraph"/>
                          <w:spacing w:before="21"/>
                          <w:ind w:right="380"/>
                          <w:jc w:val="right"/>
                          <w:rPr>
                            <w:sz w:val="20"/>
                          </w:rPr>
                        </w:pPr>
                        <w:r>
                          <w:rPr>
                            <w:sz w:val="20"/>
                          </w:rPr>
                          <w:t>99.56</w:t>
                        </w:r>
                      </w:p>
                    </w:tc>
                    <w:tc>
                      <w:tcPr>
                        <w:tcW w:w="1405" w:type="dxa"/>
                      </w:tcPr>
                      <w:p>
                        <w:pPr>
                          <w:pStyle w:val="TableParagraph"/>
                          <w:spacing w:before="21"/>
                          <w:ind w:right="377"/>
                          <w:jc w:val="right"/>
                          <w:rPr>
                            <w:sz w:val="20"/>
                          </w:rPr>
                        </w:pPr>
                        <w:r>
                          <w:rPr>
                            <w:sz w:val="20"/>
                          </w:rPr>
                          <w:t>13.49</w:t>
                        </w:r>
                      </w:p>
                    </w:tc>
                    <w:tc>
                      <w:tcPr>
                        <w:tcW w:w="1095" w:type="dxa"/>
                      </w:tcPr>
                      <w:p>
                        <w:pPr>
                          <w:pStyle w:val="TableParagraph"/>
                          <w:spacing w:before="21"/>
                          <w:ind w:right="61"/>
                          <w:jc w:val="right"/>
                          <w:rPr>
                            <w:sz w:val="20"/>
                          </w:rPr>
                        </w:pPr>
                        <w:r>
                          <w:rPr>
                            <w:sz w:val="20"/>
                          </w:rPr>
                          <w:t>12.98</w:t>
                        </w:r>
                      </w:p>
                    </w:tc>
                  </w:tr>
                  <w:tr>
                    <w:trPr>
                      <w:trHeight w:val="309" w:hRule="exact"/>
                    </w:trPr>
                    <w:tc>
                      <w:tcPr>
                        <w:tcW w:w="763" w:type="dxa"/>
                        <w:tcBorders>
                          <w:bottom w:val="single" w:sz="12" w:space="0" w:color="000000"/>
                        </w:tcBorders>
                      </w:tcPr>
                      <w:p>
                        <w:pPr>
                          <w:pStyle w:val="TableParagraph"/>
                          <w:spacing w:before="21"/>
                          <w:ind w:left="72"/>
                          <w:rPr>
                            <w:sz w:val="20"/>
                          </w:rPr>
                        </w:pPr>
                        <w:r>
                          <w:rPr>
                            <w:sz w:val="20"/>
                          </w:rPr>
                          <w:t>14</w:t>
                        </w:r>
                      </w:p>
                    </w:tc>
                    <w:tc>
                      <w:tcPr>
                        <w:tcW w:w="2065" w:type="dxa"/>
                        <w:tcBorders>
                          <w:bottom w:val="single" w:sz="12" w:space="0" w:color="000000"/>
                        </w:tcBorders>
                      </w:tcPr>
                      <w:p>
                        <w:pPr>
                          <w:pStyle w:val="TableParagraph"/>
                          <w:spacing w:before="21"/>
                          <w:ind w:right="60"/>
                          <w:jc w:val="right"/>
                          <w:rPr>
                            <w:sz w:val="20"/>
                          </w:rPr>
                        </w:pPr>
                        <w:r>
                          <w:rPr>
                            <w:sz w:val="20"/>
                          </w:rPr>
                          <w:t>MLP 18:18-14-1:1</w:t>
                        </w:r>
                      </w:p>
                    </w:tc>
                    <w:tc>
                      <w:tcPr>
                        <w:tcW w:w="1724" w:type="dxa"/>
                        <w:tcBorders>
                          <w:bottom w:val="single" w:sz="12" w:space="0" w:color="000000"/>
                        </w:tcBorders>
                      </w:tcPr>
                      <w:p>
                        <w:pPr>
                          <w:pStyle w:val="TableParagraph"/>
                          <w:spacing w:before="21"/>
                          <w:ind w:right="387"/>
                          <w:jc w:val="right"/>
                          <w:rPr>
                            <w:sz w:val="20"/>
                          </w:rPr>
                        </w:pPr>
                        <w:r>
                          <w:rPr>
                            <w:sz w:val="20"/>
                          </w:rPr>
                          <w:t>99.42</w:t>
                        </w:r>
                      </w:p>
                    </w:tc>
                    <w:tc>
                      <w:tcPr>
                        <w:tcW w:w="1414" w:type="dxa"/>
                        <w:tcBorders>
                          <w:bottom w:val="single" w:sz="12" w:space="0" w:color="000000"/>
                        </w:tcBorders>
                      </w:tcPr>
                      <w:p>
                        <w:pPr>
                          <w:pStyle w:val="TableParagraph"/>
                          <w:spacing w:before="21"/>
                          <w:ind w:right="380"/>
                          <w:jc w:val="right"/>
                          <w:rPr>
                            <w:sz w:val="20"/>
                          </w:rPr>
                        </w:pPr>
                        <w:r>
                          <w:rPr>
                            <w:sz w:val="20"/>
                          </w:rPr>
                          <w:t>99.45</w:t>
                        </w:r>
                      </w:p>
                    </w:tc>
                    <w:tc>
                      <w:tcPr>
                        <w:tcW w:w="1405" w:type="dxa"/>
                        <w:tcBorders>
                          <w:bottom w:val="single" w:sz="12" w:space="0" w:color="000000"/>
                        </w:tcBorders>
                      </w:tcPr>
                      <w:p>
                        <w:pPr>
                          <w:pStyle w:val="TableParagraph"/>
                          <w:spacing w:before="21"/>
                          <w:ind w:right="377"/>
                          <w:jc w:val="right"/>
                          <w:rPr>
                            <w:sz w:val="20"/>
                          </w:rPr>
                        </w:pPr>
                        <w:r>
                          <w:rPr>
                            <w:sz w:val="20"/>
                          </w:rPr>
                          <w:t>16.37</w:t>
                        </w:r>
                      </w:p>
                    </w:tc>
                    <w:tc>
                      <w:tcPr>
                        <w:tcW w:w="1095" w:type="dxa"/>
                        <w:tcBorders>
                          <w:bottom w:val="single" w:sz="12" w:space="0" w:color="000000"/>
                        </w:tcBorders>
                      </w:tcPr>
                      <w:p>
                        <w:pPr>
                          <w:pStyle w:val="TableParagraph"/>
                          <w:spacing w:before="21"/>
                          <w:ind w:right="61"/>
                          <w:jc w:val="right"/>
                          <w:rPr>
                            <w:sz w:val="20"/>
                          </w:rPr>
                        </w:pPr>
                        <w:r>
                          <w:rPr>
                            <w:sz w:val="20"/>
                          </w:rPr>
                          <w:t>15.93</w:t>
                        </w:r>
                      </w:p>
                    </w:tc>
                  </w:tr>
                </w:tbl>
                <w:p>
                  <w:pPr>
                    <w:pStyle w:val="BodyText"/>
                  </w:pPr>
                </w:p>
              </w:txbxContent>
            </v:textbox>
            <w10:wrap type="none"/>
          </v:shape>
        </w:pict>
      </w:r>
      <w:r>
        <w:rPr>
          <w:rFonts w:ascii="Times New Roman"/>
          <w:b/>
          <w:spacing w:val="-3"/>
          <w:sz w:val="20"/>
        </w:rPr>
        <w:t>No.</w:t>
        <w:tab/>
      </w:r>
      <w:r>
        <w:rPr>
          <w:rFonts w:ascii="Times New Roman"/>
          <w:b/>
          <w:sz w:val="22"/>
        </w:rPr>
        <w:t>Model-Description</w:t>
      </w:r>
    </w:p>
    <w:p>
      <w:pPr>
        <w:spacing w:after="0" w:line="225" w:lineRule="exact"/>
        <w:jc w:val="left"/>
        <w:rPr>
          <w:rFonts w:ascii="Times New Roman"/>
          <w:sz w:val="22"/>
        </w:rPr>
        <w:sectPr>
          <w:pgSz w:w="12240" w:h="15840"/>
          <w:pgMar w:header="684" w:footer="1184" w:top="1380" w:bottom="1380" w:left="1440" w:right="1460"/>
        </w:sectPr>
      </w:pPr>
    </w:p>
    <w:p>
      <w:pPr>
        <w:pStyle w:val="BodyText"/>
        <w:rPr>
          <w:rFonts w:ascii="Times New Roman"/>
          <w:b/>
          <w:sz w:val="22"/>
        </w:rPr>
      </w:pPr>
    </w:p>
    <w:tbl>
      <w:tblPr>
        <w:tblW w:w="0" w:type="auto"/>
        <w:jc w:val="left"/>
        <w:tblInd w:w="44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37"/>
        <w:gridCol w:w="2499"/>
        <w:gridCol w:w="1409"/>
        <w:gridCol w:w="1414"/>
        <w:gridCol w:w="1409"/>
        <w:gridCol w:w="997"/>
      </w:tblGrid>
      <w:tr>
        <w:trPr>
          <w:trHeight w:val="313" w:hRule="exact"/>
        </w:trPr>
        <w:tc>
          <w:tcPr>
            <w:tcW w:w="737" w:type="dxa"/>
            <w:tcBorders>
              <w:left w:val="nil"/>
              <w:bottom w:val="nil"/>
              <w:right w:val="nil"/>
            </w:tcBorders>
          </w:tcPr>
          <w:p>
            <w:pPr>
              <w:pStyle w:val="TableParagraph"/>
              <w:spacing w:before="37"/>
              <w:ind w:left="72"/>
              <w:rPr>
                <w:sz w:val="20"/>
              </w:rPr>
            </w:pPr>
            <w:r>
              <w:rPr>
                <w:sz w:val="20"/>
              </w:rPr>
              <w:t>15</w:t>
            </w:r>
          </w:p>
        </w:tc>
        <w:tc>
          <w:tcPr>
            <w:tcW w:w="2499" w:type="dxa"/>
            <w:tcBorders>
              <w:left w:val="nil"/>
              <w:bottom w:val="nil"/>
              <w:right w:val="nil"/>
            </w:tcBorders>
          </w:tcPr>
          <w:p>
            <w:pPr>
              <w:pStyle w:val="TableParagraph"/>
              <w:spacing w:before="42"/>
              <w:ind w:right="468"/>
              <w:jc w:val="right"/>
              <w:rPr>
                <w:b/>
                <w:sz w:val="20"/>
              </w:rPr>
            </w:pPr>
            <w:r>
              <w:rPr>
                <w:b/>
                <w:sz w:val="20"/>
              </w:rPr>
              <w:t>MLP 18:18-15-1:1</w:t>
            </w:r>
          </w:p>
        </w:tc>
        <w:tc>
          <w:tcPr>
            <w:tcW w:w="1409" w:type="dxa"/>
            <w:tcBorders>
              <w:left w:val="nil"/>
              <w:bottom w:val="nil"/>
              <w:right w:val="nil"/>
            </w:tcBorders>
          </w:tcPr>
          <w:p>
            <w:pPr>
              <w:pStyle w:val="TableParagraph"/>
              <w:spacing w:before="37"/>
              <w:ind w:left="454" w:right="464"/>
              <w:jc w:val="center"/>
              <w:rPr>
                <w:sz w:val="20"/>
              </w:rPr>
            </w:pPr>
            <w:r>
              <w:rPr>
                <w:sz w:val="20"/>
              </w:rPr>
              <w:t>99.70</w:t>
            </w:r>
          </w:p>
        </w:tc>
        <w:tc>
          <w:tcPr>
            <w:tcW w:w="1414" w:type="dxa"/>
            <w:tcBorders>
              <w:left w:val="nil"/>
              <w:bottom w:val="nil"/>
              <w:right w:val="nil"/>
            </w:tcBorders>
          </w:tcPr>
          <w:p>
            <w:pPr>
              <w:pStyle w:val="TableParagraph"/>
              <w:spacing w:before="37"/>
              <w:ind w:left="465" w:right="458"/>
              <w:jc w:val="center"/>
              <w:rPr>
                <w:sz w:val="20"/>
              </w:rPr>
            </w:pPr>
            <w:r>
              <w:rPr>
                <w:sz w:val="20"/>
              </w:rPr>
              <w:t>99.68</w:t>
            </w:r>
          </w:p>
        </w:tc>
        <w:tc>
          <w:tcPr>
            <w:tcW w:w="1409" w:type="dxa"/>
            <w:tcBorders>
              <w:left w:val="nil"/>
              <w:bottom w:val="nil"/>
              <w:right w:val="nil"/>
            </w:tcBorders>
          </w:tcPr>
          <w:p>
            <w:pPr>
              <w:pStyle w:val="TableParagraph"/>
              <w:spacing w:before="37"/>
              <w:ind w:left="459" w:right="459"/>
              <w:jc w:val="center"/>
              <w:rPr>
                <w:sz w:val="20"/>
              </w:rPr>
            </w:pPr>
            <w:r>
              <w:rPr>
                <w:sz w:val="20"/>
              </w:rPr>
              <w:t>10.85</w:t>
            </w:r>
          </w:p>
        </w:tc>
        <w:tc>
          <w:tcPr>
            <w:tcW w:w="997" w:type="dxa"/>
            <w:tcBorders>
              <w:left w:val="nil"/>
              <w:bottom w:val="nil"/>
              <w:right w:val="nil"/>
            </w:tcBorders>
          </w:tcPr>
          <w:p>
            <w:pPr>
              <w:pStyle w:val="TableParagraph"/>
              <w:spacing w:before="37"/>
              <w:ind w:right="61"/>
              <w:jc w:val="right"/>
              <w:rPr>
                <w:sz w:val="20"/>
              </w:rPr>
            </w:pPr>
            <w:r>
              <w:rPr>
                <w:sz w:val="20"/>
              </w:rPr>
              <w:t>11.13</w:t>
            </w:r>
          </w:p>
        </w:tc>
      </w:tr>
      <w:tr>
        <w:trPr>
          <w:trHeight w:val="290" w:hRule="exact"/>
        </w:trPr>
        <w:tc>
          <w:tcPr>
            <w:tcW w:w="737" w:type="dxa"/>
            <w:tcBorders>
              <w:top w:val="nil"/>
              <w:left w:val="nil"/>
              <w:bottom w:val="nil"/>
              <w:right w:val="nil"/>
            </w:tcBorders>
          </w:tcPr>
          <w:p>
            <w:pPr>
              <w:pStyle w:val="TableParagraph"/>
              <w:spacing w:before="31"/>
              <w:ind w:left="72"/>
              <w:rPr>
                <w:sz w:val="20"/>
              </w:rPr>
            </w:pPr>
            <w:r>
              <w:rPr>
                <w:sz w:val="20"/>
              </w:rPr>
              <w:t>16</w:t>
            </w:r>
          </w:p>
        </w:tc>
        <w:tc>
          <w:tcPr>
            <w:tcW w:w="2499" w:type="dxa"/>
            <w:tcBorders>
              <w:top w:val="nil"/>
              <w:left w:val="nil"/>
              <w:bottom w:val="nil"/>
              <w:right w:val="nil"/>
            </w:tcBorders>
          </w:tcPr>
          <w:p>
            <w:pPr>
              <w:pStyle w:val="TableParagraph"/>
              <w:spacing w:before="31"/>
              <w:ind w:right="468"/>
              <w:jc w:val="right"/>
              <w:rPr>
                <w:sz w:val="20"/>
              </w:rPr>
            </w:pPr>
            <w:r>
              <w:rPr>
                <w:sz w:val="20"/>
              </w:rPr>
              <w:t>MLP 19:19-13-1:1</w:t>
            </w:r>
          </w:p>
        </w:tc>
        <w:tc>
          <w:tcPr>
            <w:tcW w:w="1409" w:type="dxa"/>
            <w:tcBorders>
              <w:top w:val="nil"/>
              <w:left w:val="nil"/>
              <w:bottom w:val="nil"/>
              <w:right w:val="nil"/>
            </w:tcBorders>
          </w:tcPr>
          <w:p>
            <w:pPr>
              <w:pStyle w:val="TableParagraph"/>
              <w:spacing w:before="31"/>
              <w:ind w:left="454" w:right="464"/>
              <w:jc w:val="center"/>
              <w:rPr>
                <w:sz w:val="20"/>
              </w:rPr>
            </w:pPr>
            <w:r>
              <w:rPr>
                <w:sz w:val="20"/>
              </w:rPr>
              <w:t>99.35</w:t>
            </w:r>
          </w:p>
        </w:tc>
        <w:tc>
          <w:tcPr>
            <w:tcW w:w="1414" w:type="dxa"/>
            <w:tcBorders>
              <w:top w:val="nil"/>
              <w:left w:val="nil"/>
              <w:bottom w:val="nil"/>
              <w:right w:val="nil"/>
            </w:tcBorders>
          </w:tcPr>
          <w:p>
            <w:pPr>
              <w:pStyle w:val="TableParagraph"/>
              <w:spacing w:before="31"/>
              <w:ind w:left="465" w:right="458"/>
              <w:jc w:val="center"/>
              <w:rPr>
                <w:sz w:val="20"/>
              </w:rPr>
            </w:pPr>
            <w:r>
              <w:rPr>
                <w:sz w:val="20"/>
              </w:rPr>
              <w:t>99.37</w:t>
            </w:r>
          </w:p>
        </w:tc>
        <w:tc>
          <w:tcPr>
            <w:tcW w:w="1409" w:type="dxa"/>
            <w:tcBorders>
              <w:top w:val="nil"/>
              <w:left w:val="nil"/>
              <w:bottom w:val="nil"/>
              <w:right w:val="nil"/>
            </w:tcBorders>
          </w:tcPr>
          <w:p>
            <w:pPr>
              <w:pStyle w:val="TableParagraph"/>
              <w:spacing w:before="31"/>
              <w:ind w:left="459" w:right="459"/>
              <w:jc w:val="center"/>
              <w:rPr>
                <w:sz w:val="20"/>
              </w:rPr>
            </w:pPr>
            <w:r>
              <w:rPr>
                <w:sz w:val="20"/>
              </w:rPr>
              <w:t>16.81</w:t>
            </w:r>
          </w:p>
        </w:tc>
        <w:tc>
          <w:tcPr>
            <w:tcW w:w="997" w:type="dxa"/>
            <w:tcBorders>
              <w:top w:val="nil"/>
              <w:left w:val="nil"/>
              <w:bottom w:val="nil"/>
              <w:right w:val="nil"/>
            </w:tcBorders>
          </w:tcPr>
          <w:p>
            <w:pPr>
              <w:pStyle w:val="TableParagraph"/>
              <w:spacing w:before="31"/>
              <w:ind w:right="61"/>
              <w:jc w:val="right"/>
              <w:rPr>
                <w:sz w:val="20"/>
              </w:rPr>
            </w:pPr>
            <w:r>
              <w:rPr>
                <w:sz w:val="20"/>
              </w:rPr>
              <w:t>16.47</w:t>
            </w:r>
          </w:p>
        </w:tc>
      </w:tr>
      <w:tr>
        <w:trPr>
          <w:trHeight w:val="300" w:hRule="exact"/>
        </w:trPr>
        <w:tc>
          <w:tcPr>
            <w:tcW w:w="737" w:type="dxa"/>
            <w:tcBorders>
              <w:top w:val="nil"/>
              <w:left w:val="nil"/>
              <w:bottom w:val="single" w:sz="4" w:space="0" w:color="000000"/>
              <w:right w:val="nil"/>
            </w:tcBorders>
          </w:tcPr>
          <w:p>
            <w:pPr>
              <w:pStyle w:val="TableParagraph"/>
              <w:spacing w:before="34"/>
              <w:ind w:left="72"/>
              <w:rPr>
                <w:sz w:val="20"/>
              </w:rPr>
            </w:pPr>
            <w:r>
              <w:rPr>
                <w:sz w:val="20"/>
              </w:rPr>
              <w:t>17</w:t>
            </w:r>
          </w:p>
        </w:tc>
        <w:tc>
          <w:tcPr>
            <w:tcW w:w="2499" w:type="dxa"/>
            <w:tcBorders>
              <w:top w:val="nil"/>
              <w:left w:val="nil"/>
              <w:bottom w:val="single" w:sz="4" w:space="0" w:color="000000"/>
              <w:right w:val="nil"/>
            </w:tcBorders>
          </w:tcPr>
          <w:p>
            <w:pPr>
              <w:pStyle w:val="TableParagraph"/>
              <w:spacing w:before="34"/>
              <w:ind w:right="468"/>
              <w:jc w:val="right"/>
              <w:rPr>
                <w:sz w:val="20"/>
              </w:rPr>
            </w:pPr>
            <w:r>
              <w:rPr>
                <w:sz w:val="20"/>
              </w:rPr>
              <w:t>MLP 19:19-14-1:1</w:t>
            </w:r>
          </w:p>
        </w:tc>
        <w:tc>
          <w:tcPr>
            <w:tcW w:w="1409" w:type="dxa"/>
            <w:tcBorders>
              <w:top w:val="nil"/>
              <w:left w:val="nil"/>
              <w:bottom w:val="single" w:sz="4" w:space="0" w:color="000000"/>
              <w:right w:val="nil"/>
            </w:tcBorders>
          </w:tcPr>
          <w:p>
            <w:pPr>
              <w:pStyle w:val="TableParagraph"/>
              <w:spacing w:before="34"/>
              <w:ind w:left="454" w:right="464"/>
              <w:jc w:val="center"/>
              <w:rPr>
                <w:sz w:val="20"/>
              </w:rPr>
            </w:pPr>
            <w:r>
              <w:rPr>
                <w:sz w:val="20"/>
              </w:rPr>
              <w:t>99.67</w:t>
            </w:r>
          </w:p>
        </w:tc>
        <w:tc>
          <w:tcPr>
            <w:tcW w:w="1414" w:type="dxa"/>
            <w:tcBorders>
              <w:top w:val="nil"/>
              <w:left w:val="nil"/>
              <w:bottom w:val="single" w:sz="4" w:space="0" w:color="000000"/>
              <w:right w:val="nil"/>
            </w:tcBorders>
          </w:tcPr>
          <w:p>
            <w:pPr>
              <w:pStyle w:val="TableParagraph"/>
              <w:spacing w:before="34"/>
              <w:ind w:left="465" w:right="458"/>
              <w:jc w:val="center"/>
              <w:rPr>
                <w:sz w:val="20"/>
              </w:rPr>
            </w:pPr>
            <w:r>
              <w:rPr>
                <w:sz w:val="20"/>
              </w:rPr>
              <w:t>99.69</w:t>
            </w:r>
          </w:p>
        </w:tc>
        <w:tc>
          <w:tcPr>
            <w:tcW w:w="1409" w:type="dxa"/>
            <w:tcBorders>
              <w:top w:val="nil"/>
              <w:left w:val="nil"/>
              <w:bottom w:val="single" w:sz="4" w:space="0" w:color="000000"/>
              <w:right w:val="nil"/>
            </w:tcBorders>
          </w:tcPr>
          <w:p>
            <w:pPr>
              <w:pStyle w:val="TableParagraph"/>
              <w:spacing w:before="34"/>
              <w:ind w:left="459" w:right="459"/>
              <w:jc w:val="center"/>
              <w:rPr>
                <w:sz w:val="20"/>
              </w:rPr>
            </w:pPr>
            <w:r>
              <w:rPr>
                <w:sz w:val="20"/>
              </w:rPr>
              <w:t>15.61</w:t>
            </w:r>
          </w:p>
        </w:tc>
        <w:tc>
          <w:tcPr>
            <w:tcW w:w="997" w:type="dxa"/>
            <w:tcBorders>
              <w:top w:val="nil"/>
              <w:left w:val="nil"/>
              <w:bottom w:val="single" w:sz="4" w:space="0" w:color="000000"/>
              <w:right w:val="nil"/>
            </w:tcBorders>
          </w:tcPr>
          <w:p>
            <w:pPr>
              <w:pStyle w:val="TableParagraph"/>
              <w:spacing w:before="34"/>
              <w:ind w:right="61"/>
              <w:jc w:val="right"/>
              <w:rPr>
                <w:sz w:val="20"/>
              </w:rPr>
            </w:pPr>
            <w:r>
              <w:rPr>
                <w:sz w:val="20"/>
              </w:rPr>
              <w:t>15.59</w:t>
            </w:r>
          </w:p>
        </w:tc>
      </w:tr>
      <w:tr>
        <w:trPr>
          <w:trHeight w:val="312" w:hRule="exact"/>
        </w:trPr>
        <w:tc>
          <w:tcPr>
            <w:tcW w:w="737" w:type="dxa"/>
            <w:tcBorders>
              <w:top w:val="single" w:sz="4" w:space="0" w:color="000000"/>
              <w:left w:val="nil"/>
              <w:right w:val="nil"/>
            </w:tcBorders>
          </w:tcPr>
          <w:p>
            <w:pPr>
              <w:pStyle w:val="TableParagraph"/>
              <w:spacing w:before="32"/>
              <w:ind w:left="72"/>
              <w:rPr>
                <w:sz w:val="20"/>
              </w:rPr>
            </w:pPr>
            <w:r>
              <w:rPr>
                <w:sz w:val="20"/>
              </w:rPr>
              <w:t>18</w:t>
            </w:r>
          </w:p>
        </w:tc>
        <w:tc>
          <w:tcPr>
            <w:tcW w:w="2499" w:type="dxa"/>
            <w:tcBorders>
              <w:top w:val="single" w:sz="4" w:space="0" w:color="000000"/>
              <w:left w:val="nil"/>
              <w:right w:val="nil"/>
            </w:tcBorders>
          </w:tcPr>
          <w:p>
            <w:pPr>
              <w:pStyle w:val="TableParagraph"/>
              <w:spacing w:before="32"/>
              <w:ind w:right="476"/>
              <w:jc w:val="right"/>
              <w:rPr>
                <w:sz w:val="20"/>
              </w:rPr>
            </w:pPr>
            <w:r>
              <w:rPr>
                <w:sz w:val="20"/>
              </w:rPr>
              <w:t>LDA</w:t>
            </w:r>
          </w:p>
        </w:tc>
        <w:tc>
          <w:tcPr>
            <w:tcW w:w="1409" w:type="dxa"/>
            <w:tcBorders>
              <w:top w:val="single" w:sz="4" w:space="0" w:color="000000"/>
              <w:left w:val="nil"/>
              <w:right w:val="nil"/>
            </w:tcBorders>
          </w:tcPr>
          <w:p>
            <w:pPr>
              <w:pStyle w:val="TableParagraph"/>
              <w:spacing w:before="32"/>
              <w:ind w:left="454" w:right="366"/>
              <w:jc w:val="center"/>
              <w:rPr>
                <w:sz w:val="20"/>
              </w:rPr>
            </w:pPr>
            <w:r>
              <w:rPr>
                <w:sz w:val="20"/>
              </w:rPr>
              <w:t>94.7</w:t>
            </w:r>
          </w:p>
        </w:tc>
        <w:tc>
          <w:tcPr>
            <w:tcW w:w="1414" w:type="dxa"/>
            <w:tcBorders>
              <w:top w:val="single" w:sz="4" w:space="0" w:color="000000"/>
              <w:left w:val="nil"/>
              <w:right w:val="nil"/>
            </w:tcBorders>
          </w:tcPr>
          <w:p>
            <w:pPr>
              <w:pStyle w:val="TableParagraph"/>
              <w:spacing w:before="32"/>
              <w:ind w:left="465" w:right="358"/>
              <w:jc w:val="center"/>
              <w:rPr>
                <w:sz w:val="20"/>
              </w:rPr>
            </w:pPr>
            <w:r>
              <w:rPr>
                <w:sz w:val="20"/>
              </w:rPr>
              <w:t>94.7</w:t>
            </w:r>
          </w:p>
        </w:tc>
        <w:tc>
          <w:tcPr>
            <w:tcW w:w="1409" w:type="dxa"/>
            <w:tcBorders>
              <w:top w:val="single" w:sz="4" w:space="0" w:color="000000"/>
              <w:left w:val="nil"/>
              <w:right w:val="nil"/>
            </w:tcBorders>
          </w:tcPr>
          <w:p>
            <w:pPr>
              <w:pStyle w:val="TableParagraph"/>
              <w:spacing w:before="37"/>
              <w:ind w:left="459" w:right="361"/>
              <w:jc w:val="center"/>
              <w:rPr>
                <w:b/>
                <w:sz w:val="20"/>
              </w:rPr>
            </w:pPr>
            <w:r>
              <w:rPr>
                <w:b/>
                <w:sz w:val="20"/>
              </w:rPr>
              <w:t>5.56</w:t>
            </w:r>
          </w:p>
        </w:tc>
        <w:tc>
          <w:tcPr>
            <w:tcW w:w="997" w:type="dxa"/>
            <w:tcBorders>
              <w:top w:val="single" w:sz="4" w:space="0" w:color="000000"/>
              <w:left w:val="nil"/>
              <w:right w:val="nil"/>
            </w:tcBorders>
          </w:tcPr>
          <w:p>
            <w:pPr>
              <w:pStyle w:val="TableParagraph"/>
              <w:spacing w:before="37"/>
              <w:ind w:right="61"/>
              <w:jc w:val="right"/>
              <w:rPr>
                <w:b/>
                <w:sz w:val="20"/>
              </w:rPr>
            </w:pPr>
            <w:r>
              <w:rPr>
                <w:b/>
                <w:sz w:val="20"/>
              </w:rPr>
              <w:t>5.56</w:t>
            </w:r>
          </w:p>
        </w:tc>
      </w:tr>
    </w:tbl>
    <w:p>
      <w:pPr>
        <w:spacing w:line="220" w:lineRule="exact" w:before="0"/>
        <w:ind w:left="259" w:right="0" w:firstLine="0"/>
        <w:jc w:val="left"/>
        <w:rPr>
          <w:rFonts w:ascii="Times New Roman"/>
          <w:sz w:val="20"/>
        </w:rPr>
      </w:pPr>
      <w:r>
        <w:rPr>
          <w:rFonts w:ascii="Times New Roman"/>
          <w:i/>
          <w:position w:val="7"/>
          <w:sz w:val="13"/>
        </w:rPr>
        <w:t>a </w:t>
      </w:r>
      <w:r>
        <w:rPr>
          <w:rFonts w:ascii="Times New Roman"/>
          <w:sz w:val="20"/>
        </w:rPr>
        <w:t>PT-LFER: Perturbation Theory- Linear Free Energy Relationships; PT-NLFER: Perturbation Theory- Non</w:t>
      </w:r>
    </w:p>
    <w:p>
      <w:pPr>
        <w:spacing w:line="228" w:lineRule="exact" w:before="0"/>
        <w:ind w:left="259" w:right="0" w:firstLine="0"/>
        <w:jc w:val="left"/>
        <w:rPr>
          <w:rFonts w:ascii="Times New Roman"/>
          <w:sz w:val="20"/>
        </w:rPr>
      </w:pPr>
      <w:r>
        <w:rPr>
          <w:rFonts w:ascii="Times New Roman"/>
          <w:sz w:val="20"/>
        </w:rPr>
        <w:t>Linear Free Energy Relationships; MLPs: Multilayer perceptron.</w:t>
      </w:r>
    </w:p>
    <w:p>
      <w:pPr>
        <w:spacing w:line="240" w:lineRule="auto" w:before="0"/>
        <w:ind w:left="259" w:right="0" w:firstLine="0"/>
        <w:jc w:val="left"/>
        <w:rPr>
          <w:rFonts w:ascii="Times New Roman"/>
          <w:sz w:val="20"/>
        </w:rPr>
      </w:pPr>
      <w:r>
        <w:rPr>
          <w:rFonts w:ascii="Times New Roman"/>
          <w:i/>
          <w:position w:val="7"/>
          <w:sz w:val="13"/>
        </w:rPr>
        <w:t>b </w:t>
      </w:r>
      <w:r>
        <w:rPr>
          <w:rFonts w:ascii="Times New Roman"/>
          <w:i/>
          <w:sz w:val="20"/>
        </w:rPr>
        <w:t>TP </w:t>
      </w:r>
      <w:r>
        <w:rPr>
          <w:rFonts w:ascii="Times New Roman"/>
          <w:sz w:val="20"/>
        </w:rPr>
        <w:t>(%) = Training Performance, </w:t>
      </w:r>
      <w:r>
        <w:rPr>
          <w:rFonts w:ascii="Times New Roman"/>
          <w:i/>
          <w:sz w:val="20"/>
        </w:rPr>
        <w:t>VP </w:t>
      </w:r>
      <w:r>
        <w:rPr>
          <w:rFonts w:ascii="Times New Roman"/>
          <w:sz w:val="20"/>
        </w:rPr>
        <w:t>(%) = Validation Performance, </w:t>
      </w:r>
      <w:r>
        <w:rPr>
          <w:rFonts w:ascii="Times New Roman"/>
          <w:i/>
          <w:sz w:val="20"/>
        </w:rPr>
        <w:t>TE </w:t>
      </w:r>
      <w:r>
        <w:rPr>
          <w:rFonts w:ascii="Times New Roman"/>
          <w:sz w:val="20"/>
        </w:rPr>
        <w:t>(%) = Training Error, </w:t>
      </w:r>
      <w:r>
        <w:rPr>
          <w:rFonts w:ascii="Times New Roman"/>
          <w:i/>
          <w:sz w:val="20"/>
        </w:rPr>
        <w:t>VE </w:t>
      </w:r>
      <w:r>
        <w:rPr>
          <w:rFonts w:ascii="Times New Roman"/>
          <w:sz w:val="20"/>
        </w:rPr>
        <w:t>(%) = Validation Error.</w:t>
      </w:r>
    </w:p>
    <w:p>
      <w:pPr>
        <w:spacing w:after="0" w:line="240" w:lineRule="auto"/>
        <w:jc w:val="left"/>
        <w:rPr>
          <w:rFonts w:ascii="Times New Roman"/>
          <w:sz w:val="20"/>
        </w:rPr>
        <w:sectPr>
          <w:pgSz w:w="12240" w:h="15840"/>
          <w:pgMar w:header="684" w:footer="1184" w:top="1380" w:bottom="1380" w:left="1440" w:right="146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Heading1"/>
        <w:ind w:left="20"/>
      </w:pPr>
      <w:bookmarkStart w:name="_TOC_250002" w:id="38"/>
      <w:bookmarkEnd w:id="38"/>
      <w:r>
        <w:rPr>
          <w:color w:val="1F487C"/>
        </w:rPr>
        <w:t>DISCUSIÓN</w:t>
      </w:r>
    </w:p>
    <w:p>
      <w:pPr>
        <w:pStyle w:val="BodyText"/>
        <w:spacing w:before="11"/>
        <w:rPr>
          <w:b/>
          <w:sz w:val="28"/>
        </w:rPr>
      </w:pPr>
    </w:p>
    <w:p>
      <w:pPr>
        <w:pStyle w:val="BodyText"/>
        <w:ind w:left="259"/>
        <w:jc w:val="both"/>
      </w:pPr>
      <w:r>
        <w:rPr>
          <w:color w:val="1F487C"/>
        </w:rPr>
        <w:t>Parte 1. Proporciones de cártamo y canola con sorgo</w:t>
      </w:r>
    </w:p>
    <w:p>
      <w:pPr>
        <w:pStyle w:val="BodyText"/>
      </w:pPr>
    </w:p>
    <w:p>
      <w:pPr>
        <w:pStyle w:val="BodyText"/>
      </w:pPr>
    </w:p>
    <w:p>
      <w:pPr>
        <w:pStyle w:val="BodyText"/>
        <w:spacing w:line="360" w:lineRule="auto"/>
        <w:ind w:left="259" w:right="234"/>
        <w:jc w:val="both"/>
      </w:pPr>
      <w:r>
        <w:rPr/>
        <w:t>Las diferencias estadísticas en la cinética de gases entre la comida de cártamo (SFM) y semilla de canola (CAS) los tratamientos podrían deberse a la proporción, y la naturaleza, de su composición. Alto contenido de hidratos de carbono solubles podría ser debido a un factor importante resultante a una mayor producción de gas en tratamientos proporción alta de sorgo (Zerbini et al., 2002; Amer et al, 2012.). Mientras tanto, algunas composiciones de casco o anti-nutricionales en la harina de cártamo o de semilla de canola también podrían dar lugar a disminuir los parámetros de producción de gas in vitro, como matairesinol-β-glucósido, 2-hydroxyarctiin-β- glucósido (Jin et al., 2010) y glucósido cianogénico (Satish y Shrivastava, 2011) en  SFM y sinapina, taninos, ácido fítico (Brand et al., 2007) y de glucosinolatos (Bell, 1993) en el</w:t>
      </w:r>
      <w:r>
        <w:rPr>
          <w:spacing w:val="-3"/>
        </w:rPr>
        <w:t> </w:t>
      </w:r>
      <w:r>
        <w:rPr/>
        <w:t>CAS.</w:t>
      </w:r>
    </w:p>
    <w:p>
      <w:pPr>
        <w:pStyle w:val="BodyText"/>
        <w:spacing w:line="360" w:lineRule="auto"/>
        <w:ind w:left="259" w:right="234"/>
        <w:jc w:val="both"/>
      </w:pPr>
      <w:r>
        <w:rPr/>
        <w:t>Rumen microorganismo digiere macromolecular de proteínas, carbohidratos y ácidos grasos poliinsaturados de cadena larga para generar la producción de gas, ácidos grasos volátiles (AGV), metabolitos secundarios, proteína microbiana (Baba et al., 2002; Camacho et al., 2010). Dietas beneficiosos añadidos a los resultados del rumen en una inhibición de la desaminación y la metanogénesis, lo que resulta en una menor NH3-N, CH4, y acetato, y en las concentraciones de propionato y butirato más altas (Calsamiglia et al., 2007). Proteína microbiana y proteínas de los alimentos son insuficientes para suministrar cantidades adecuadas de aminoácidos para un rendimiento óptimo crecimiento de los rumiantes (Kung Jr y Rode, 1996), por lo NH3- N como no proteicos de nitrógeno o de degradación de los metabolitos de la proteína también juega un papel importante en mantener equilibrio nutritivo de los rumiantes. En este estudio, los concentrados de amoniaco N eran rango 33,1-66,3 mg / dl y estaban cerca de los informes anteriormente (Cherdthong y Wanapat, 2013), cambiante de NH3-N podría ser debido a las diferentes proporciones de proteínas   de</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44"/>
        <w:jc w:val="both"/>
      </w:pPr>
      <w:r>
        <w:rPr/>
        <w:t>los alimentos, y el saldo de la síntesis y la degradación microbiana (Khorasani et al., 1989); NH3-N a las 48 h eran un poco más alto que 24 h implicaban la tasa de proteína microbiana digeridos fueron más rápido que el de la acumulación en la síntesis de 48  h de</w:t>
      </w:r>
      <w:r>
        <w:rPr>
          <w:spacing w:val="-3"/>
        </w:rPr>
        <w:t> </w:t>
      </w:r>
      <w:r>
        <w:rPr/>
        <w:t>incubación.</w:t>
      </w:r>
    </w:p>
    <w:p>
      <w:pPr>
        <w:pStyle w:val="BodyText"/>
        <w:spacing w:line="360" w:lineRule="auto"/>
        <w:ind w:left="259" w:right="233"/>
        <w:jc w:val="both"/>
      </w:pPr>
      <w:r>
        <w:rPr/>
        <w:t>DIVMS de rastrojo de maíz aumentó con el aumento de la proporción de CAS y SFM podría ser debido al alto contenido de almidón en el sorgo reducido valor del pH del líquido de fermentación y aumentar la producción de ácidos grasos volátiles corto (Lechartier y Peyraud, 2011), además de efectuar la fibrolítica actividad. Implicaba que la proteína digestible rumen debe ser el factor restringido importante para digestibilidad de la fibra cuando adición de suficientes carbohidratos solubles. Durante la adaptación a una dieta alta en concentrado, pH ejerce una presión selectiva contra los microbios intolerantes de un bajo valor de pH. Como el pH cae, amilolítica y bacterias ácido-tolerantes aumentan mientras que los microbios celulolíticas disminuyen, hidratos de carbono </w:t>
      </w:r>
      <w:r>
        <w:rPr>
          <w:spacing w:val="-3"/>
        </w:rPr>
        <w:t>no </w:t>
      </w:r>
      <w:r>
        <w:rPr/>
        <w:t>estructural excesiva (NSC) puede deprimir la energía disponible de la producción de ácido propiónico y láctico reducir la síntesis de proteína microbiana (Tan et al., 2002b), y disminuyen la digestibilidad de la fibra así como causar anormalidades en el tejido rumen, lo que puede conducir a úlceras y abscesos hepáticos en animales (Ishler,</w:t>
      </w:r>
      <w:r>
        <w:rPr>
          <w:spacing w:val="-19"/>
        </w:rPr>
        <w:t> </w:t>
      </w:r>
      <w:r>
        <w:rPr/>
        <w:t>1996).</w:t>
      </w:r>
    </w:p>
    <w:p>
      <w:pPr>
        <w:pStyle w:val="BodyText"/>
      </w:pPr>
    </w:p>
    <w:p>
      <w:pPr>
        <w:pStyle w:val="BodyText"/>
        <w:spacing w:before="141"/>
        <w:ind w:left="259"/>
        <w:jc w:val="both"/>
      </w:pPr>
      <w:r>
        <w:rPr>
          <w:color w:val="1F487C"/>
        </w:rPr>
        <w:t>Parte 2. Fracciones</w:t>
      </w:r>
    </w:p>
    <w:p>
      <w:pPr>
        <w:pStyle w:val="ListParagraph"/>
        <w:numPr>
          <w:ilvl w:val="1"/>
          <w:numId w:val="20"/>
        </w:numPr>
        <w:tabs>
          <w:tab w:pos="678" w:val="left" w:leader="none"/>
        </w:tabs>
        <w:spacing w:line="240" w:lineRule="auto" w:before="141" w:after="0"/>
        <w:ind w:left="677" w:right="0" w:hanging="418"/>
        <w:jc w:val="both"/>
        <w:rPr>
          <w:color w:val="1F487C"/>
          <w:sz w:val="24"/>
        </w:rPr>
      </w:pPr>
      <w:r>
        <w:rPr>
          <w:color w:val="1F487C"/>
          <w:sz w:val="24"/>
        </w:rPr>
        <w:t>Cinética de producción de gas in</w:t>
      </w:r>
      <w:r>
        <w:rPr>
          <w:color w:val="1F487C"/>
          <w:spacing w:val="-14"/>
          <w:sz w:val="24"/>
        </w:rPr>
        <w:t> </w:t>
      </w:r>
      <w:r>
        <w:rPr>
          <w:color w:val="1F487C"/>
          <w:sz w:val="24"/>
        </w:rPr>
        <w:t>vitro</w:t>
      </w:r>
    </w:p>
    <w:p>
      <w:pPr>
        <w:pStyle w:val="BodyText"/>
      </w:pPr>
    </w:p>
    <w:p>
      <w:pPr>
        <w:pStyle w:val="BodyText"/>
        <w:spacing w:before="1"/>
      </w:pPr>
    </w:p>
    <w:p>
      <w:pPr>
        <w:pStyle w:val="BodyText"/>
        <w:spacing w:line="360" w:lineRule="auto"/>
        <w:ind w:left="259" w:right="238"/>
        <w:jc w:val="both"/>
      </w:pPr>
      <w:r>
        <w:rPr/>
        <w:t>En 1968, Guggolz et al. analizó sistemáticamente la composición química de las diferentes partes de semilla de cártamo (Guggolz et al., 1968), posteriormente una pocas investigaciones valiosas informaron el aporte nutricional de semillas de cártamo en la alimentación animal y de producción (in vivo o in situ) (Moon et al., 2001; Lee et al., 2004; Bozan y Temelli, 2008; Alizadeh et al, 2010;.. Dschaak et al, 2010). Algunos valiosa utilización de semilla de cártamo se han reportado para la alimentación de aves, y la función medicinal de la composición de la semilla de cártamo. En este estudio, en los parámetros de producción de gas </w:t>
      </w:r>
      <w:r>
        <w:rPr>
          <w:spacing w:val="6"/>
        </w:rPr>
        <w:t>in </w:t>
      </w:r>
      <w:r>
        <w:rPr/>
        <w:t>vitro   </w:t>
      </w:r>
      <w:r>
        <w:rPr>
          <w:spacing w:val="10"/>
        </w:rPr>
        <w:t> </w:t>
      </w:r>
      <w:r>
        <w:rPr/>
        <w:t>(VF, FRD0,</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5"/>
        <w:jc w:val="both"/>
      </w:pPr>
      <w:r>
        <w:rPr/>
        <w:t>RGT) en el casco cártamo fueron menores que en otras fracciones de semillas de cártamo. Las diferencias en la producción de gas in vitro en entre  diferentes  fracciones de semilla de cártamo, podría ser debido a la proporción y naturaleza de su composición (Rubanza et al.,</w:t>
      </w:r>
      <w:r>
        <w:rPr>
          <w:spacing w:val="-15"/>
        </w:rPr>
        <w:t> </w:t>
      </w:r>
      <w:r>
        <w:rPr/>
        <w:t>2003).</w:t>
      </w:r>
    </w:p>
    <w:p>
      <w:pPr>
        <w:pStyle w:val="BodyText"/>
        <w:spacing w:line="360" w:lineRule="auto"/>
        <w:ind w:left="259" w:right="237"/>
        <w:jc w:val="both"/>
      </w:pPr>
      <w:r>
        <w:rPr/>
        <w:t>Utilizamos las partes puras diferentes de semilla de cártamo como sustrato para la fermentación in vitro, lo que resultó en un mayor rendimiento de fermentación in  vitro de la harina de cártamo de que en toda la semilla y el casco, incluso en kernel. Como se informó anteriormente, combinamos comida cártamo con semilla de sorgo para la fermentación in vitro, el alto contenido de almidón en plomo semilla de sorgo a la alta producción de gas in vitro. Souilah y Djabali (2014) reportaron que un alto contenido de carbohidratos solubles habían mejorado aún más los parámetros de producción de gas más importantes. Ingredientes anti-nutricionales, tales como matairesinol-β-glucósido, 2-hydroxyarctiin-β-glucósido (Jin et al., 2010) y glucósido cianogénico (Satish y Shrivastava, 2011) en la harina de cártamo, en la harina </w:t>
      </w:r>
      <w:r>
        <w:rPr>
          <w:spacing w:val="2"/>
        </w:rPr>
        <w:t>de </w:t>
      </w:r>
      <w:r>
        <w:rPr/>
        <w:t>cártamo podrían dar lugar a la reducción de la in vitro parámetros de producción de gas (VF, RGT y t0,5). En este trabajo, también obtuvimos algunos parámetros valiosas sobre parámetro de forma (b) en el casco tratamiento es semilla de cártamo positivo, entero y kernel estaban alrededor de 0, sin embargo, el valor del parámetro de  </w:t>
      </w:r>
      <w:r>
        <w:rPr>
          <w:spacing w:val="13"/>
        </w:rPr>
        <w:t> </w:t>
      </w:r>
      <w:r>
        <w:rPr/>
        <w:t>forma</w:t>
      </w:r>
    </w:p>
    <w:p>
      <w:pPr>
        <w:pStyle w:val="BodyText"/>
        <w:spacing w:line="360" w:lineRule="auto"/>
        <w:ind w:left="259" w:right="237"/>
        <w:jc w:val="both"/>
      </w:pPr>
      <w:r>
        <w:rPr/>
        <w:t>(b) en las semillas de cártamo fueron negativas (alrededor de - 20), que los datos no  se presentó en las Tablas. Sobre el valor del parámetro de forma, representa positiva de la curva de la producción de gas es similar con s curva con un tiempo de retardo para un sistema de fermentación sellada, de lo contrario, la curva de producción de  gas es como una curva parabólica, representa que este sistema de sellado no tiene ninguna fermentación inicialización limitado, debido a la composición de equilibrio o de alta energía se complementó (Wang et al.,</w:t>
      </w:r>
      <w:r>
        <w:rPr>
          <w:spacing w:val="-22"/>
        </w:rPr>
        <w:t> </w:t>
      </w:r>
      <w:r>
        <w:rPr/>
        <w:t>2013).</w:t>
      </w:r>
    </w:p>
    <w:p>
      <w:pPr>
        <w:pStyle w:val="BodyText"/>
        <w:spacing w:line="360" w:lineRule="auto"/>
        <w:ind w:left="259" w:right="234"/>
        <w:jc w:val="both"/>
      </w:pPr>
      <w:r>
        <w:rPr/>
        <w:t>VF era un parámetro correspondiente relacionado con el carbohidrato no digerible- casco estructural (Bäumler et al., 2006), alta en carbohidratos solubles (Lechartier y Peyraud, 2011), así como los factores anti-nutricionales (tales como glucósido cianogénico) (Satish y Shrivastava, 2011). En este estudio, hemos tenido la producción de gas correspondiente por g de diferentes partes de la semilla de cártamo, de los</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8"/>
        <w:jc w:val="both"/>
      </w:pPr>
      <w:r>
        <w:rPr/>
        <w:t>resultados concluimos comida cártamo tuvo la mayor producción de gas máxima teórica que los de semilla de cártamo conjunto, casco, incluso partición del núcleo. Como no había alto contenido de aceite en semilla de cártamo, la mayoría de ellos depositado en la parte del núcleo de semilla de cártamo, resultó en la producción de gas en baja fermentación in vitro. Los ácidos grasos tienen el potencial de cambiar el ecosistema microbiano, la actividad influencia de alguna capacidad de adhesión bacteriana (Benchaar et al., 2008). Ingredientes anti-nutricionales no digeridas o depositados en cártamo semilla entera / kernel también podrían disminuir la eficacia de la digestión reflejada por los parámetros de producción de gas (VF, FRD0, k, t0,5, RGT, y μ0.5), para la hidratación, la eliminación de inhibidores de la digestión y / o la unión de microbios con sustratos (Mertens, 1993) incrementan el tiempo de adsorción, de modo que sea más dificultad contra el carbohidrato estructural (Tan et al., 2002a). t0,5 de casco era mucho más alta que en la harina de cártamo y el núcleo o semilla entera, podría ser atribuida a que el casco del SFM impedido los procesos de fijación, adhesión, colonización y de degradación de los microorganismos ruminales (Varga y KOLVER, 1997).</w:t>
      </w:r>
    </w:p>
    <w:p>
      <w:pPr>
        <w:pStyle w:val="ListParagraph"/>
        <w:numPr>
          <w:ilvl w:val="1"/>
          <w:numId w:val="20"/>
        </w:numPr>
        <w:tabs>
          <w:tab w:pos="677" w:val="left" w:leader="none"/>
        </w:tabs>
        <w:spacing w:line="240" w:lineRule="auto" w:before="0" w:after="0"/>
        <w:ind w:left="676" w:right="0" w:hanging="417"/>
        <w:jc w:val="both"/>
        <w:rPr>
          <w:color w:val="233E5F"/>
          <w:sz w:val="24"/>
        </w:rPr>
      </w:pPr>
      <w:r>
        <w:rPr>
          <w:color w:val="233E5F"/>
          <w:sz w:val="24"/>
        </w:rPr>
        <w:t>Rumen</w:t>
      </w:r>
      <w:r>
        <w:rPr>
          <w:color w:val="233E5F"/>
          <w:spacing w:val="-1"/>
          <w:sz w:val="24"/>
        </w:rPr>
        <w:t> </w:t>
      </w:r>
      <w:r>
        <w:rPr>
          <w:color w:val="233E5F"/>
          <w:sz w:val="24"/>
        </w:rPr>
        <w:t>pH</w:t>
      </w:r>
    </w:p>
    <w:p>
      <w:pPr>
        <w:pStyle w:val="BodyText"/>
        <w:spacing w:line="360" w:lineRule="auto" w:before="141"/>
        <w:ind w:left="259" w:right="237"/>
        <w:jc w:val="both"/>
      </w:pPr>
      <w:r>
        <w:rPr/>
        <w:t>Rumen pH es incompatible con concentrados de metabolitos, alto valor de pH siempre adjunto con metabolitos secundarios menores, de lo contrario (Pina et al., 2009). El valor de pH, que varía entre 5,5 y 7,5, se considera como un determinante importante en el rumen in vitro o in vivo de fermentación (Yuan et al., 2010), altamente correlacionado con VFAs, las actividades de población y de la enzima de microbios. Los ácidos grasos como el ácido láctico, que inhibe las membranas de ácido láctico en no ionizado que en forma ionizada, la población de protozoos que son responsables de aproximadamente el 25% de celulolítica microbiana ruminal y ayudar a mantener un pH más alto por que envuelve los gránulos de almidón (Mould et al., 2005). En nuestro estudio, el valor de pH fue de alrededor de 6.7 a 6.9 durante los procesos de fermentación in vitro de diferentes partes de la semilla de cártamo para 48 h. La estabilidad de pH mostró que era beneficioso para toda la fermentación y a los microbios guardados para sobrevivir en un ambiente cómodo</w:t>
      </w:r>
      <w:r>
        <w:rPr>
          <w:spacing w:val="-17"/>
        </w:rPr>
        <w:t> </w:t>
      </w:r>
      <w:r>
        <w:rPr/>
        <w:t>micro-.</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ListParagraph"/>
        <w:numPr>
          <w:ilvl w:val="1"/>
          <w:numId w:val="20"/>
        </w:numPr>
        <w:tabs>
          <w:tab w:pos="678" w:val="left" w:leader="none"/>
        </w:tabs>
        <w:spacing w:line="240" w:lineRule="auto" w:before="66" w:after="0"/>
        <w:ind w:left="677" w:right="0" w:hanging="418"/>
        <w:jc w:val="both"/>
        <w:rPr>
          <w:color w:val="233E5F"/>
          <w:sz w:val="24"/>
        </w:rPr>
      </w:pPr>
      <w:r>
        <w:rPr>
          <w:color w:val="233E5F"/>
          <w:sz w:val="24"/>
        </w:rPr>
        <w:t>Digestibilidad de</w:t>
      </w:r>
      <w:r>
        <w:rPr>
          <w:color w:val="233E5F"/>
          <w:spacing w:val="-8"/>
          <w:sz w:val="24"/>
        </w:rPr>
        <w:t> </w:t>
      </w:r>
      <w:r>
        <w:rPr>
          <w:color w:val="233E5F"/>
          <w:sz w:val="24"/>
        </w:rPr>
        <w:t>fibra</w:t>
      </w:r>
    </w:p>
    <w:p>
      <w:pPr>
        <w:pStyle w:val="BodyText"/>
        <w:spacing w:line="360" w:lineRule="auto" w:before="141"/>
        <w:ind w:left="259" w:right="236"/>
        <w:jc w:val="both"/>
      </w:pPr>
      <w:r>
        <w:rPr/>
        <w:t>Otro índice muy importante para evaluar los valores nutricionales de la alimentación es la digestibilidad (Naga y el-Shazly, 1963). En este estudio, el casco tenía un alto contenido de fibra, su in vitro importa desaparición seca (DIVMS) fue la más baja en comparación con otras particiones de semilla de cártamo. Sería debido a la lignificación alto contenido de fibra, como sabemos la fibra lignificada es composición digerible para los microbios del rumen. DIVMS aparente del kernel fue la más alta entre las diferentes partes de la semilla de cártamo, porque tenía ingredientes de alta solubles, por ejemplo, los carbohidratos solubles, proteínas y lípidos. Algunas composiciones se lavaron a cabo por los detergentes de fibra neutros o ácidos, que habían sido calculados en DIVMS resultado. Es por eso que también se calculó no digestibilidad de la fibra, FDN y FDA digestibilidad (en porcentaje). NDF / ADF digestibilidad de Kernel eran alrededor de 100% o un poco mayor que 100%, como altas capacidades solubles de ingredientes en kernel de cártamo o podría ser los microbios adjuntos a la bolsa de nylon fermentado in vitro. Toda semilla tienen una mayor digestibilidad de FDN y FDA que la harina de cártamo, porque el cálculo de los contenidos originales NDF o ADF (en porcentaje) en toda la semilla fue inferior a la de la harina de cártamo como alto contenido de lípidos depositados en toda la semilla, mientras que otros, harina de cártamo tiene alta NDF / ADF en porcentaje para deshacerse de los lípidos en el mismo. Sin embargo, DIVMS de toda semilla fue similar a la de harina de cártamo, como a los compañeros de las contribuciones de contenido en lípidos que aumentan y algunos factores anti-nutricionales que disminuyen DIVMS (aparente) en toda la semilla, en total, este dos piezas importantes resultaron DIVMS de semillas de cártamo fue similar a la de harina de cártamo, sólo de acuerdo a la verdad DIVMS de harina de cártamo debe ser mayor que el de semilla de cártamo, qué pena, esto necesita un trabajo más para probarlo.</w:t>
      </w:r>
    </w:p>
    <w:p>
      <w:pPr>
        <w:spacing w:before="0"/>
        <w:ind w:left="259" w:right="0" w:firstLine="0"/>
        <w:jc w:val="both"/>
        <w:rPr>
          <w:i/>
          <w:sz w:val="24"/>
        </w:rPr>
      </w:pPr>
      <w:r>
        <w:rPr>
          <w:i/>
          <w:color w:val="233E5F"/>
          <w:sz w:val="24"/>
        </w:rPr>
        <w:t>Parte 3. Suplementación de acietes ricos en ácidos laúrico, oleico, linoleico y linolénico</w:t>
      </w:r>
    </w:p>
    <w:p>
      <w:pPr>
        <w:pStyle w:val="ListParagraph"/>
        <w:numPr>
          <w:ilvl w:val="1"/>
          <w:numId w:val="21"/>
        </w:numPr>
        <w:tabs>
          <w:tab w:pos="677" w:val="left" w:leader="none"/>
        </w:tabs>
        <w:spacing w:line="240" w:lineRule="auto" w:before="141" w:after="0"/>
        <w:ind w:left="676" w:right="0" w:hanging="417"/>
        <w:jc w:val="both"/>
        <w:rPr>
          <w:sz w:val="24"/>
        </w:rPr>
      </w:pPr>
      <w:r>
        <w:rPr>
          <w:color w:val="233E5F"/>
          <w:sz w:val="24"/>
        </w:rPr>
        <w:t>LCFA fracciones de bacterias y</w:t>
      </w:r>
      <w:r>
        <w:rPr>
          <w:color w:val="233E5F"/>
          <w:spacing w:val="-13"/>
          <w:sz w:val="24"/>
        </w:rPr>
        <w:t> </w:t>
      </w:r>
      <w:r>
        <w:rPr>
          <w:color w:val="233E5F"/>
          <w:sz w:val="24"/>
        </w:rPr>
        <w:t>protozoarios.</w:t>
      </w:r>
    </w:p>
    <w:p>
      <w:pPr>
        <w:pStyle w:val="BodyText"/>
        <w:spacing w:line="360" w:lineRule="auto" w:before="141"/>
        <w:ind w:left="259" w:right="231"/>
      </w:pPr>
      <w:r>
        <w:rPr/>
        <w:t>Para fracción bacteriana (BAC), ácido esteárico (C18: 0) y ácido palmítico (C16: 0) de la</w:t>
      </w:r>
      <w:r>
        <w:rPr>
          <w:spacing w:val="23"/>
        </w:rPr>
        <w:t> </w:t>
      </w:r>
      <w:r>
        <w:rPr/>
        <w:t>membrana</w:t>
      </w:r>
      <w:r>
        <w:rPr>
          <w:spacing w:val="24"/>
        </w:rPr>
        <w:t> </w:t>
      </w:r>
      <w:r>
        <w:rPr/>
        <w:t>de</w:t>
      </w:r>
      <w:r>
        <w:rPr>
          <w:spacing w:val="23"/>
        </w:rPr>
        <w:t> </w:t>
      </w:r>
      <w:r>
        <w:rPr/>
        <w:t>bacteria</w:t>
      </w:r>
      <w:r>
        <w:rPr>
          <w:spacing w:val="24"/>
        </w:rPr>
        <w:t> </w:t>
      </w:r>
      <w:r>
        <w:rPr/>
        <w:t>biología</w:t>
      </w:r>
      <w:r>
        <w:rPr>
          <w:spacing w:val="24"/>
        </w:rPr>
        <w:t> </w:t>
      </w:r>
      <w:r>
        <w:rPr/>
        <w:t>como</w:t>
      </w:r>
      <w:r>
        <w:rPr>
          <w:spacing w:val="23"/>
        </w:rPr>
        <w:t> </w:t>
      </w:r>
      <w:r>
        <w:rPr/>
        <w:t>la</w:t>
      </w:r>
      <w:r>
        <w:rPr>
          <w:spacing w:val="23"/>
        </w:rPr>
        <w:t> </w:t>
      </w:r>
      <w:r>
        <w:rPr/>
        <w:t>administración</w:t>
      </w:r>
      <w:r>
        <w:rPr>
          <w:spacing w:val="22"/>
        </w:rPr>
        <w:t> </w:t>
      </w:r>
      <w:r>
        <w:rPr/>
        <w:t>de</w:t>
      </w:r>
      <w:r>
        <w:rPr>
          <w:spacing w:val="23"/>
        </w:rPr>
        <w:t> </w:t>
      </w:r>
      <w:r>
        <w:rPr/>
        <w:t>suplementos</w:t>
      </w:r>
      <w:r>
        <w:rPr>
          <w:spacing w:val="24"/>
        </w:rPr>
        <w:t> </w:t>
      </w:r>
      <w:r>
        <w:rPr/>
        <w:t>de</w:t>
      </w:r>
      <w:r>
        <w:rPr>
          <w:spacing w:val="35"/>
        </w:rPr>
        <w:t> </w:t>
      </w:r>
      <w:r>
        <w:rPr/>
        <w:t>ácidos</w:t>
      </w:r>
    </w:p>
    <w:p>
      <w:pPr>
        <w:spacing w:after="0" w:line="360" w:lineRule="auto"/>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9"/>
        <w:jc w:val="both"/>
      </w:pPr>
      <w:r>
        <w:rPr/>
        <w:t>grasos poli- o mono-insaturados (C18: 3, C18: 2 y C18: 1) de semillas de lino, cártamo y canola, fueron mayores que el suministro de aceite de coco, que las riquezas de AGCM (ácido láurico, C12: 0). Implica que los ácidos grasos vegetales exógenas  pueden depositar o asimilar en la membrana de bacterias en cierta medida; Además, bacteria mixto tiene la capacidad </w:t>
      </w:r>
      <w:r>
        <w:rPr>
          <w:spacing w:val="2"/>
        </w:rPr>
        <w:t>de </w:t>
      </w:r>
      <w:r>
        <w:rPr/>
        <w:t>hidrogenar los ácidos grasos insaturados o bien mono- o poli- a ácidos grasos saturados. 12: 0 y C14: 0 fue mayor que éstos en otros tratamientos de aceite cuando se suministra con aceite de coco. Se especula que la bacteria podría asimilar a 12: 0 en su propia membrana biológica y, además de prolongar la cadena de carbono de C12 a C14 en un proceso de metabolismo desconocido compleja. Un muy alto porcentaje de ácido oleico en el aceite de linaza en comparación con el aceite de cártamo, aceite de canola y aceite de coco, que refleja  que algunos de exógena original de PUFA (ácido γ-linolénico, C18: 3) se transforma en el ácido oleico (C18: 1) por algunas enzimas de degradación bacteriana, y luego el ácido oleico se asimilan o depositados en la membrana biológica bacteriana. Esto es consistente con informes anteriores (Chilliard et al, 2009;. Li et al., 2011). Chilliard et al. (. Chilliard et al, 2009) informó la administración de suplementos de ácido linolénico aumentó trans-11 C18: 1 y cis-9, trans-11 CLA en la grasa láctea. Mientras tanto, el ácido linoleico (C18: 2) puede mejorar tanto la trans-10 C18: 1 y trans-10, cis- 12 C18: 2 rendimientos en leche (. Li et al, 2011), pero inferior C12: 0 y C16: 0 rendimiento (Stoffel et al.,</w:t>
      </w:r>
      <w:r>
        <w:rPr>
          <w:spacing w:val="-8"/>
        </w:rPr>
        <w:t> </w:t>
      </w:r>
      <w:r>
        <w:rPr/>
        <w:t>2015).</w:t>
      </w:r>
    </w:p>
    <w:p>
      <w:pPr>
        <w:pStyle w:val="BodyText"/>
        <w:spacing w:line="360" w:lineRule="auto"/>
        <w:ind w:left="259" w:right="238"/>
        <w:jc w:val="both"/>
      </w:pPr>
      <w:r>
        <w:rPr/>
        <w:t>La proporción de ácidos grasos de cadena larga (LCFA) ≥ 18 átomos de carbono y ácidos grasos insaturados en la administración de suplementos de PUFA o MUFA eran más alto que en AGCM del aceite de coco. La diferencia significativa mostró que los ácidos grasos de recursos planta exógenos podrían influir en la distribución de la composición de la membrana microbiana, y aún más para influir en la función de la membrana biológica. Es una interesante mencionar que cambiable de ácidos grasos  cis y trans y cis / trans en relación membranas microbianas como la administración de suplementos de diversos tipos de FA. La proporción de trans- FA de la fracción bacteriana  suministrado  con aceite de linaza (5,91%) era un poco  más baja   </w:t>
      </w:r>
      <w:r>
        <w:rPr>
          <w:spacing w:val="38"/>
        </w:rPr>
        <w:t> </w:t>
      </w:r>
      <w:r>
        <w:rPr/>
        <w:t>que  en</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48"/>
        <w:jc w:val="both"/>
      </w:pPr>
      <w:r>
        <w:rPr/>
        <w:t>otros tratamientos. Esto se asocia con una relación cis / trans que en el aceite de  linaza era triple que la de aceite de</w:t>
      </w:r>
      <w:r>
        <w:rPr>
          <w:spacing w:val="-19"/>
        </w:rPr>
        <w:t> </w:t>
      </w:r>
      <w:r>
        <w:rPr/>
        <w:t>coco.</w:t>
      </w:r>
    </w:p>
    <w:p>
      <w:pPr>
        <w:pStyle w:val="BodyText"/>
        <w:spacing w:line="360" w:lineRule="auto" w:before="1"/>
        <w:ind w:left="259" w:right="231"/>
        <w:jc w:val="both"/>
      </w:pPr>
      <w:r>
        <w:rPr/>
        <w:t>En fracción protozoo, composiciones FA también se cambiaron con suplementos de aceites de plantas exógenas. En primer lugar, los valores de proporción de AGCM </w:t>
      </w:r>
      <w:r>
        <w:rPr>
          <w:spacing w:val="6"/>
        </w:rPr>
        <w:t>en </w:t>
      </w:r>
      <w:r>
        <w:rPr/>
        <w:t>la fracción de protozoos, incluyendo </w:t>
      </w:r>
      <w:r>
        <w:rPr>
          <w:spacing w:val="-4"/>
        </w:rPr>
        <w:t>el </w:t>
      </w:r>
      <w:r>
        <w:rPr/>
        <w:t>ácido láurico (C12: 0), ácido mirístico (C14: 0), ácido myritoleic (C14: 1), ácido pentadecanoico (C15: 0) y ácido palmítico (C16: 0 ), en el tratamiento de aceite de coco fue muy alta en comparación con la suplementación de poli- o mono-insaturados FA. En particular, la proporción de ácido palmítico en la adición de aceite de coco era 21,49%, que fue significativamente mayor (P &lt;0,05) que complementado con otros aceites vegetales, 13,29% en aceite de cártamo, 14,36% en el aceite de canola y 15,73% en aceite de linaza , respectivamente. En segundo lugar, sobre composiciones LCFA en la membrana protozoo. LCFA (≥ 18 carbonos) composiciones en la administración de suplementos de membrana por protozoos del aceite de coco (51.51%) fue significativamente menor que en otros aceites vegetales, 82,33% en aceite de cártamo, 81,06% en el aceite de canola, y 79,18% en aceite </w:t>
      </w:r>
      <w:r>
        <w:rPr>
          <w:spacing w:val="2"/>
        </w:rPr>
        <w:t>de </w:t>
      </w:r>
      <w:r>
        <w:rPr/>
        <w:t>linaza, respectivamente, sin diferencia estadística entre estos tres  aceites  vegetales. En tercer lugar, el cis- y trans- composiciones de PUFA en la membrana protozoos cambiaron con la administración de suplementos de aceites vegetales. Mientras tanto, la proporción de PUFA trans- membrana protozoo en aceite de linaza era 9,06%, que tenía 37,90% veces superior a la media (6,57%) de que en otros aceites vegetales. Aquí, es necesario mencionar que el cis / trans PUFA relación de la administración de suplementos de aceite </w:t>
      </w:r>
      <w:r>
        <w:rPr>
          <w:spacing w:val="2"/>
        </w:rPr>
        <w:t>de </w:t>
      </w:r>
      <w:r>
        <w:rPr/>
        <w:t>canola estaba cerca de 1,5 o 2 veces que la </w:t>
      </w:r>
      <w:r>
        <w:rPr>
          <w:spacing w:val="2"/>
        </w:rPr>
        <w:t>de </w:t>
      </w:r>
      <w:r>
        <w:rPr/>
        <w:t>otros aceites vegetales. Esto implica que más contenido de AGPI cis provienen de la planta de aceite de canola exógeno que se composited principalmente con ácido oleico. Es interesante notar que proporción de carbono impar FA en la administración de suplementos de aceite de coco (4,48%) fue veces aproximadamente el doble en comparación a los aceites de cártamo, linaza y canola con la composición principal de poli- o mono- insaturados FA. Eso es debido a que la proporción de ácido pentadecanoico (C15: 0), ácido heptadecanoico (C17: 0), ácido y cis-10-heptadecenoic (C17: 1) en aceite de  coco eran alrededor de veces el doble que en otros aceites vegetales. También</w:t>
      </w:r>
      <w:r>
        <w:rPr>
          <w:spacing w:val="51"/>
        </w:rPr>
        <w:t> </w:t>
      </w:r>
      <w:r>
        <w:rPr/>
        <w:t>implica</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6"/>
        <w:jc w:val="both"/>
      </w:pPr>
      <w:r>
        <w:rPr/>
        <w:t>que el ácido láurico exógena (C12: 0) podría prolongarse hasta más carbonos FA y sintetiza en la membrana protozoo. Baja proporción de ácidos grasos incluso en carbono saturado pero mayor proporción de ácidos grasos incluso-carbono  insaturado se obtuvieron en aceite de linaza que en otros aceites vegetales, que era consistente con las proporciones de ácido / grasos insaturados saturados obtenidos aquí con los valores de 3,83 en aceite de linaza en comparación con otros aceites con  el valor promedio de 5.27. El / insaturado FA saturado parece estar relacionado con la hidrofobicidad</w:t>
      </w:r>
      <w:r>
        <w:rPr>
          <w:spacing w:val="-2"/>
        </w:rPr>
        <w:t> </w:t>
      </w:r>
      <w:r>
        <w:rPr/>
        <w:t>(Kundu</w:t>
      </w:r>
      <w:r>
        <w:rPr>
          <w:spacing w:val="-2"/>
        </w:rPr>
        <w:t> </w:t>
      </w:r>
      <w:r>
        <w:rPr/>
        <w:t>et</w:t>
      </w:r>
      <w:r>
        <w:rPr>
          <w:spacing w:val="-3"/>
        </w:rPr>
        <w:t> </w:t>
      </w:r>
      <w:r>
        <w:rPr/>
        <w:t>al.,</w:t>
      </w:r>
      <w:r>
        <w:rPr>
          <w:spacing w:val="-4"/>
        </w:rPr>
        <w:t> </w:t>
      </w:r>
      <w:r>
        <w:rPr/>
        <w:t>2013),</w:t>
      </w:r>
      <w:r>
        <w:rPr>
          <w:spacing w:val="-4"/>
        </w:rPr>
        <w:t> </w:t>
      </w:r>
      <w:r>
        <w:rPr/>
        <w:t>la</w:t>
      </w:r>
      <w:r>
        <w:rPr>
          <w:spacing w:val="-5"/>
        </w:rPr>
        <w:t> </w:t>
      </w:r>
      <w:r>
        <w:rPr/>
        <w:t>fluidez</w:t>
      </w:r>
      <w:r>
        <w:rPr>
          <w:spacing w:val="-2"/>
        </w:rPr>
        <w:t> </w:t>
      </w:r>
      <w:r>
        <w:rPr/>
        <w:t>(Calder</w:t>
      </w:r>
      <w:r>
        <w:rPr>
          <w:spacing w:val="-2"/>
        </w:rPr>
        <w:t> </w:t>
      </w:r>
      <w:r>
        <w:rPr/>
        <w:t>et</w:t>
      </w:r>
      <w:r>
        <w:rPr>
          <w:spacing w:val="-3"/>
        </w:rPr>
        <w:t> </w:t>
      </w:r>
      <w:r>
        <w:rPr/>
        <w:t>al.,</w:t>
      </w:r>
      <w:r>
        <w:rPr>
          <w:spacing w:val="-4"/>
        </w:rPr>
        <w:t> </w:t>
      </w:r>
      <w:r>
        <w:rPr>
          <w:spacing w:val="2"/>
        </w:rPr>
        <w:t>1994),</w:t>
      </w:r>
      <w:r>
        <w:rPr>
          <w:spacing w:val="-4"/>
        </w:rPr>
        <w:t> </w:t>
      </w:r>
      <w:r>
        <w:rPr/>
        <w:t>el</w:t>
      </w:r>
      <w:r>
        <w:rPr>
          <w:spacing w:val="-2"/>
        </w:rPr>
        <w:t> </w:t>
      </w:r>
      <w:r>
        <w:rPr/>
        <w:t>estrés</w:t>
      </w:r>
      <w:r>
        <w:rPr>
          <w:spacing w:val="-5"/>
        </w:rPr>
        <w:t> </w:t>
      </w:r>
      <w:r>
        <w:rPr/>
        <w:t>osmótico</w:t>
      </w:r>
      <w:r>
        <w:rPr>
          <w:spacing w:val="-2"/>
        </w:rPr>
        <w:t> </w:t>
      </w:r>
      <w:r>
        <w:rPr/>
        <w:t>y la permeabilidad (Machado et al.,</w:t>
      </w:r>
      <w:r>
        <w:rPr>
          <w:spacing w:val="-11"/>
        </w:rPr>
        <w:t> </w:t>
      </w:r>
      <w:r>
        <w:rPr/>
        <w:t>2004).</w:t>
      </w:r>
    </w:p>
    <w:p>
      <w:pPr>
        <w:pStyle w:val="BodyText"/>
        <w:spacing w:line="360" w:lineRule="auto"/>
        <w:ind w:left="259" w:right="232"/>
        <w:jc w:val="both"/>
      </w:pPr>
      <w:r>
        <w:rPr/>
        <w:t>Obviamente, hubo diferencia entre media (39,05% frente a 26,48%) y la larga cadena FA (60,95% frente a 73,52%) en fracciones bacterianas y por protozoos. Un valor mayor proporción de la composición de FA medio en el que las bacterias que en la fracción de protozoos, implica que las bacterias tiene más capacidad de asimilar  ácidos grasos de cadena media de los protozoos. Mientras tanto, la mayor proporción de ácido palmítico en la membrana bacteriana como la correspondiente que con  mayor proporción de ácido esteárico en la membrana protozoos. La hidrofobicidad de la membrana celular de microbios, excepto fuerte relacionada con ácidos grasos hidroxilo, también es extremadamente dependiente de la </w:t>
      </w:r>
      <w:r>
        <w:rPr>
          <w:spacing w:val="2"/>
        </w:rPr>
        <w:t>larga </w:t>
      </w:r>
      <w:r>
        <w:rPr/>
        <w:t>cadena / medio, saturado / insaturado composición FA en la membrana (Kaczorek et al., 2013). También se puede concluir, protozoo puede extender de cadena media exógeno FA a partir de ácido láurico (C12: 0) a ácido palmítico (C16: 0) en cierta medida. Además, la proporción de ácido esteárico en protozoo y membranas biológicas bacterianas fue aumentando con la administración de suplementos de </w:t>
      </w:r>
      <w:r>
        <w:rPr>
          <w:spacing w:val="2"/>
        </w:rPr>
        <w:t>mono- </w:t>
      </w:r>
      <w:r>
        <w:rPr/>
        <w:t>y poli- exógeno FA insaturado en comparación con la administración de suplementos de MCFA. Sin embargo, la proporción de ácido palmítico (C16: 0) composición de tratamientos de aceite en protozoo fue menor que en la membrana bacteriana. La composición FA de membrana bacteriana y protozoo no es sólo se refiere a la diferencia entre  estos ácidos grasos típicos, pero también menciona a algunos ácidos grasos de micronutrientes funcionales tales como el ácido linolénico conjugado (Lee, 2013), y ácido docosahexaenoico (DHA) (Boeckaert et al., 2008; Torok et al, 2014).. Como se</w:t>
      </w:r>
      <w:r>
        <w:rPr>
          <w:spacing w:val="-1"/>
        </w:rPr>
        <w:t> </w:t>
      </w:r>
      <w:r>
        <w:rPr/>
        <w:t>ha</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7"/>
        <w:jc w:val="both"/>
      </w:pPr>
      <w:r>
        <w:rPr/>
        <w:t>mencionado en informes anteriores, protozoos y bacterias implican de alguna diferente proceso de metabolismo biológico (Ushida y Jouany, 1996;. Ranilla et al, 2007), lo que podría ser fuerte en relación con la composición de diferencia en la membrana bacteriana y protozoos, bacterias y protozoos que tienen diferente función en el rumen micro-entorno porque que la función de los microorganismos son altos en relación con su estructura y composición (Huws et al, 2009;.. Belanche et al, 2011).</w:t>
      </w:r>
    </w:p>
    <w:p>
      <w:pPr>
        <w:pStyle w:val="ListParagraph"/>
        <w:numPr>
          <w:ilvl w:val="1"/>
          <w:numId w:val="21"/>
        </w:numPr>
        <w:tabs>
          <w:tab w:pos="677" w:val="left" w:leader="none"/>
        </w:tabs>
        <w:spacing w:line="240" w:lineRule="auto" w:before="0" w:after="0"/>
        <w:ind w:left="676" w:right="0" w:hanging="417"/>
        <w:jc w:val="both"/>
        <w:rPr>
          <w:sz w:val="24"/>
        </w:rPr>
      </w:pPr>
      <w:r>
        <w:rPr>
          <w:color w:val="233E5F"/>
          <w:sz w:val="24"/>
        </w:rPr>
        <w:t>VFA en</w:t>
      </w:r>
      <w:r>
        <w:rPr>
          <w:color w:val="233E5F"/>
          <w:spacing w:val="-8"/>
          <w:sz w:val="24"/>
        </w:rPr>
        <w:t> </w:t>
      </w:r>
      <w:r>
        <w:rPr>
          <w:color w:val="233E5F"/>
          <w:sz w:val="24"/>
        </w:rPr>
        <w:t>fermentación</w:t>
      </w:r>
    </w:p>
    <w:p>
      <w:pPr>
        <w:pStyle w:val="BodyText"/>
        <w:spacing w:line="360" w:lineRule="auto" w:before="141"/>
        <w:ind w:left="259" w:right="237"/>
        <w:jc w:val="both"/>
      </w:pPr>
      <w:r>
        <w:rPr/>
        <w:t>Ácidos grasos volátiles (AGV), como productos intermedios segundo metabolizar en todo el sistema de fermentación ruminal, se han demostrado de manera eficiente la reflexión el rendimiento de la fermentación de microorganismos del rumen en las correspondientes condiciones de fermentación complejos. Todos los valores propios de ácido acético, ácido propiónico, ácido butírico, ácido isovalérico y ácido valérico en presencia de aceites de cártamo, linaza, colza y coco fueron mayores en comparación a la de control. Entre, ácido acético y ácido propiónico en presencia de aceite de linaza fue mayor que en el aceite de canola, aceite de cártamo, aceite de coco y en turno. El valor propio de AGV totales en la existencia de ácidos grasos exógenos de linaza, canola, cártamo, aceites de coco y se aumentó pero sin diferencia estadística entre en la presencia o ausencia de aceites de plantas, que es consistente con otros informes presentados mejorar un poco (Lin et al., 2013). Los Ac / valores Pro de todos los tratamientos se variaron desde 3,4 hasta 3,8 obtenido en este estudio, los resultados mostraron que un estado nutricional deficiente, siempre en el tratamiento en blanco del estudio presencia, había disminuido Ac / valores Pro. Mientras tanto, Ac / valores Pro en presencia de aceites vegetales exógenas también se redujeron, además, que los valores en presencia de aceites de cártamo, linaza, canola y coco eran incluso más baja que en el mal estado nutricional. Esto implica que el valor propio de ácido propiónico en presencia de aceites de cártamo, linaza, colza y coco se incrementó rápidamente que el ácido acético.</w:t>
      </w:r>
    </w:p>
    <w:p>
      <w:pPr>
        <w:pStyle w:val="BodyText"/>
        <w:spacing w:line="360" w:lineRule="auto"/>
        <w:ind w:left="259" w:right="245"/>
        <w:jc w:val="both"/>
      </w:pPr>
      <w:r>
        <w:rPr/>
        <w:t>Sin embargo, el ácido isobutírico en presencia de aceite de coco era un poco más baja, en comparación con la presencia de cártamo, linaza o aceite de canola, incluso con el tratamiento control. Además, los valores propios de ácido isovalérico y ácido  valérico</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45"/>
        <w:jc w:val="both"/>
      </w:pPr>
      <w:r>
        <w:rPr/>
        <w:t>en presencia de aceite de canola fueron más altos que en el orden de aceite de linaza, aceite de cártamo y aceite en vez de coco. A pesar de que, los valores propios de AGV totales no cambiaron con la presencia de aceites vegetales exógenas, en cierta medida, similar con otros informes (Ueda et al., 2003). Como Hristov et al. (2011) informaron de que el ácido láurico redujo los recuentos de protozoos en el rumen, así como de etilo, AGV totales, en comparación con ácido esteárico y ácido mirístico. En este trabajo, los dos valores propios de etilo y AGV totales en presencia de aceite de coco fueron más bajos que en los aceites de cártamo, linaza y canola. Eso podría significar ácidos grasos exógenos fueron absorbidos principalmente y asimilados en la membrana biológica por microorganismos, al menos no degrada en los ácidos grasos de cadena corta, en cierta medida, o sin más intermediarios de metabolitos tales como VFAs para participar en otros procesos de metabolitos.</w:t>
      </w:r>
    </w:p>
    <w:p>
      <w:pPr>
        <w:pStyle w:val="ListParagraph"/>
        <w:numPr>
          <w:ilvl w:val="1"/>
          <w:numId w:val="21"/>
        </w:numPr>
        <w:tabs>
          <w:tab w:pos="678" w:val="left" w:leader="none"/>
        </w:tabs>
        <w:spacing w:line="240" w:lineRule="auto" w:before="0" w:after="0"/>
        <w:ind w:left="677" w:right="0" w:hanging="418"/>
        <w:jc w:val="both"/>
        <w:rPr>
          <w:sz w:val="24"/>
        </w:rPr>
      </w:pPr>
      <w:r>
        <w:rPr>
          <w:color w:val="233E5F"/>
          <w:sz w:val="24"/>
        </w:rPr>
        <w:t>Producción de metano in presencia de de plantas</w:t>
      </w:r>
      <w:r>
        <w:rPr>
          <w:color w:val="233E5F"/>
          <w:spacing w:val="-31"/>
          <w:sz w:val="24"/>
        </w:rPr>
        <w:t> </w:t>
      </w:r>
      <w:r>
        <w:rPr>
          <w:color w:val="233E5F"/>
          <w:sz w:val="24"/>
        </w:rPr>
        <w:t>oleaginosas</w:t>
      </w:r>
    </w:p>
    <w:p>
      <w:pPr>
        <w:pStyle w:val="BodyText"/>
        <w:spacing w:line="360" w:lineRule="auto" w:before="141"/>
        <w:ind w:left="259" w:right="235"/>
        <w:jc w:val="both"/>
      </w:pPr>
      <w:r>
        <w:rPr/>
        <w:t>El metano (CH4) de producción a las 48 h de fermentación se midieron por triplicado, y todos los valores en presencia de aceites exógenos y tratamiento de control se presentaron con el valor incluyendo valor propio de blanco. La producción de metano del tratamiento en blanco era 7,4 mmol / ml. En este trabajo, excepto el valor propio de CH4 en presencia </w:t>
      </w:r>
      <w:r>
        <w:rPr>
          <w:spacing w:val="2"/>
        </w:rPr>
        <w:t>de </w:t>
      </w:r>
      <w:r>
        <w:rPr/>
        <w:t>aceite de linaza fue 46,2 mmol / g sustrato, que un poco </w:t>
      </w:r>
      <w:r>
        <w:rPr>
          <w:spacing w:val="4"/>
        </w:rPr>
        <w:t>más </w:t>
      </w:r>
      <w:r>
        <w:rPr/>
        <w:t>alto que el de cártamo o canola (42,6 vs. 42,5 mmol g sustrato /), y los valores propios de estos eran mayor que en el aceite </w:t>
      </w:r>
      <w:r>
        <w:rPr>
          <w:spacing w:val="2"/>
        </w:rPr>
        <w:t>de </w:t>
      </w:r>
      <w:r>
        <w:rPr/>
        <w:t>coco (39,4 mmol / g). Como otros informes, presentó el valor propio de metano fue significativa reducción en la presencia  de aceite de coco, aceite de linaza (Panyakaew et al, 2013). (Fiorentini et al, 2014;.. Li et al, 2015), el aceite de cártamo (Li et al., 2011), pero no cambió in situ según lo informado por Hristov et al. (2011). Como el complejo entorno de fermentación, incluso con el mismo suministro de aceite vegetal en las dietas de rumiantes o como un suplementario añadido a la fermentación in vitro, </w:t>
      </w:r>
      <w:r>
        <w:rPr>
          <w:spacing w:val="-3"/>
        </w:rPr>
        <w:t>no </w:t>
      </w:r>
      <w:r>
        <w:rPr/>
        <w:t>hay excepción de que la producción de metano es diferente distinción en el experimento y el medio</w:t>
      </w:r>
      <w:r>
        <w:rPr>
          <w:spacing w:val="-34"/>
        </w:rPr>
        <w:t> </w:t>
      </w:r>
      <w:r>
        <w:rPr/>
        <w:t>ambiente.</w:t>
      </w:r>
    </w:p>
    <w:p>
      <w:pPr>
        <w:pStyle w:val="ListParagraph"/>
        <w:numPr>
          <w:ilvl w:val="1"/>
          <w:numId w:val="21"/>
        </w:numPr>
        <w:tabs>
          <w:tab w:pos="678" w:val="left" w:leader="none"/>
        </w:tabs>
        <w:spacing w:line="240" w:lineRule="auto" w:before="0" w:after="0"/>
        <w:ind w:left="677" w:right="0" w:hanging="418"/>
        <w:jc w:val="both"/>
        <w:rPr>
          <w:sz w:val="24"/>
        </w:rPr>
      </w:pPr>
      <w:r>
        <w:rPr>
          <w:color w:val="233E5F"/>
          <w:sz w:val="24"/>
        </w:rPr>
        <w:t>Sinergismo de VFAs, CH4 and LCFAs of bacteria y</w:t>
      </w:r>
      <w:r>
        <w:rPr>
          <w:color w:val="233E5F"/>
          <w:spacing w:val="-14"/>
          <w:sz w:val="24"/>
        </w:rPr>
        <w:t> </w:t>
      </w:r>
      <w:r>
        <w:rPr>
          <w:color w:val="233E5F"/>
          <w:sz w:val="24"/>
        </w:rPr>
        <w:t>protozoarios</w:t>
      </w:r>
    </w:p>
    <w:p>
      <w:pPr>
        <w:pStyle w:val="BodyText"/>
        <w:spacing w:line="360" w:lineRule="auto" w:before="141"/>
        <w:ind w:left="259" w:right="248"/>
        <w:jc w:val="both"/>
      </w:pPr>
      <w:r>
        <w:rPr/>
        <w:t>Es interesante mencionar que la combinación de perfiles LCFAs en la membrana bacteriana  y  por  protozoos  y  los  ácidos  grasos  de  cadena  corta  (AGV)  a  una</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3"/>
        <w:jc w:val="both"/>
      </w:pPr>
      <w:r>
        <w:rPr/>
        <w:t>explicación más detallada del afecto de los </w:t>
      </w:r>
      <w:r>
        <w:rPr>
          <w:spacing w:val="2"/>
        </w:rPr>
        <w:t>ácidos </w:t>
      </w:r>
      <w:r>
        <w:rPr/>
        <w:t>grasos exógenos en la biosíntesis y  la asimilación biológica de membrana de los microorganismos en el rumen. </w:t>
      </w:r>
      <w:r>
        <w:rPr>
          <w:spacing w:val="2"/>
        </w:rPr>
        <w:t>La </w:t>
      </w:r>
      <w:r>
        <w:rPr/>
        <w:t>alta proporción de AGCM obtuvo en presencia </w:t>
      </w:r>
      <w:r>
        <w:rPr>
          <w:spacing w:val="2"/>
        </w:rPr>
        <w:t>de </w:t>
      </w:r>
      <w:r>
        <w:rPr/>
        <w:t>aceite de coco, que es importante compuesta de ácido láurico, combinado con la menor producción de AGV, incluyendo ácido acético, ácido propiónico, ácido isobutírico, ácido butírico, ácido isovalérico y ácido valérico, implica que microorganismos del rumen (incluyendo bacterias y protozoos) tienen más potente para prolongar ácido láurico exógeno </w:t>
      </w:r>
      <w:r>
        <w:rPr>
          <w:spacing w:val="2"/>
        </w:rPr>
        <w:t>(C12: </w:t>
      </w:r>
      <w:r>
        <w:rPr/>
        <w:t>0) a la síntesis de ácidos grasos de cadena larga medianas tales como C14: 0, C14: 1, C16: 0 y C16: 1, en lugar de degradar ácido láurico en los ácidos grasos de cadena corta, tales como ácido acético, ácido propiónico, ácido isobutírico, ácido butírico, ácido isovalérico y ácido valérico. Esto implica que el ácido láurico relacionada con sintetasa prolongada tiene una mayor actividad, en comparación con las enzimas de degradación. Chilliard et al. (2009) utilizaron el aceite de linaza como un regulador para modular las dietas de vacas Holstein lactantes, para obtener la composición y producción de metano FA, entonces a análisis de la correlación entre la FA con  metano. Los resultados sugieren que el aceite de linaza disminuye FA desde C4: 0 a C16: 0 y el aumento de C18: 0, trans-11 C16: 1, todo cis- y trans C18: 1 (excepto trans- 11 C18: 1), y no conjugado trans C18: 2 isómeros. Las correlaciones más positiva (r = 0,87 a 0,91) entre la leche FA concentraciones de metano y de salida se observaron para saturada de FA C6: 0 a C16: 0 y C10 para: 1, y las correlaciones más negativos (r</w:t>
      </w:r>
      <w:r>
        <w:rPr>
          <w:spacing w:val="-31"/>
        </w:rPr>
        <w:t> </w:t>
      </w:r>
      <w:r>
        <w:rPr/>
        <w:t>=</w:t>
      </w:r>
    </w:p>
    <w:p>
      <w:pPr>
        <w:pStyle w:val="BodyText"/>
        <w:spacing w:line="360" w:lineRule="auto"/>
        <w:ind w:left="259" w:right="234"/>
        <w:jc w:val="both"/>
      </w:pPr>
      <w:r>
        <w:rPr/>
        <w:t>-0,86 a -0,90 ) se observaron para trans-16, cis-14 C18: 1; cis-9, trans-13 C18: 2; trans- 11 C16: 1; y trans-12 C18: 1. Se sugirió que la leche perfil FA puede ser considerado  un indicador potencial de la producción</w:t>
      </w:r>
      <w:r>
        <w:rPr>
          <w:spacing w:val="-37"/>
        </w:rPr>
        <w:t> </w:t>
      </w:r>
      <w:r>
        <w:rPr/>
        <w:t>de metano in vivo en los rumiantes.</w:t>
      </w:r>
    </w:p>
    <w:p>
      <w:pPr>
        <w:pStyle w:val="BodyText"/>
        <w:spacing w:line="360" w:lineRule="auto"/>
        <w:ind w:left="259" w:right="244"/>
        <w:jc w:val="both"/>
      </w:pPr>
      <w:r>
        <w:rPr/>
        <w:t>Por otro lado, en presencia de aceite de linaza ha aumentado el ácido oleico, incluso en carbono ácidos grasos insaturados, ácidos grasos cis, y los ácidos grasos trans, 18 carbonos ácidos grasos insaturados proporción en ambas fracciones bacterianas y protozoarias, combinado con perfiles de AGV, ácido acético y ácido propiónico también se incrementaron en presencia de ácido γ-linolénico (aceite de linaza). Esto significa que el ácido γ-linolénico se ha convertido en dobles enlaces cortos o menos FA  por  desaturasas  o  enzimas  degradantes  en  un  entorno  complejo.  Es  una</w:t>
      </w:r>
      <w:r>
        <w:rPr>
          <w:spacing w:val="17"/>
        </w:rPr>
        <w:t> </w:t>
      </w:r>
      <w:r>
        <w:rPr/>
        <w:t>pena</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46"/>
        <w:jc w:val="both"/>
      </w:pPr>
      <w:r>
        <w:rPr/>
        <w:t>mencionar que la falta de algunos ácidos grasos rastro de valor, tales como los ácidos conjugados grasos, o isómeros de C18: 1 y C18: 2 en este estudio debido a la limitada variedad de ácidos grasos en la muestra patrón para identificar algunos picos en el cromatograma.</w:t>
      </w:r>
    </w:p>
    <w:p>
      <w:pPr>
        <w:spacing w:line="360" w:lineRule="auto" w:before="0"/>
        <w:ind w:left="259" w:right="246" w:firstLine="0"/>
        <w:jc w:val="both"/>
        <w:rPr>
          <w:i/>
          <w:sz w:val="24"/>
        </w:rPr>
      </w:pPr>
      <w:r>
        <w:rPr>
          <w:i/>
          <w:color w:val="233E5F"/>
          <w:sz w:val="24"/>
        </w:rPr>
        <w:t>Parte 4. Estudios computacionales experimentales de complejos de redes de distribución </w:t>
      </w:r>
      <w:r>
        <w:rPr>
          <w:i/>
          <w:color w:val="233E5F"/>
          <w:sz w:val="24"/>
        </w:rPr>
        <w:t>basado en  ω-3/ ω-6</w:t>
      </w:r>
    </w:p>
    <w:p>
      <w:pPr>
        <w:pStyle w:val="ListParagraph"/>
        <w:numPr>
          <w:ilvl w:val="1"/>
          <w:numId w:val="22"/>
        </w:numPr>
        <w:tabs>
          <w:tab w:pos="677" w:val="left" w:leader="none"/>
        </w:tabs>
        <w:spacing w:line="240" w:lineRule="auto" w:before="0" w:after="0"/>
        <w:ind w:left="676" w:right="0" w:hanging="417"/>
        <w:jc w:val="both"/>
        <w:rPr>
          <w:sz w:val="24"/>
        </w:rPr>
      </w:pPr>
      <w:r>
        <w:rPr>
          <w:color w:val="233E5F"/>
          <w:sz w:val="24"/>
        </w:rPr>
        <w:t>LCFA within ω-6/ω-3</w:t>
      </w:r>
      <w:r>
        <w:rPr>
          <w:color w:val="233E5F"/>
          <w:spacing w:val="-6"/>
          <w:sz w:val="24"/>
        </w:rPr>
        <w:t> </w:t>
      </w:r>
      <w:r>
        <w:rPr>
          <w:color w:val="233E5F"/>
          <w:sz w:val="24"/>
        </w:rPr>
        <w:t>PUFAs</w:t>
      </w:r>
    </w:p>
    <w:p>
      <w:pPr>
        <w:pStyle w:val="BodyText"/>
        <w:spacing w:line="360" w:lineRule="auto" w:before="141"/>
        <w:ind w:left="259" w:right="231"/>
        <w:jc w:val="both"/>
      </w:pPr>
      <w:r>
        <w:rPr/>
        <w:t>Es bien conocido que el desequilibrio de ω-6 / ω-3 proporciones en la dieta tiene el potencial de inducir la inflamación, asma, artritis, enfermedad vascular (Calder, 2006a), pero alto nivel de ω-3 ejercen un efecto supresor ( Calder,  2006b,  2008, 2013;. Cittadini et al, 2013). Todo el contenido cis-AF aumentó con exógeno ω-3 PUFA, trans-AF disminuyó en bacterias fase biológica. Esto se traduce directamente en la proporción cada vez mayor de composiciones de ácidos grasos cis / trans con el aumento de la exógeno ω-3 PUFA. Esto significa PUFAs exógenos son degradados por los microorganismos del rumen, o tienen procesos de metabolismo más complejos para que conduce a metabolismo intermediario con ambos de formulación AF insaturado cis y trans. La biohidrogenación de ácido linoleico (LA, 9 cis, cis 12- C18: 2) en el rumen se isomeriza a cis 9, trans 11- C18: 2 isómero (ácido linoleico conjugado, CLA), la conversión de este isómero trans a 11- C18 : 1 (ácido vaccénico), y la reducción de ácido esteárico (C18: 0) (Nam y Garnsworthy, 2007). Considerando que el bio-hidrogenación de α-linolénico (ALA) se caracteriza por isomerización a 9, 11, 15- cis, trans, cis C18: 3 de isómeros y posterior reducción a través de cis, isómeros trans C18: 2 C18: 1 y luego en ácido esteárico (Wilde y Dawson, 1966). Esta investigación mostró que ω-3 PUFA (ácido α-linolénico) podría aumentar el contenido de cis-AF en comparación con ω-6 PUFA (ácido linoleico) en ambos de las bacterias y los protozoos fases.</w:t>
      </w:r>
    </w:p>
    <w:p>
      <w:pPr>
        <w:pStyle w:val="BodyText"/>
        <w:spacing w:line="360" w:lineRule="auto"/>
        <w:ind w:left="259" w:right="245"/>
        <w:jc w:val="both"/>
      </w:pPr>
      <w:r>
        <w:rPr/>
        <w:t>En segundo lugar, los valores de IPA de C16: 0 y C18: 0 en la fase bacteriana fueron 18,7% y 57,8%, mientras que aquellos en fase protozoo eran 13,3% y 67,5%, respectivamente. El ω-6 exógena / ω-3 proporciones no tienen ningún efecto significativo  sobre estos dos ácidos grasos  principales en  ambas  fases bacterianas  y</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40"/>
        <w:jc w:val="both"/>
      </w:pPr>
      <w:r>
        <w:rPr/>
        <w:t>protozoarias. Sin embargo, la menor diferencia de composición de lípidos como relaciones de ácido esteárico / palmítico, o ácidos insaturados / saturados grasos en la membrana biológica bacteriana y protozoo, puede desencadenar una gran diferencia en la función de las membranas de bacterias y protozoos (por ejemplo, fluidez de la membrana, la permeabilidad , hidrofobicidad y estabilidad) (Goldfine, 1984;. Kankaanpää et al, 2004), o más de los grupos funcionales (Janmey y Kinnunen, 2006; Bay y Turner, 2013) como específicos de péptidos, enzimas, o canales, etc. esteárico ácido en la membrana protozoos es mayor (aproximadamente 14,0%) que en la membrana de las bacterias, a diferencia de otros ácidos grasos.</w:t>
      </w:r>
    </w:p>
    <w:p>
      <w:pPr>
        <w:pStyle w:val="BodyText"/>
        <w:spacing w:line="360" w:lineRule="auto"/>
        <w:ind w:left="259" w:right="238"/>
        <w:jc w:val="both"/>
      </w:pPr>
      <w:r>
        <w:rPr/>
        <w:t>En tercer lugar, incluso en carbono saturado FA en el tratamiento de ω-6 / ω-3 = 100: 0 y ω-6 / ω-3 = 20:80 fueron 85,1% y 81,7% en la fase protozoo, mientras que incluso insaturados carbono- FA en aquellos tratamientos eran 13,0% y 15,8%, respectivamente. Aquí, el valor más alto de incluso-carbono insaturado FA apareció en el tratamiento de ω-6 / ω-3 = 20:80, este fenómeno también ocurrió en la fase bacteriana, lo que significa que una alta cantidad de ω-3 PUFAs tiene la tendencia a aumentar las AF incluso en carbono insaturados en comparación con ω-6 PUFAs.</w:t>
      </w:r>
    </w:p>
    <w:p>
      <w:pPr>
        <w:pStyle w:val="BodyText"/>
        <w:ind w:left="259"/>
        <w:jc w:val="both"/>
      </w:pPr>
      <w:r>
        <w:rPr/>
        <w:t>Un hecho interesante es que el ácido linolelaídico (C18: 2, 6t) en proporción ω-6 / ω-3</w:t>
      </w:r>
    </w:p>
    <w:p>
      <w:pPr>
        <w:pStyle w:val="BodyText"/>
        <w:spacing w:line="360" w:lineRule="auto" w:before="141"/>
        <w:ind w:left="259" w:right="238"/>
        <w:jc w:val="both"/>
      </w:pPr>
      <w:r>
        <w:rPr/>
        <w:t>= 100: 0 era un poco más alto que otros tratamientos en fase bacteriana, mientras que una proporción superior apareció en fase protozoo cuando ω-6 / ω-3 = 20:80. Esto podría ser debido a la biohidrogenación de PUFAs (tales como ácido linoleico y ácido linolénico) en el rumen que resulta en la producción de ácidos grasos trans y principalmente ácido esteárico. (Lock y Bauman, 2004) Toda la diferencia en la distribución de ácidos grasos entre bacteriana y fases protozoarios pueden reflejar el protozoo y bacterias que tienen un metabolismo diferente y compleja en los procesos de asimilación, la absorción, la degradación o la síntesis de novo.</w:t>
      </w:r>
    </w:p>
    <w:p>
      <w:pPr>
        <w:pStyle w:val="ListParagraph"/>
        <w:numPr>
          <w:ilvl w:val="1"/>
          <w:numId w:val="22"/>
        </w:numPr>
        <w:tabs>
          <w:tab w:pos="677" w:val="left" w:leader="none"/>
        </w:tabs>
        <w:spacing w:line="240" w:lineRule="auto" w:before="0" w:after="0"/>
        <w:ind w:left="676" w:right="0" w:hanging="417"/>
        <w:jc w:val="both"/>
        <w:rPr>
          <w:sz w:val="24"/>
        </w:rPr>
      </w:pPr>
      <w:r>
        <w:rPr>
          <w:color w:val="233E5F"/>
          <w:sz w:val="24"/>
        </w:rPr>
        <w:t>VFA ω-6/ω-3</w:t>
      </w:r>
      <w:r>
        <w:rPr>
          <w:color w:val="233E5F"/>
          <w:spacing w:val="-5"/>
          <w:sz w:val="24"/>
        </w:rPr>
        <w:t> </w:t>
      </w:r>
      <w:r>
        <w:rPr>
          <w:color w:val="233E5F"/>
          <w:sz w:val="24"/>
        </w:rPr>
        <w:t>PUFAs</w:t>
      </w:r>
    </w:p>
    <w:p>
      <w:pPr>
        <w:pStyle w:val="BodyText"/>
        <w:spacing w:line="360" w:lineRule="auto" w:before="141"/>
        <w:ind w:left="259" w:right="242"/>
        <w:jc w:val="both"/>
      </w:pPr>
      <w:r>
        <w:rPr/>
        <w:t>Ácidos grasos volátiles (AGV) son ampliamente consideradas como metabolitos secundarios para reflejar el metabolismo de los lípidos de la hidrogenación, microbiano actividad de la enzima de degradación, y el ciclo de vida del organismo microbiano en el rumen-micro nicho ecológico (Allison et al, 1962;.. Fontanille et al    .,</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4"/>
        <w:jc w:val="both"/>
      </w:pPr>
      <w:r>
        <w:rPr/>
        <w:t>2012) La acético, propiónico y butírico son la principal VFAs, con proporciones de 43,6%, 23,1% y 19,2%, respectivamente. Mientras tanto, los AGVs de residuos, incluyendo el ácido isobutírico, isovalérico y valérico tenían una proporción total de 14,1%. Es de destacar que no hubo diferencia significativa en VFAs cuando el suministro de diferentes proporciones exógenos </w:t>
      </w:r>
      <w:r>
        <w:rPr>
          <w:spacing w:val="3"/>
        </w:rPr>
        <w:t>ω-6 </w:t>
      </w:r>
      <w:r>
        <w:rPr/>
        <w:t>/ ω-3 PUFAs. Los valores de todos los AGV en el tratamiento de </w:t>
      </w:r>
      <w:r>
        <w:rPr>
          <w:spacing w:val="3"/>
        </w:rPr>
        <w:t>ω-6 </w:t>
      </w:r>
      <w:r>
        <w:rPr/>
        <w:t>/ ω-3 = 80:20 fueron inferiores a los demás, que pueden ser el resultado de la tapa de la botella de los contenedores de almacenamiento que se rompen o no se sellan correctamente. Sin embargo, este estudio se centra en las áreas de los picos proporción de VFA en la misma muestra o tratamiento. Se puede concluir que el ácido acético tuvo una disminución menor, pero el ácido propiónico tenido un ligero aumento, con una proporción creciente de </w:t>
      </w:r>
      <w:r>
        <w:rPr>
          <w:spacing w:val="3"/>
        </w:rPr>
        <w:t>ω-3 </w:t>
      </w:r>
      <w:r>
        <w:rPr/>
        <w:t>PUFAs en los suplementación total de PUFAs exógenos. Incluso si tanto el ácido  acético y ácido propiónico cambiado un poco diferente en términos de proporción de ω-6 y ω-3 PUFAs en un total de 100 mg / g de sustrato, la relación de ácido acético y propiónico se redujo con regularidad, como el aumento de la proporción de </w:t>
      </w:r>
      <w:r>
        <w:rPr>
          <w:spacing w:val="4"/>
        </w:rPr>
        <w:t>ω-3 </w:t>
      </w:r>
      <w:r>
        <w:rPr/>
        <w:t>PUFAs con un promedio de</w:t>
      </w:r>
      <w:r>
        <w:rPr>
          <w:spacing w:val="-4"/>
        </w:rPr>
        <w:t> </w:t>
      </w:r>
      <w:r>
        <w:rPr/>
        <w:t>1,89.</w:t>
      </w:r>
    </w:p>
    <w:p>
      <w:pPr>
        <w:pStyle w:val="ListParagraph"/>
        <w:numPr>
          <w:ilvl w:val="1"/>
          <w:numId w:val="22"/>
        </w:numPr>
        <w:tabs>
          <w:tab w:pos="677" w:val="left" w:leader="none"/>
        </w:tabs>
        <w:spacing w:line="240" w:lineRule="auto" w:before="0" w:after="0"/>
        <w:ind w:left="676" w:right="0" w:hanging="417"/>
        <w:jc w:val="both"/>
        <w:rPr>
          <w:sz w:val="24"/>
        </w:rPr>
      </w:pPr>
      <w:r>
        <w:rPr>
          <w:color w:val="233E5F"/>
          <w:sz w:val="24"/>
        </w:rPr>
        <w:t>PT-LFER model for</w:t>
      </w:r>
      <w:r>
        <w:rPr>
          <w:color w:val="233E5F"/>
          <w:spacing w:val="-7"/>
          <w:sz w:val="24"/>
        </w:rPr>
        <w:t> </w:t>
      </w:r>
      <w:r>
        <w:rPr>
          <w:color w:val="233E5F"/>
          <w:sz w:val="24"/>
        </w:rPr>
        <w:t>FA</w:t>
      </w:r>
    </w:p>
    <w:p>
      <w:pPr>
        <w:pStyle w:val="BodyText"/>
        <w:spacing w:line="360" w:lineRule="auto" w:before="141"/>
        <w:ind w:left="259" w:right="235"/>
        <w:jc w:val="both"/>
      </w:pPr>
      <w:r>
        <w:rPr/>
        <w:t>Fases Un nuevo modelo fue desarrollado útil para predecir la proporción de AF (LCFAs y AGV) en el rumen bacterias protozoo líquidos dentro / sin exógenos </w:t>
      </w:r>
      <w:r>
        <w:rPr>
          <w:spacing w:val="5"/>
        </w:rPr>
        <w:t>ω-6 </w:t>
      </w:r>
      <w:r>
        <w:rPr/>
        <w:t>/ ω-3 PUFA después </w:t>
      </w:r>
      <w:r>
        <w:rPr>
          <w:spacing w:val="2"/>
        </w:rPr>
        <w:t>de </w:t>
      </w:r>
      <w:r>
        <w:rPr/>
        <w:t>las perturbaciones en los descriptores moleculares químicas (VK) y límite experimental inicial condiciones (cj). Cada valor representa un coeficiente correspondiente en el nuevo modelo para predecir la nueva API (%) de cada FA. Como se ha explicado, este modelo puede clasificar como alto (Lnr = 1) / baja (Lnr = 0) la proporción esperada de AF (LCFA / VFA) entre los nuevos y los estados de referencia</w:t>
      </w:r>
      <w:r>
        <w:rPr>
          <w:spacing w:val="15"/>
        </w:rPr>
        <w:t> </w:t>
      </w:r>
      <w:r>
        <w:rPr/>
        <w:t>después</w:t>
      </w:r>
      <w:r>
        <w:rPr>
          <w:spacing w:val="14"/>
        </w:rPr>
        <w:t> </w:t>
      </w:r>
      <w:r>
        <w:rPr/>
        <w:t>de</w:t>
      </w:r>
      <w:r>
        <w:rPr>
          <w:spacing w:val="15"/>
        </w:rPr>
        <w:t> </w:t>
      </w:r>
      <w:r>
        <w:rPr/>
        <w:t>cambiar</w:t>
      </w:r>
      <w:r>
        <w:rPr>
          <w:spacing w:val="17"/>
        </w:rPr>
        <w:t> </w:t>
      </w:r>
      <w:r>
        <w:rPr/>
        <w:t>las</w:t>
      </w:r>
      <w:r>
        <w:rPr>
          <w:spacing w:val="14"/>
        </w:rPr>
        <w:t> </w:t>
      </w:r>
      <w:r>
        <w:rPr/>
        <w:t>condiciones</w:t>
      </w:r>
      <w:r>
        <w:rPr>
          <w:spacing w:val="14"/>
        </w:rPr>
        <w:t> </w:t>
      </w:r>
      <w:r>
        <w:rPr/>
        <w:t>de</w:t>
      </w:r>
      <w:r>
        <w:rPr>
          <w:spacing w:val="15"/>
        </w:rPr>
        <w:t> </w:t>
      </w:r>
      <w:r>
        <w:rPr/>
        <w:t>contorno</w:t>
      </w:r>
      <w:r>
        <w:rPr>
          <w:spacing w:val="17"/>
        </w:rPr>
        <w:t> </w:t>
      </w:r>
      <w:r>
        <w:rPr/>
        <w:t>cj.</w:t>
      </w:r>
      <w:r>
        <w:rPr>
          <w:spacing w:val="15"/>
        </w:rPr>
        <w:t> </w:t>
      </w:r>
      <w:r>
        <w:rPr/>
        <w:t>El</w:t>
      </w:r>
      <w:r>
        <w:rPr>
          <w:spacing w:val="17"/>
        </w:rPr>
        <w:t> </w:t>
      </w:r>
      <w:r>
        <w:rPr/>
        <w:t>parámetro</w:t>
      </w:r>
      <w:r>
        <w:rPr>
          <w:spacing w:val="17"/>
        </w:rPr>
        <w:t> </w:t>
      </w:r>
      <w:r>
        <w:rPr/>
        <w:t>n</w:t>
      </w:r>
      <w:r>
        <w:rPr>
          <w:spacing w:val="16"/>
        </w:rPr>
        <w:t> </w:t>
      </w:r>
      <w:r>
        <w:rPr/>
        <w:t>(Lnr</w:t>
      </w:r>
      <w:r>
        <w:rPr>
          <w:spacing w:val="17"/>
        </w:rPr>
        <w:t> </w:t>
      </w:r>
      <w:r>
        <w:rPr/>
        <w:t>=</w:t>
      </w:r>
    </w:p>
    <w:p>
      <w:pPr>
        <w:pStyle w:val="BodyText"/>
        <w:spacing w:line="360" w:lineRule="auto"/>
        <w:ind w:left="259" w:right="239"/>
        <w:jc w:val="both"/>
      </w:pPr>
      <w:r>
        <w:rPr/>
        <w:t>1) representa el número de casos en el sub-conjunto con LNR = 1 (enlaces en la red), o el mismo con IPA (%) nuevo de la nueva sub-conjunto es superior a la de referencia de la API (%) ref, lo contrario. El mejor modelo PT-LFER encontrado utilizando el algoritmo LDA tiene sólo 12 variables.</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4"/>
        <w:jc w:val="both"/>
      </w:pPr>
      <w:r>
        <w:rPr/>
        <w:t>Cuando, f la función de salida '(Lnr) nueva es una función del patrón de conectividad (Lnr) en el complejo de la red para la co-distribución de AF en referencia y el nuevo estado (valores previstos). F La función de salida '(Lnr) nuevo es útil clasificar los pares de estados (pares de nodos) .Los parámetros estadísticos utilizados fueron especificidad (Sp), sensibilidad (Sn) y exactitud (Ac). En consecuencia, los otros </w:t>
      </w:r>
      <w:r>
        <w:rPr>
          <w:position w:val="2"/>
        </w:rPr>
        <w:t>términos de entrada se ampliaron los siguientes. Por ejemplo,ΔΔV</w:t>
      </w:r>
      <w:r>
        <w:rPr>
          <w:sz w:val="16"/>
        </w:rPr>
        <w:t>k</w:t>
      </w:r>
      <w:r>
        <w:rPr>
          <w:position w:val="2"/>
        </w:rPr>
        <w:t>(c</w:t>
      </w:r>
      <w:r>
        <w:rPr>
          <w:sz w:val="16"/>
        </w:rPr>
        <w:t>j</w:t>
      </w:r>
      <w:r>
        <w:rPr>
          <w:position w:val="2"/>
        </w:rPr>
        <w:t>) = p(c</w:t>
      </w:r>
      <w:r>
        <w:rPr>
          <w:sz w:val="16"/>
        </w:rPr>
        <w:t>j</w:t>
      </w:r>
      <w:r>
        <w:rPr>
          <w:position w:val="2"/>
        </w:rPr>
        <w:t>)</w:t>
      </w:r>
      <w:r>
        <w:rPr>
          <w:sz w:val="16"/>
        </w:rPr>
        <w:t>new </w:t>
      </w:r>
      <w:r>
        <w:rPr>
          <w:position w:val="2"/>
        </w:rPr>
        <w:t>· ΔVk(c</w:t>
      </w:r>
      <w:r>
        <w:rPr>
          <w:sz w:val="16"/>
        </w:rPr>
        <w:t>j</w:t>
      </w:r>
      <w:r>
        <w:rPr>
          <w:position w:val="2"/>
        </w:rPr>
        <w:t>)</w:t>
      </w:r>
      <w:r>
        <w:rPr>
          <w:sz w:val="16"/>
        </w:rPr>
        <w:t>new </w:t>
      </w:r>
      <w:r>
        <w:rPr>
          <w:position w:val="2"/>
        </w:rPr>
        <w:t>– p(c</w:t>
      </w:r>
      <w:r>
        <w:rPr>
          <w:sz w:val="16"/>
        </w:rPr>
        <w:t>j</w:t>
      </w:r>
      <w:r>
        <w:rPr>
          <w:position w:val="2"/>
        </w:rPr>
        <w:t>)</w:t>
      </w:r>
      <w:r>
        <w:rPr>
          <w:sz w:val="16"/>
        </w:rPr>
        <w:t>ref </w:t>
      </w:r>
      <w:r>
        <w:rPr>
          <w:position w:val="2"/>
        </w:rPr>
        <w:t>· ΔV</w:t>
      </w:r>
      <w:r>
        <w:rPr>
          <w:sz w:val="16"/>
        </w:rPr>
        <w:t>k</w:t>
      </w:r>
      <w:r>
        <w:rPr>
          <w:position w:val="2"/>
        </w:rPr>
        <w:t>(c</w:t>
      </w:r>
      <w:r>
        <w:rPr>
          <w:sz w:val="16"/>
        </w:rPr>
        <w:t>j</w:t>
      </w:r>
      <w:r>
        <w:rPr>
          <w:position w:val="2"/>
        </w:rPr>
        <w:t>)</w:t>
      </w:r>
      <w:r>
        <w:rPr>
          <w:sz w:val="16"/>
        </w:rPr>
        <w:t>ref</w:t>
      </w:r>
      <w:r>
        <w:rPr>
          <w:position w:val="2"/>
        </w:rPr>
        <w:t>. This can be further expanded in turn as ΔΔV</w:t>
      </w:r>
      <w:r>
        <w:rPr>
          <w:sz w:val="16"/>
        </w:rPr>
        <w:t>k</w:t>
      </w:r>
      <w:r>
        <w:rPr>
          <w:position w:val="2"/>
        </w:rPr>
        <w:t>(c</w:t>
      </w:r>
      <w:r>
        <w:rPr>
          <w:sz w:val="16"/>
        </w:rPr>
        <w:t>j</w:t>
      </w:r>
      <w:r>
        <w:rPr>
          <w:position w:val="2"/>
        </w:rPr>
        <w:t>) = p(c</w:t>
      </w:r>
      <w:r>
        <w:rPr>
          <w:sz w:val="16"/>
        </w:rPr>
        <w:t>j</w:t>
      </w:r>
      <w:r>
        <w:rPr>
          <w:position w:val="2"/>
        </w:rPr>
        <w:t>)</w:t>
      </w:r>
      <w:r>
        <w:rPr>
          <w:sz w:val="16"/>
        </w:rPr>
        <w:t>new </w:t>
      </w:r>
      <w:r>
        <w:rPr>
          <w:position w:val="2"/>
        </w:rPr>
        <w:t>(</w:t>
      </w:r>
      <w:r>
        <w:rPr>
          <w:position w:val="8"/>
          <w:sz w:val="16"/>
        </w:rPr>
        <w:t>new</w:t>
      </w:r>
      <w:r>
        <w:rPr>
          <w:position w:val="2"/>
        </w:rPr>
        <w:t>V</w:t>
      </w:r>
      <w:r>
        <w:rPr>
          <w:sz w:val="16"/>
        </w:rPr>
        <w:t>k </w:t>
      </w:r>
      <w:r>
        <w:rPr>
          <w:position w:val="2"/>
        </w:rPr>
        <w:t>- &lt;V</w:t>
      </w:r>
      <w:r>
        <w:rPr>
          <w:sz w:val="16"/>
        </w:rPr>
        <w:t>k</w:t>
      </w:r>
      <w:r>
        <w:rPr>
          <w:position w:val="2"/>
        </w:rPr>
        <w:t>(c</w:t>
      </w:r>
      <w:r>
        <w:rPr>
          <w:sz w:val="16"/>
        </w:rPr>
        <w:t>j</w:t>
      </w:r>
      <w:r>
        <w:rPr>
          <w:position w:val="2"/>
        </w:rPr>
        <w:t>)&gt;</w:t>
      </w:r>
      <w:r>
        <w:rPr>
          <w:sz w:val="16"/>
        </w:rPr>
        <w:t>new</w:t>
      </w:r>
      <w:r>
        <w:rPr>
          <w:position w:val="2"/>
        </w:rPr>
        <w:t>) - p(c</w:t>
      </w:r>
      <w:r>
        <w:rPr>
          <w:sz w:val="16"/>
        </w:rPr>
        <w:t>j</w:t>
      </w:r>
      <w:r>
        <w:rPr>
          <w:position w:val="2"/>
        </w:rPr>
        <w:t>)</w:t>
      </w:r>
      <w:r>
        <w:rPr>
          <w:sz w:val="16"/>
        </w:rPr>
        <w:t>ref </w:t>
      </w:r>
      <w:r>
        <w:rPr>
          <w:position w:val="2"/>
        </w:rPr>
        <w:t>(</w:t>
      </w:r>
      <w:r>
        <w:rPr>
          <w:position w:val="8"/>
          <w:sz w:val="16"/>
        </w:rPr>
        <w:t>ref</w:t>
      </w:r>
      <w:r>
        <w:rPr>
          <w:position w:val="2"/>
        </w:rPr>
        <w:t>V</w:t>
      </w:r>
      <w:r>
        <w:rPr>
          <w:sz w:val="16"/>
        </w:rPr>
        <w:t>k </w:t>
      </w:r>
      <w:r>
        <w:rPr>
          <w:position w:val="2"/>
        </w:rPr>
        <w:t>- &lt;V</w:t>
      </w:r>
      <w:r>
        <w:rPr>
          <w:sz w:val="16"/>
        </w:rPr>
        <w:t>k</w:t>
      </w:r>
      <w:r>
        <w:rPr>
          <w:position w:val="2"/>
        </w:rPr>
        <w:t>(c</w:t>
      </w:r>
      <w:r>
        <w:rPr>
          <w:sz w:val="16"/>
        </w:rPr>
        <w:t>j</w:t>
      </w:r>
      <w:r>
        <w:rPr>
          <w:position w:val="2"/>
        </w:rPr>
        <w:t>)&gt;</w:t>
      </w:r>
      <w:r>
        <w:rPr>
          <w:sz w:val="16"/>
        </w:rPr>
        <w:t>ref</w:t>
      </w:r>
      <w:r>
        <w:rPr>
          <w:position w:val="2"/>
        </w:rPr>
        <w:t>), among &lt;V</w:t>
      </w:r>
      <w:r>
        <w:rPr>
          <w:sz w:val="16"/>
        </w:rPr>
        <w:t>k</w:t>
      </w:r>
      <w:r>
        <w:rPr>
          <w:position w:val="2"/>
        </w:rPr>
        <w:t>(c</w:t>
      </w:r>
      <w:r>
        <w:rPr>
          <w:sz w:val="16"/>
        </w:rPr>
        <w:t>j</w:t>
      </w:r>
      <w:r>
        <w:rPr>
          <w:position w:val="2"/>
        </w:rPr>
        <w:t>)&gt; = Average of V</w:t>
      </w:r>
      <w:r>
        <w:rPr>
          <w:sz w:val="16"/>
        </w:rPr>
        <w:t>k </w:t>
      </w:r>
      <w:r>
        <w:rPr>
          <w:position w:val="2"/>
        </w:rPr>
        <w:t>for c</w:t>
      </w:r>
      <w:r>
        <w:rPr>
          <w:sz w:val="16"/>
        </w:rPr>
        <w:t>j</w:t>
      </w:r>
      <w:r>
        <w:rPr>
          <w:position w:val="2"/>
        </w:rPr>
        <w:t>. This new model found predicted los efectos de las perturbaciones en las </w:t>
      </w:r>
      <w:r>
        <w:rPr/>
        <w:t>condiciones iniciales (cj) sobre la distribución de la FA con la sensibilidad, especificidad y precisión&gt; 80% para un total de 303.712 casos = en la formación y = 103.943 casos en serie validación externa. Estos resultados se consideran buenas para cualquier modelo LDA.</w:t>
      </w:r>
    </w:p>
    <w:p>
      <w:pPr>
        <w:pStyle w:val="ListParagraph"/>
        <w:numPr>
          <w:ilvl w:val="1"/>
          <w:numId w:val="22"/>
        </w:numPr>
        <w:tabs>
          <w:tab w:pos="677" w:val="left" w:leader="none"/>
        </w:tabs>
        <w:spacing w:line="240" w:lineRule="auto" w:before="0" w:after="0"/>
        <w:ind w:left="676" w:right="0" w:hanging="417"/>
        <w:jc w:val="both"/>
        <w:rPr>
          <w:sz w:val="24"/>
        </w:rPr>
      </w:pPr>
      <w:r>
        <w:rPr>
          <w:color w:val="233E5F"/>
          <w:sz w:val="24"/>
        </w:rPr>
        <w:t>PT-NLFER model for a fatty acid distribution</w:t>
      </w:r>
      <w:r>
        <w:rPr>
          <w:color w:val="233E5F"/>
          <w:spacing w:val="-22"/>
          <w:sz w:val="24"/>
        </w:rPr>
        <w:t> </w:t>
      </w:r>
      <w:r>
        <w:rPr>
          <w:color w:val="233E5F"/>
          <w:sz w:val="24"/>
        </w:rPr>
        <w:t>network</w:t>
      </w:r>
    </w:p>
    <w:p>
      <w:pPr>
        <w:pStyle w:val="BodyText"/>
        <w:spacing w:line="360" w:lineRule="auto" w:before="141"/>
        <w:ind w:left="259" w:right="235"/>
        <w:jc w:val="both"/>
      </w:pPr>
      <w:r>
        <w:rPr/>
        <w:t>Pruebas adicionales se han realizado con STATISTICA, utilizando lineales y no lineales RNAs métodos (LNNs y MLP) con el fin de compararlos con el modelo LDA arriba. LNNs tienen una capa de entrada y una capa de salida, pero sin capa oculta. Por lo tanto, la salida predicha es una combinación lineal de los valores de neuronas de entrada, de forma similar con el modelo de LDA. MLP tienen al menos una capa oculta de las neuronas. Los RNAs han sido utilizados en la literatura para encontrar diversos modelos de clasificación (González-Díaz et al, 2011;.. Duardo-Sánchez et al, 2013; González-Díaz et al, 2014).. En consecuencia, y en rigor, los modelos LNN también son modelos PT-LFER porque son relaciones lineales. Sin embargo, se incluyen en esta sección, ya que son un caso particular de las RNA. Por el contrario, los modelos MLP se pueden clasificar como PT-NLFER (Linear Energy Relaciones PT para no gratis), porque consideran que las relaciones no lineales entre los operadores de TP de entrada y el de salida.</w:t>
      </w:r>
    </w:p>
    <w:p>
      <w:pPr>
        <w:pStyle w:val="BodyText"/>
        <w:spacing w:line="360" w:lineRule="auto"/>
        <w:ind w:left="259" w:right="243"/>
        <w:jc w:val="both"/>
      </w:pPr>
      <w:r>
        <w:rPr/>
        <w:t>Los resultados demuestran la potencia de predicción de los RNAs no lineales (MLP) en contra de los modelos lineales (LDA y LNNs). El mejor modelo MLP (sin 6:. MLP 12: 12-11-1: 1) tiene 12 variables de entrada y una sola capa oculta con 11 neuronas. Se</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4"/>
        <w:jc w:val="both"/>
      </w:pPr>
      <w:r>
        <w:rPr/>
        <w:t>puede predecir 93,73% de los casos de prueba y se clasifica 92,54% de los casos de formación. Este modelo tiene alrededor de 10% más de potencia de predicción en comparación con el modelo LDA PT-LFER pero sólo 5,6% más de potencia de clasificación en la formación. El modelo PT-NLFER obtenido con MLP número 6 clasificado nuestra base de datos mejor que el modelo LDA PT-LFER. Sin embargo, PT- LFER es notablemente más simple y muestra una relación directa entre las variables de entrada y el de salida. Si los resultados son ordenados por la clasificación de la prueba (preferencia validación), el orden de los modelos son los siguientes: MLP - 6, 5, 4, 3, 2, 1; 12 (modelo LDA); LNNs - 9, 8, 10, 11, 7. Así, el modelo LDA tiene una mejor capacidad de predicción de todos los LNNs pero menos de MLP. Entre LMP, se pueden observar los modelos con sólo 5 variables de entrada (en comparación con los 12 de los LDA), pero el modelo LDA clasifica 4,70% más que el conjunto de entrenamiento, incluso si la MLP se puede predecir 4,92% más que el equipo de prueba . Otra de las ventajas del modelo LDA son los de formación y validación errores bajos en comparación con todas las RNA (alrededor del 25% de los errores ANN). En conclusión, los modelos MLP eran mejores solucionadores de problemas, pero sobre todo más complicado.</w:t>
      </w:r>
    </w:p>
    <w:p>
      <w:pPr>
        <w:pStyle w:val="BodyText"/>
        <w:spacing w:line="360" w:lineRule="auto"/>
        <w:ind w:left="259" w:right="234"/>
        <w:jc w:val="both"/>
      </w:pPr>
      <w:r>
        <w:rPr/>
        <w:t>El número de nodos = ácidos grasos (suma de los resultados de entrada ITH) de las redes complejas era 744. Se puede concluir que los resultados de la clasificación, obtenidos con esta nueva ecuación PT-LFER, son prometedores y confirman el potencial de la presente metodología. El modelo actual es el resultado de combinar el análisis Hánsch con modelos LDA, Box-Jenkins Operadores e ideas Perturbación Teoría. Nuestro grupo y otros autores (Agüero-Chapin et al, 2008a;. Agüero-Chapin et al, 2008b;. González-Díaz y Riera-Fernández, 2012; Alonso et al, 2013;. Duardo- Sánchez et al, 2014.; . González-Díaz et al, 2014A) han utilizado modelos LDA solo o combinado con Box-Jenkins Operadores para predecir propiedades de los sistemas complejos (mota-Planche et al, 2012;. Speck-Planche et al, 2013A;. Speck-Planche et al., 2013c, b), estos modelos puede incluir o no la perturbación consideraciones teóricas (González-Díaz et al., 2013A). Sin embargo, en este trabajo estas ideas se extienden al análisis Hánsch por primera</w:t>
      </w:r>
      <w:r>
        <w:rPr>
          <w:spacing w:val="-17"/>
        </w:rPr>
        <w:t> </w:t>
      </w:r>
      <w:r>
        <w:rPr/>
        <w:t>vez.</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ListParagraph"/>
        <w:numPr>
          <w:ilvl w:val="1"/>
          <w:numId w:val="22"/>
        </w:numPr>
        <w:tabs>
          <w:tab w:pos="677" w:val="left" w:leader="none"/>
        </w:tabs>
        <w:spacing w:line="240" w:lineRule="auto" w:before="66" w:after="0"/>
        <w:ind w:left="676" w:right="0" w:hanging="417"/>
        <w:jc w:val="both"/>
        <w:rPr>
          <w:sz w:val="24"/>
        </w:rPr>
      </w:pPr>
      <w:r>
        <w:rPr>
          <w:color w:val="233E5F"/>
          <w:sz w:val="24"/>
        </w:rPr>
        <w:t>Construction of FA distribution network using the PT-LFER</w:t>
      </w:r>
      <w:r>
        <w:rPr>
          <w:color w:val="233E5F"/>
          <w:spacing w:val="-29"/>
          <w:sz w:val="24"/>
        </w:rPr>
        <w:t> </w:t>
      </w:r>
      <w:r>
        <w:rPr>
          <w:color w:val="233E5F"/>
          <w:sz w:val="24"/>
        </w:rPr>
        <w:t>model</w:t>
      </w:r>
    </w:p>
    <w:p>
      <w:pPr>
        <w:pStyle w:val="BodyText"/>
        <w:spacing w:line="360" w:lineRule="auto" w:before="141"/>
        <w:ind w:left="259" w:right="238"/>
        <w:jc w:val="both"/>
      </w:pPr>
      <w:r>
        <w:rPr/>
        <w:t>La biología de red (Barabási y Oltvai, 2004) es aceptado como un enfoque muy útil para arrojar luz sobre la organización funcional de la célula. Mantenga esta idea en mente, las redes complejas observadas fueron construidos para las perturbaciones en el metabolismo FA / distribución en fases bacterias protozoarios-líquido. Al hacerlo se consideró que dos estados están conectados (Lnr = 1) si ambos f (εij) nueva = IPA (%) obs yf (εij) ref = IPA (%) obs - IPA (%) ref&gt; 0, y Lnr = 0 en caso contrario. Esta condición indica que el nivel de ambos ácidos grasos en el nuevo estado es mayor que la de los ácidos grasos en el estado de referencia (estado inicial). Por consiguiente, nuestra red es una red de co-distribución de los ácidos grasos. Además, se usó el modelo para predecir la misma red compleja. Para ello, se consideró que Lnr = 1 (nodos enlazados) cuando ambos valores de </w:t>
      </w:r>
      <w:r>
        <w:rPr>
          <w:rFonts w:ascii="Times New Roman" w:hAnsi="Times New Roman" w:cs="Times New Roman" w:eastAsia="Times New Roman"/>
        </w:rPr>
        <w:t>ꞌ</w:t>
      </w:r>
      <w:r>
        <w:rPr/>
        <w:t>f (εij) nuevo y </w:t>
      </w:r>
      <w:r>
        <w:rPr>
          <w:rFonts w:ascii="Times New Roman" w:hAnsi="Times New Roman" w:cs="Times New Roman" w:eastAsia="Times New Roman"/>
        </w:rPr>
        <w:t>ꞌ</w:t>
      </w:r>
      <w:r>
        <w:rPr/>
        <w:t>f (εij) REF predicha por el modelo tienen la probabilidad p (CIJ)&gt; 0,5 de tener f (εij) ref = IPA (%) obs - IPA (%) ref&gt; 0.</w:t>
      </w:r>
    </w:p>
    <w:p>
      <w:pPr>
        <w:pStyle w:val="BodyText"/>
        <w:spacing w:line="360" w:lineRule="auto"/>
        <w:ind w:left="259" w:right="237"/>
        <w:jc w:val="both"/>
      </w:pPr>
      <w:r>
        <w:rPr/>
        <w:t>Por último, también se construyeron dos modelos de redes aleatorias (red aleatoria 1 y 2). Cada modelo se definió con un número de nodos y enlaces como similares como sea posible a las redes observadas y predichas, respectivamente. El objetivo era entender la naturaleza global del metabolismo FA / datos de distribución (similitud con un proceso aleatorio o no). Se calcularon los valores medios de algunos índices topológicos para comparar cuantitativamente la estructura de estas redes. Los índices calculados eran los valores medios de la distancia topológica-vértice vértice (Newman et al., 2001), el grado de nodo, y la cercanía del componente gigante, de los modelos de red predichos observados y los dos más aleatorias similares. Erdős-Rényi (ER) redes aleatorias donde, al parecer, similar a las redes observados y pronosticados. De hecho, los valores medios de la distancia topológica, el grado de nodo, y la cercanía son similares, a medio camino entre la red observada y predicha (1,83 vs. 1,77, 72,75 vs. 80,29, y 0.000755 vs. 0.000836,</w:t>
      </w:r>
      <w:r>
        <w:rPr>
          <w:spacing w:val="-16"/>
        </w:rPr>
        <w:t> </w:t>
      </w:r>
      <w:r>
        <w:rPr/>
        <w:t>respectivamente).</w:t>
      </w:r>
    </w:p>
    <w:p>
      <w:pPr>
        <w:pStyle w:val="BodyText"/>
        <w:ind w:left="259"/>
        <w:jc w:val="both"/>
      </w:pPr>
      <w:r>
        <w:rPr>
          <w:color w:val="1F487C"/>
        </w:rPr>
        <w:t>Parte 5. Acercamiento quimiométrico de redes de distribución de Bacteria – Rumen   –</w:t>
      </w:r>
    </w:p>
    <w:p>
      <w:pPr>
        <w:pStyle w:val="BodyText"/>
        <w:spacing w:before="141"/>
        <w:ind w:left="259"/>
        <w:jc w:val="both"/>
      </w:pPr>
      <w:r>
        <w:rPr>
          <w:color w:val="1F487C"/>
        </w:rPr>
        <w:t>Protozoa</w:t>
      </w:r>
    </w:p>
    <w:p>
      <w:pPr>
        <w:pStyle w:val="ListParagraph"/>
        <w:numPr>
          <w:ilvl w:val="1"/>
          <w:numId w:val="23"/>
        </w:numPr>
        <w:tabs>
          <w:tab w:pos="678" w:val="left" w:leader="none"/>
        </w:tabs>
        <w:spacing w:line="240" w:lineRule="auto" w:before="141" w:after="0"/>
        <w:ind w:left="677" w:right="0" w:hanging="418"/>
        <w:jc w:val="both"/>
        <w:rPr>
          <w:sz w:val="24"/>
        </w:rPr>
      </w:pPr>
      <w:r>
        <w:rPr>
          <w:color w:val="1F487C"/>
          <w:sz w:val="24"/>
        </w:rPr>
        <w:t>Metilación.</w:t>
      </w:r>
    </w:p>
    <w:p>
      <w:pPr>
        <w:spacing w:after="0" w:line="240" w:lineRule="auto"/>
        <w:jc w:val="both"/>
        <w:rPr>
          <w:sz w:val="24"/>
        </w:rPr>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8"/>
        <w:jc w:val="both"/>
      </w:pPr>
      <w:r>
        <w:rPr/>
        <w:t>En general, la metilación catalizada por base procede más rápidamente bajo una condición de temperatura leve que la metilación catalizada por ácido (Salimon et al., 2014). En este trabajo, los resultados mostraron </w:t>
      </w:r>
      <w:r>
        <w:rPr>
          <w:spacing w:val="2"/>
        </w:rPr>
        <w:t>que </w:t>
      </w:r>
      <w:r>
        <w:rPr/>
        <w:t>combinado basal / ácido metilación parece producir mayores proporciones de C18: 3 n3, C18: 3  N6, C20: 2, C22: 0 y C20: 3 N6, insaturado Fas, odd-carbono AF, e incluso en carbono insaturado AF, pero con menor proporción de C18: 0 y cis-AF en comparación con el valor inicial  o por ácidos métodos de metilación catalizada, respectivamente. Implicaba el valor inicial / metilación ácido era el mejor método para catalizar la metilación de los ácidos grasos libres para la determinación de la proporción de ácidos grasos con GC, en comparación con ácido y la metilación</w:t>
      </w:r>
      <w:r>
        <w:rPr>
          <w:spacing w:val="-22"/>
        </w:rPr>
        <w:t> </w:t>
      </w:r>
      <w:r>
        <w:rPr/>
        <w:t>basal.</w:t>
      </w:r>
    </w:p>
    <w:p>
      <w:pPr>
        <w:pStyle w:val="ListParagraph"/>
        <w:numPr>
          <w:ilvl w:val="1"/>
          <w:numId w:val="23"/>
        </w:numPr>
        <w:tabs>
          <w:tab w:pos="677" w:val="left" w:leader="none"/>
        </w:tabs>
        <w:spacing w:line="278" w:lineRule="exact" w:before="0" w:after="0"/>
        <w:ind w:left="676" w:right="0" w:hanging="417"/>
        <w:jc w:val="both"/>
        <w:rPr>
          <w:sz w:val="24"/>
        </w:rPr>
      </w:pPr>
      <w:r>
        <w:rPr>
          <w:color w:val="1F487C"/>
          <w:sz w:val="24"/>
        </w:rPr>
        <w:t>PT-LFER</w:t>
      </w:r>
    </w:p>
    <w:p>
      <w:pPr>
        <w:pStyle w:val="BodyText"/>
        <w:spacing w:line="360" w:lineRule="auto" w:before="141"/>
        <w:ind w:left="259" w:right="233"/>
        <w:jc w:val="both"/>
      </w:pPr>
      <w:r>
        <w:rPr/>
        <w:t>El modelo PT-LFER desarrollado combina la información de dos estudios in vitro de fermentación (producción de metano y distribución FA). Incluye los niveles de metano de producción, los valores de pH, la presión del gas, y la temperatura de fermentación después de la oferta de diferentes proporciones de </w:t>
      </w:r>
      <w:r>
        <w:rPr>
          <w:spacing w:val="3"/>
        </w:rPr>
        <w:t>ω-6 </w:t>
      </w:r>
      <w:r>
        <w:rPr/>
        <w:t>/ ω-3 PUFAs. Todos los  valores propios, la diferencia (ΔΩ) y valor propio logístico de diferencia (log (| ΔΩ |)) de CH4, valor de pH, la presión del gas y la temperatura en referencia inicial / o estado final / nuevo se calcularon. La producción de metano a las 48 h se redujo significativamente con la suplementación de exógenas </w:t>
      </w:r>
      <w:r>
        <w:rPr>
          <w:spacing w:val="3"/>
        </w:rPr>
        <w:t>ω-6 </w:t>
      </w:r>
      <w:r>
        <w:rPr/>
        <w:t>/ ω-3 PUFAs, control (108,81 mM / g en el sustrato) vs. valores propios medios de diferentes proporciones de ω-6 / ω-3 PUFAs (79,19 mM / g). Es interesante notar que la  producción  de metano fue menor en el tratamiento de alto nivel de PUFAs </w:t>
      </w:r>
      <w:r>
        <w:rPr>
          <w:spacing w:val="4"/>
        </w:rPr>
        <w:t>ω-3 </w:t>
      </w:r>
      <w:r>
        <w:rPr/>
        <w:t>(ω-6 / ω-3 = 20:80) que otros tratamientos suministro de diferentes proporciones de </w:t>
      </w:r>
      <w:r>
        <w:rPr>
          <w:spacing w:val="4"/>
        </w:rPr>
        <w:t>ω-6 </w:t>
      </w:r>
      <w:r>
        <w:rPr/>
        <w:t>/ ω-3 PUFAs y control. Es implícito que los ácidos grasos </w:t>
      </w:r>
      <w:r>
        <w:rPr>
          <w:spacing w:val="2"/>
        </w:rPr>
        <w:t>omega </w:t>
      </w:r>
      <w:r>
        <w:rPr/>
        <w:t>3 podrían tener más fuerte capacidad de inhibir la metanogénesis proceso en comparación con los ácidos grasos omega 6. Esto es consistente con las obras anteriores (nges et al., 2012). En este estudio, la temperatura de la presión del gas y la fermentación se midió con detectores de ANKOM en cada 15 min durante 72 h. Todo el conjunto de datos de la presión del gas  y  la  temperatura  fue  publicado  en  línea  por  Liu  y  Buendía-Rodríguez  (Liu  </w:t>
      </w:r>
      <w:r>
        <w:rPr>
          <w:spacing w:val="35"/>
        </w:rPr>
        <w:t> </w:t>
      </w:r>
      <w:r>
        <w:rPr/>
        <w:t>y</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5"/>
        <w:jc w:val="both"/>
      </w:pPr>
      <w:r>
        <w:rPr/>
        <w:t>Buendía-Rodríguez, 2015).5.3. Chemometric PT-LFER model of methane production and fatty acid distribution.</w:t>
      </w:r>
    </w:p>
    <w:p>
      <w:pPr>
        <w:pStyle w:val="BodyText"/>
        <w:spacing w:line="360" w:lineRule="auto" w:before="1"/>
        <w:ind w:left="259" w:right="239"/>
        <w:jc w:val="both"/>
      </w:pPr>
      <w:r>
        <w:rPr/>
        <w:t>Un nuevo modelo fue desarrollado en base tanto en el conjunto de datos de rendimiento de la fermentación ruminal, incluida la composición de ácidos grasos en diferentes fases de la fermentación (LCFAs de la fase de bacterias y protozoos, AGV de medios de fermentación), la presión del gas, los valores de pH, la producción de metano, temperatura de fermentación y ω-6 / ω-3 las proporciones, y los descriptores moleculares químicos (IVK) de cada estructura molecular de ácidos grasos. La diferencia (ΔΩ) y valores absolutos logísticos de diferencia (log (| ΔΩ |)) de la primera clase del conjunto de datos, incluyendo la presión del gas P (psi), pH (72h), CH4, T, ω- 6 y ω- 3, se calcularon como un conjunto de variables de entrada. Por otro lado, descriptores moleculares (IVK), las medias móviles (ΔiVk) y operadores (PT ΔΔiVk (cj)), además de la plaza de descriptores moleculares (IVK nuevo) 2 y operadores de TP (ΔΔiV6 (cj)) 2 de cada ácido graso en los estados inicial y final también se tuvieron en cuenta.</w:t>
      </w:r>
    </w:p>
    <w:p>
      <w:pPr>
        <w:pStyle w:val="BodyText"/>
      </w:pPr>
    </w:p>
    <w:p>
      <w:pPr>
        <w:pStyle w:val="BodyText"/>
        <w:spacing w:line="360" w:lineRule="auto" w:before="141"/>
        <w:ind w:left="259" w:right="242"/>
        <w:jc w:val="both"/>
      </w:pPr>
      <w:r>
        <w:rPr/>
        <w:t>El nuevo modelo PT-LFER fue desarrollado útil para predecir la proporción de ácidos grasos, incluyendo LCFAs y VFAs, en diferentes fases de microbioma ruminal dentro / sin PUFAs exógenos. Este modelo se realizó con el cálculo de perturbación de P (psi), pH (72h), CH4, T, ω-6, ω-3 y descriptores moleculares químicos (IVK) combinado con las condiciones de contorno experimentales iniciales o finales (cj). El mejor modelo PT-LFER obtuvo utilizando el análisis discriminante lineal (LDA) algoritmo tiene sólo 21 las variables de más de 80 variables.</w:t>
      </w:r>
    </w:p>
    <w:p>
      <w:pPr>
        <w:pStyle w:val="BodyText"/>
        <w:spacing w:line="360" w:lineRule="auto"/>
        <w:ind w:left="259" w:right="236"/>
        <w:jc w:val="both"/>
      </w:pPr>
      <w:r>
        <w:rPr/>
        <w:t>En este nuevo modelo, todo el conjunto de datos para este modelo fueron publicados en línea por Liu et al. (Liu et al., 2015A, b). Los valores de los descriptores moleculares (IVK) de cada ácido graso, incluyendo LCFAs y AGV, eran representar algunas propiedades físicas de los ácidos grasos. Eso incluye V1 = Mw (peso molecular), V2 = Aeigv, V3 = Aeige, V4 = Aeigp, V5 = MR (refractividad molecular), y V6 = LogP; V2, V3, V4 y son valores propios medios de la matriz de distancia topológica ponderado con volúmenes atómica de van der Waals (v), Electronegatividad (e), o polarizabilidad (P).</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0"/>
        <w:jc w:val="both"/>
      </w:pPr>
      <w:r>
        <w:rPr/>
        <w:t>Como se ha explicado, este modelo puede clasificar la proporción esperada de AF  entre las nuevas y ref estados tan alto (μnr 1 =) / baja (μnr = 0) después de cambiar  las condiciones de contorno cj. El parámetro No. (μnr = 1) representa el número de casos en el sub-conjunto con μnr = 1 (enlaces en la red), o el mismo con IPA (%) nuevo de la nueva sub-conjunto es superior a la de referencia IPA (%) ref. F La función de salida '(μnr) nueva es una función del patrón de conectividad (μnr) en el complejo de la red para la co-distribución de AF en la referencia (ref) y el nuevo estado (valores previstos). F La función de salida '(μnr) nuevo es útil clasificar los pares de estados (pares de nodos). Este nuevo modelo encontrado predijo los efectos de las perturbaciones en las condiciones iniciales (cj) sobre distribución de ácidos grasos  con la sensibilidad, especificidad y precisión&gt; 94% para un total de 409.434 casos en la formación y 136.261 casos en series de validación externa.El cálculo perturbación  de cada descriptores moleculares (IVK) se asociaron con las condiciones de contorno cj. Se proporcionan dos clases de las condiciones de contorno. Condiciones operacionales preliminares se explican a continuación, c1 se refiere a la utilización de diferentes tratamientos experimentales, c2 se refiere a con / sin fermentación, c4 es la columna de cromatografía de gases utilizada para GC, y c5 es el uso de replicar los experimentos. Otros están más directamente relacionados con la distribución posterior y la naturaleza de la c3 FA = la fase biológica de distribución de los ácidos grasos, y c6 se refiere a la información sobre cuantificar cis / patrón geométrico trans presentes en los LCFAs. En consecuencia, los otros términos de entrada se ampliaron los siguientes. Por ejemplo, ΔΔVk (cj) = p (cj) nueva · ΔVk (cj) nueva - p (cj) ref · ΔVk (cj) ref. Esto se puede ampliar a su vez como ΔΔVk (cj) = p (cj) nueva (newVk - &lt;Vk (cj)&gt; nuevo) - p (cj) ref (refVk - &lt;Vk (cj)&gt; ref), entre &lt;Vk (cj)&gt; = Promedio de Vk para cj.Se puede concluir que los resultados de la clasificación, obtenidos con esta nueva ecuación PT-LFER, son prometedores y confirman el potencial de la presente metodología. El modelo actual es el resultado de combinar el análisis Hánsch con modelos LDA, Box-Jenkins Operadores e ideas Perturbación Teoría. Nuestro grupo y otros autores (Agüero-Chapin et al, 2008a;. Agüero-Chapin et al, 2008b;.  González- Díaz  y  Riera-Fernández,  2012;  Alonso  et  al,  2013;.  Duardo-Sánchez  et  al,  2014.; </w:t>
      </w:r>
      <w:r>
        <w:rPr>
          <w:spacing w:val="19"/>
        </w:rPr>
        <w:t> </w:t>
      </w:r>
      <w:r>
        <w:rPr/>
        <w:t>.</w:t>
      </w:r>
    </w:p>
    <w:p>
      <w:pPr>
        <w:spacing w:after="0" w:line="360" w:lineRule="auto"/>
        <w:jc w:val="both"/>
        <w:sectPr>
          <w:pgSz w:w="12240" w:h="15840"/>
          <w:pgMar w:header="684" w:footer="1184" w:top="1380" w:bottom="1380" w:left="1440" w:right="1460"/>
        </w:sectPr>
      </w:pPr>
    </w:p>
    <w:p>
      <w:pPr>
        <w:pStyle w:val="BodyText"/>
        <w:spacing w:before="7"/>
        <w:rPr>
          <w:sz w:val="15"/>
        </w:rPr>
      </w:pPr>
    </w:p>
    <w:p>
      <w:pPr>
        <w:pStyle w:val="BodyText"/>
        <w:spacing w:line="360" w:lineRule="auto" w:before="66"/>
        <w:ind w:left="259" w:right="234"/>
        <w:jc w:val="both"/>
      </w:pPr>
      <w:r>
        <w:rPr/>
        <w:t>González-Díaz et al, 2014A) han utilizado modelos LDA solo o combinado con </w:t>
      </w:r>
      <w:r>
        <w:rPr>
          <w:spacing w:val="3"/>
        </w:rPr>
        <w:t>Box- </w:t>
      </w:r>
      <w:r>
        <w:rPr/>
        <w:t>Jenkins Operadores para predecir propiedades de los sistemas complejos </w:t>
      </w:r>
      <w:r>
        <w:rPr>
          <w:spacing w:val="2"/>
        </w:rPr>
        <w:t>(mota- </w:t>
      </w:r>
      <w:r>
        <w:rPr/>
        <w:t>Planche et al, 2012;. Speck-Planche et al, 2013A;. Speck-Planche et al, 2013c, b).; Sin embargo, estos modelos no pueden tomar la teoría de perturbaciones en cuenta. En este trabajo, estas ideas se extienden al análisis Hánsch. Para ello, se consideró que  μnr = 1 (nodos enlazados) cuando tanto los valores de </w:t>
      </w:r>
      <w:r>
        <w:rPr>
          <w:rFonts w:ascii="Times New Roman" w:hAnsi="Times New Roman" w:cs="Times New Roman" w:eastAsia="Times New Roman"/>
        </w:rPr>
        <w:t>ꞌ</w:t>
      </w:r>
      <w:r>
        <w:rPr/>
        <w:t>f (εij) nuevo y </w:t>
      </w:r>
      <w:r>
        <w:rPr>
          <w:rFonts w:ascii="Times New Roman" w:hAnsi="Times New Roman" w:cs="Times New Roman" w:eastAsia="Times New Roman"/>
        </w:rPr>
        <w:t>ꞌ</w:t>
      </w:r>
      <w:r>
        <w:rPr/>
        <w:t>f (εij) REF predichas por el modelo tienen la probabilidad p (CIJ)&gt; 0,5 de tener f (εij) ref = IPA (%) obs - IPA (%) ref&gt;</w:t>
      </w:r>
      <w:r>
        <w:rPr>
          <w:spacing w:val="-10"/>
        </w:rPr>
        <w:t> </w:t>
      </w:r>
      <w:r>
        <w:rPr/>
        <w:t>0.</w:t>
      </w:r>
      <w:r>
        <w:rPr>
          <w:color w:val="233E5F"/>
        </w:rPr>
        <w:t>5.4.</w:t>
      </w:r>
    </w:p>
    <w:p>
      <w:pPr>
        <w:pStyle w:val="BodyText"/>
        <w:spacing w:line="360" w:lineRule="auto"/>
        <w:ind w:left="259" w:right="233"/>
      </w:pPr>
      <w:r>
        <w:rPr>
          <w:color w:val="233E5F"/>
        </w:rPr>
        <w:t>5.3 Modelo quimiométrico de producción de metano y distribución de ácidos grasos </w:t>
      </w:r>
      <w:r>
        <w:rPr/>
        <w:t>Pruebas adicionales han llevado a cabo con algoritmos ANN para buscar modelos no lineales. Los mejores 17 modelos MLP con las estadísticas correspondientes a la mejor clasificación LDA. Los modelos MLP tienen diferentes variables de entrada de 10 a 19. El mejor modelo MLP (No.15: MLP 18: 18-15-1: 1) tiene 18 variables de entrada y una sola capa oculta con 15 neuronas. Se puede predecir 99,68% de los casos de prueba y se clasifica 99,70% de los casos de formación. Este modelo tiene alrededor de 10% más de potencia de predicción en comparación con el modelo LDA PT-LFER pero sólo 5,6% más de potencia de clasificación en la formación. Los modelos PT-NLFER obtenidos con MPL clasifican nuestro conjunto de datos mejor que el modelo LDA PT- LFER. Sin embargo, PT-LFER se considera mejor que PT-NLFER, debido a la relación más simple y directa entre las variables de entrada y de salida..</w:t>
      </w:r>
    </w:p>
    <w:p>
      <w:pPr>
        <w:spacing w:after="0" w:line="360" w:lineRule="auto"/>
        <w:sectPr>
          <w:pgSz w:w="12240" w:h="15840"/>
          <w:pgMar w:header="684" w:footer="1184" w:top="1380" w:bottom="1380" w:left="1440" w:right="1460"/>
        </w:sectPr>
      </w:pPr>
    </w:p>
    <w:p>
      <w:pPr>
        <w:pStyle w:val="BodyText"/>
        <w:rPr>
          <w:sz w:val="20"/>
        </w:rPr>
      </w:pPr>
    </w:p>
    <w:p>
      <w:pPr>
        <w:pStyle w:val="BodyText"/>
        <w:spacing w:before="11"/>
        <w:rPr>
          <w:sz w:val="16"/>
        </w:rPr>
      </w:pPr>
    </w:p>
    <w:p>
      <w:pPr>
        <w:pStyle w:val="Heading1"/>
      </w:pPr>
      <w:bookmarkStart w:name="_TOC_250001" w:id="39"/>
      <w:bookmarkEnd w:id="39"/>
      <w:r>
        <w:rPr>
          <w:color w:val="1F487C"/>
        </w:rPr>
        <w:t>CONCLUSIONES</w:t>
      </w:r>
    </w:p>
    <w:p>
      <w:pPr>
        <w:pStyle w:val="BodyText"/>
        <w:rPr>
          <w:b/>
          <w:sz w:val="32"/>
        </w:rPr>
      </w:pPr>
    </w:p>
    <w:p>
      <w:pPr>
        <w:pStyle w:val="BodyText"/>
        <w:spacing w:before="6"/>
        <w:rPr>
          <w:b/>
          <w:sz w:val="39"/>
        </w:rPr>
      </w:pPr>
    </w:p>
    <w:p>
      <w:pPr>
        <w:pStyle w:val="ListParagraph"/>
        <w:numPr>
          <w:ilvl w:val="0"/>
          <w:numId w:val="24"/>
        </w:numPr>
        <w:tabs>
          <w:tab w:pos="558" w:val="left" w:leader="none"/>
        </w:tabs>
        <w:spacing w:line="360" w:lineRule="auto" w:before="0" w:after="0"/>
        <w:ind w:left="259" w:right="239" w:firstLine="0"/>
        <w:jc w:val="both"/>
        <w:rPr>
          <w:sz w:val="24"/>
        </w:rPr>
      </w:pPr>
      <w:r>
        <w:rPr>
          <w:sz w:val="24"/>
        </w:rPr>
        <w:t>Las mejores proporciones de harina de cártamo con semilla de sorgo, a las que disminuye significativamente la producción de gas en sistemas de fermentación </w:t>
      </w:r>
      <w:r>
        <w:rPr>
          <w:i/>
          <w:sz w:val="24"/>
        </w:rPr>
        <w:t>in </w:t>
      </w:r>
      <w:r>
        <w:rPr>
          <w:i/>
          <w:sz w:val="24"/>
        </w:rPr>
        <w:t>vitro </w:t>
      </w:r>
      <w:r>
        <w:rPr>
          <w:sz w:val="24"/>
        </w:rPr>
        <w:t>de ovinos, fueron de 25% a 50%, al igual que las proporciones de semilla de canola con semilla de</w:t>
      </w:r>
      <w:r>
        <w:rPr>
          <w:spacing w:val="-12"/>
          <w:sz w:val="24"/>
        </w:rPr>
        <w:t> </w:t>
      </w:r>
      <w:r>
        <w:rPr>
          <w:sz w:val="24"/>
        </w:rPr>
        <w:t>sorgo.</w:t>
      </w:r>
    </w:p>
    <w:p>
      <w:pPr>
        <w:pStyle w:val="BodyText"/>
        <w:spacing w:before="9"/>
        <w:rPr>
          <w:sz w:val="23"/>
        </w:rPr>
      </w:pPr>
    </w:p>
    <w:p>
      <w:pPr>
        <w:pStyle w:val="ListParagraph"/>
        <w:numPr>
          <w:ilvl w:val="0"/>
          <w:numId w:val="24"/>
        </w:numPr>
        <w:tabs>
          <w:tab w:pos="558" w:val="left" w:leader="none"/>
        </w:tabs>
        <w:spacing w:line="360" w:lineRule="auto" w:before="0" w:after="0"/>
        <w:ind w:left="259" w:right="234" w:firstLine="0"/>
        <w:jc w:val="both"/>
        <w:rPr>
          <w:sz w:val="24"/>
        </w:rPr>
      </w:pPr>
      <w:r>
        <w:rPr>
          <w:sz w:val="24"/>
        </w:rPr>
        <w:t>En la investigación de las fracciones de semilla de cártamo con fermentación </w:t>
      </w:r>
      <w:r>
        <w:rPr>
          <w:i/>
          <w:sz w:val="24"/>
        </w:rPr>
        <w:t>in </w:t>
      </w:r>
      <w:r>
        <w:rPr>
          <w:i/>
          <w:sz w:val="24"/>
        </w:rPr>
        <w:t>vitro</w:t>
      </w:r>
      <w:r>
        <w:rPr>
          <w:sz w:val="24"/>
        </w:rPr>
        <w:t>, se observó que las características nutricionales son diversas entre sí, siendo que la harina de cártamo tiene mayor eficiencia en la utilización que las otras fracciones y no se observó diferencia entre los dos métodos de extracción basados en disolventes de hexano y éter de petróleo en relación a los valores</w:t>
      </w:r>
      <w:r>
        <w:rPr>
          <w:spacing w:val="-25"/>
          <w:sz w:val="24"/>
        </w:rPr>
        <w:t> </w:t>
      </w:r>
      <w:r>
        <w:rPr>
          <w:sz w:val="24"/>
        </w:rPr>
        <w:t>nutricionales.</w:t>
      </w:r>
    </w:p>
    <w:p>
      <w:pPr>
        <w:pStyle w:val="BodyText"/>
        <w:spacing w:before="9"/>
        <w:rPr>
          <w:sz w:val="23"/>
        </w:rPr>
      </w:pPr>
    </w:p>
    <w:p>
      <w:pPr>
        <w:pStyle w:val="ListParagraph"/>
        <w:numPr>
          <w:ilvl w:val="0"/>
          <w:numId w:val="24"/>
        </w:numPr>
        <w:tabs>
          <w:tab w:pos="553" w:val="left" w:leader="none"/>
        </w:tabs>
        <w:spacing w:line="360" w:lineRule="auto" w:before="0" w:after="0"/>
        <w:ind w:left="259" w:right="237" w:firstLine="0"/>
        <w:jc w:val="both"/>
        <w:rPr>
          <w:sz w:val="24"/>
        </w:rPr>
      </w:pPr>
      <w:r>
        <w:rPr>
          <w:sz w:val="24"/>
        </w:rPr>
        <w:t>El suministro de ácidos grasos mono y poli-insaturados, así como los de cadena media en los sistemas de fermentación </w:t>
      </w:r>
      <w:r>
        <w:rPr>
          <w:i/>
          <w:sz w:val="24"/>
        </w:rPr>
        <w:t>in vitro</w:t>
      </w:r>
      <w:r>
        <w:rPr>
          <w:sz w:val="24"/>
        </w:rPr>
        <w:t>, mostró que pueden cambiar de manera efectiva la distribución de ácidos grasos o de su composición en la membrana microbiana (LCFA) y líquido (VFA) ruminal. Esto implica que pueden influir aún más en la actividad de bacterias y protozoarios del</w:t>
      </w:r>
      <w:r>
        <w:rPr>
          <w:spacing w:val="-17"/>
          <w:sz w:val="24"/>
        </w:rPr>
        <w:t> </w:t>
      </w:r>
      <w:r>
        <w:rPr>
          <w:sz w:val="24"/>
        </w:rPr>
        <w:t>rumen.</w:t>
      </w:r>
    </w:p>
    <w:p>
      <w:pPr>
        <w:pStyle w:val="BodyText"/>
        <w:spacing w:before="4"/>
        <w:rPr>
          <w:sz w:val="23"/>
        </w:rPr>
      </w:pPr>
    </w:p>
    <w:p>
      <w:pPr>
        <w:pStyle w:val="ListParagraph"/>
        <w:numPr>
          <w:ilvl w:val="0"/>
          <w:numId w:val="24"/>
        </w:numPr>
        <w:tabs>
          <w:tab w:pos="525" w:val="left" w:leader="none"/>
        </w:tabs>
        <w:spacing w:line="362" w:lineRule="auto" w:before="0" w:after="0"/>
        <w:ind w:left="259" w:right="232" w:firstLine="0"/>
        <w:jc w:val="both"/>
        <w:rPr>
          <w:sz w:val="24"/>
        </w:rPr>
      </w:pPr>
      <w:r>
        <w:rPr>
          <w:sz w:val="24"/>
        </w:rPr>
        <w:t>Las redes de distribución de ácidos grasos se establecieron con éxito a partir de los ácidos grasos de bacterias y protozoarios ruminales bajo la condición de las diferentes relaciones de ácidos grasos omega-3 y omega-6. El mejor modelo PT-LFER encontrado predijo los efectos de las perturbaciones sobre la red de distribución FA con sensibilidad, especificidad y exactitud &gt; 80% para 407,655 casos en formación + serie de validación</w:t>
      </w:r>
      <w:r>
        <w:rPr>
          <w:spacing w:val="-11"/>
          <w:sz w:val="24"/>
        </w:rPr>
        <w:t> </w:t>
      </w:r>
      <w:r>
        <w:rPr>
          <w:sz w:val="24"/>
        </w:rPr>
        <w:t>externa.</w:t>
      </w:r>
    </w:p>
    <w:p>
      <w:pPr>
        <w:pStyle w:val="BodyText"/>
        <w:spacing w:before="1"/>
        <w:rPr>
          <w:sz w:val="23"/>
        </w:rPr>
      </w:pPr>
    </w:p>
    <w:p>
      <w:pPr>
        <w:pStyle w:val="ListParagraph"/>
        <w:numPr>
          <w:ilvl w:val="0"/>
          <w:numId w:val="24"/>
        </w:numPr>
        <w:tabs>
          <w:tab w:pos="520" w:val="left" w:leader="none"/>
        </w:tabs>
        <w:spacing w:line="360" w:lineRule="auto" w:before="1" w:after="0"/>
        <w:ind w:left="259" w:right="240" w:firstLine="0"/>
        <w:jc w:val="both"/>
        <w:rPr>
          <w:sz w:val="24"/>
        </w:rPr>
      </w:pPr>
      <w:r>
        <w:rPr>
          <w:sz w:val="24"/>
        </w:rPr>
        <w:t>Un nuevo modelo PT-LFER de red de distribución de metano-ácido graso basado en la producción de metano (fase gaseosa), la distribución de ácidos grasos volátiles (fase líquida) y la distribución de ácidos grasos en microbioma ruminal (fase sólida), también  se  estableció  con  la  sensibilidad,  especificidad,  exactitud  &gt;  94%  para </w:t>
      </w:r>
      <w:r>
        <w:rPr>
          <w:spacing w:val="1"/>
          <w:sz w:val="24"/>
        </w:rPr>
        <w:t> </w:t>
      </w:r>
      <w:r>
        <w:rPr>
          <w:sz w:val="24"/>
        </w:rPr>
        <w:t>los</w:t>
      </w:r>
    </w:p>
    <w:p>
      <w:pPr>
        <w:spacing w:after="0" w:line="360" w:lineRule="auto"/>
        <w:jc w:val="both"/>
        <w:rPr>
          <w:sz w:val="24"/>
        </w:rPr>
        <w:sectPr>
          <w:pgSz w:w="12240" w:h="15840"/>
          <w:pgMar w:header="684" w:footer="1184" w:top="1380" w:bottom="1380" w:left="1440" w:right="1460"/>
        </w:sectPr>
      </w:pPr>
    </w:p>
    <w:p>
      <w:pPr>
        <w:pStyle w:val="BodyText"/>
        <w:spacing w:before="7"/>
        <w:rPr>
          <w:sz w:val="15"/>
        </w:rPr>
      </w:pPr>
    </w:p>
    <w:p>
      <w:pPr>
        <w:pStyle w:val="BodyText"/>
        <w:spacing w:line="364" w:lineRule="auto" w:before="66"/>
        <w:ind w:left="259"/>
      </w:pPr>
      <w:r>
        <w:rPr/>
        <w:t>545,695 casos. Esta metodología puede llevar a cabo experimentos paralelos en diferentes fases en el estudio de la distribución de ácidos grasos.</w:t>
      </w:r>
    </w:p>
    <w:p>
      <w:pPr>
        <w:spacing w:after="0" w:line="364" w:lineRule="auto"/>
        <w:sectPr>
          <w:pgSz w:w="12240" w:h="15840"/>
          <w:pgMar w:header="684" w:footer="1184" w:top="1380" w:bottom="1380" w:left="1440" w:right="1460"/>
        </w:sectPr>
      </w:pPr>
    </w:p>
    <w:p>
      <w:pPr>
        <w:pStyle w:val="BodyText"/>
        <w:rPr>
          <w:sz w:val="20"/>
        </w:rPr>
      </w:pPr>
    </w:p>
    <w:p>
      <w:pPr>
        <w:pStyle w:val="BodyText"/>
        <w:rPr>
          <w:sz w:val="20"/>
        </w:rPr>
      </w:pPr>
    </w:p>
    <w:p>
      <w:pPr>
        <w:pStyle w:val="BodyText"/>
        <w:spacing w:before="8"/>
        <w:rPr>
          <w:sz w:val="20"/>
        </w:rPr>
      </w:pPr>
    </w:p>
    <w:p>
      <w:pPr>
        <w:pStyle w:val="Heading1"/>
      </w:pPr>
      <w:bookmarkStart w:name="_TOC_250000" w:id="40"/>
      <w:bookmarkEnd w:id="40"/>
      <w:r>
        <w:rPr>
          <w:color w:val="1F487C"/>
        </w:rPr>
        <w:t>REFERENCIAS</w:t>
      </w:r>
    </w:p>
    <w:p>
      <w:pPr>
        <w:pStyle w:val="BodyText"/>
        <w:spacing w:before="3"/>
        <w:rPr>
          <w:b/>
          <w:sz w:val="25"/>
        </w:rPr>
      </w:pPr>
    </w:p>
    <w:p>
      <w:pPr>
        <w:spacing w:before="0"/>
        <w:ind w:left="980" w:right="243" w:hanging="721"/>
        <w:jc w:val="both"/>
        <w:rPr>
          <w:sz w:val="20"/>
        </w:rPr>
      </w:pPr>
      <w:r>
        <w:rPr>
          <w:sz w:val="20"/>
        </w:rPr>
        <w:t>Adeyemi, K. D. et al. 2015. Influence of Carotino oil on in vitro rumen fermentation, metabolism and apparent biohydrogenation of fatty acids. Animal Science Journal 86: 270-278.</w:t>
      </w:r>
    </w:p>
    <w:p>
      <w:pPr>
        <w:spacing w:before="0"/>
        <w:ind w:left="980" w:right="234" w:hanging="721"/>
        <w:jc w:val="both"/>
        <w:rPr>
          <w:sz w:val="20"/>
        </w:rPr>
      </w:pPr>
      <w:bookmarkStart w:name="_bookmark0" w:id="41"/>
      <w:bookmarkEnd w:id="41"/>
      <w:r>
        <w:rPr/>
      </w:r>
      <w:r>
        <w:rPr>
          <w:sz w:val="20"/>
        </w:rPr>
        <w:t>Aguero-Chapin, G., A. Antunes, F. M. Ubeira, K. C. Chou, and H. Gonzalez-Diaz. 2008a. Comparative study of topological indices of macro/supramolecular RNA complex networks. J Chem Inf Model 48: 2265-2277.</w:t>
      </w:r>
    </w:p>
    <w:p>
      <w:pPr>
        <w:spacing w:line="237" w:lineRule="auto" w:before="3"/>
        <w:ind w:left="980" w:right="241" w:hanging="721"/>
        <w:jc w:val="both"/>
        <w:rPr>
          <w:sz w:val="20"/>
        </w:rPr>
      </w:pPr>
      <w:r>
        <w:rPr>
          <w:sz w:val="20"/>
        </w:rPr>
        <w:t>Aguero-Chapin, G. et al. 2008b. MMM-QSAR recognition of ribonucleases without alignment: comparison with an HMM model and isolation from Schizosaccharomyces pombe, prediction, and experimental assay of a new sequence. J Chem Inf Model 48: 434-448.</w:t>
      </w:r>
    </w:p>
    <w:p>
      <w:pPr>
        <w:spacing w:before="1"/>
        <w:ind w:left="980" w:right="236" w:hanging="721"/>
        <w:jc w:val="both"/>
        <w:rPr>
          <w:sz w:val="20"/>
        </w:rPr>
      </w:pPr>
      <w:r>
        <w:rPr>
          <w:sz w:val="20"/>
        </w:rPr>
        <w:t>Al-Kaiesy, M. T., H. A. Abdul-Kader, M. H. Mohammad, and A. H. Saeed. 2003. Effect of γ-irradiation on antinutritional factors in broad bean. Radiation Physics and Chemistry 67: 493-496.</w:t>
      </w:r>
    </w:p>
    <w:p>
      <w:pPr>
        <w:spacing w:before="0"/>
        <w:ind w:left="980" w:right="235" w:hanging="721"/>
        <w:jc w:val="both"/>
        <w:rPr>
          <w:sz w:val="20"/>
        </w:rPr>
      </w:pPr>
      <w:r>
        <w:rPr>
          <w:sz w:val="20"/>
        </w:rPr>
        <w:t>Aldai, N., B. </w:t>
      </w:r>
      <w:r>
        <w:rPr>
          <w:spacing w:val="-3"/>
          <w:sz w:val="20"/>
        </w:rPr>
        <w:t>E. </w:t>
      </w:r>
      <w:r>
        <w:rPr>
          <w:sz w:val="20"/>
        </w:rPr>
        <w:t>Murray, </w:t>
      </w:r>
      <w:r>
        <w:rPr>
          <w:spacing w:val="-3"/>
          <w:sz w:val="20"/>
        </w:rPr>
        <w:t>A. </w:t>
      </w:r>
      <w:r>
        <w:rPr>
          <w:sz w:val="20"/>
        </w:rPr>
        <w:t>I. Nájera, D. J. Troy, and K. Osoro. 2005. Derivatization of fatty acids and its application for conjugated linoleic acid studies in ruminant meat lipids. Journal of the Science  of Food and Agriculture 85:</w:t>
      </w:r>
      <w:r>
        <w:rPr>
          <w:spacing w:val="-25"/>
          <w:sz w:val="20"/>
        </w:rPr>
        <w:t> </w:t>
      </w:r>
      <w:r>
        <w:rPr>
          <w:sz w:val="20"/>
        </w:rPr>
        <w:t>1073-1083.</w:t>
      </w:r>
    </w:p>
    <w:p>
      <w:pPr>
        <w:spacing w:line="240" w:lineRule="auto" w:before="0"/>
        <w:ind w:left="980" w:right="238" w:hanging="721"/>
        <w:jc w:val="both"/>
        <w:rPr>
          <w:sz w:val="20"/>
        </w:rPr>
      </w:pPr>
      <w:r>
        <w:rPr>
          <w:sz w:val="20"/>
        </w:rPr>
        <w:t>Alizadeh, A. R., G. R. Ghorbani, M. Alikhani, H. R. Rahmani, and A. Nikkhah. 2010. Safflower seeds in corn silage and alfalfa hay based early lactation diets: A practice within an optimum forage choice. Animal Feed Science and Technology 155: 18-24.</w:t>
      </w:r>
    </w:p>
    <w:p>
      <w:pPr>
        <w:spacing w:before="0"/>
        <w:ind w:left="980" w:right="237" w:hanging="721"/>
        <w:jc w:val="both"/>
        <w:rPr>
          <w:sz w:val="20"/>
        </w:rPr>
      </w:pPr>
      <w:r>
        <w:rPr>
          <w:sz w:val="20"/>
        </w:rPr>
        <w:t>Alonso, N. et al. 2013. Model for high-throughput screening of multitarget drugs in chemical neurosciences: synthesis, assay, and theoretic study of rasagiline carbamates. ACS chemical neuroscience 4: 1393-1403.</w:t>
      </w:r>
    </w:p>
    <w:p>
      <w:pPr>
        <w:spacing w:line="240" w:lineRule="auto" w:before="0"/>
        <w:ind w:left="980" w:right="233" w:hanging="721"/>
        <w:jc w:val="both"/>
        <w:rPr>
          <w:sz w:val="20"/>
        </w:rPr>
      </w:pPr>
      <w:r>
        <w:rPr>
          <w:sz w:val="20"/>
        </w:rPr>
        <w:t>Allison, M. J., M. P. Bryant, I. Katz, and M. Keeney. 1962. Metabolic function of branched-chain volatile fatty acids, growth factors for ruminococci II. : Biosynthesis of Higher Branched-Chain Fatty Acids and Aldehydes. Journal of bacteriology 83: 1084-1093.</w:t>
      </w:r>
    </w:p>
    <w:p>
      <w:pPr>
        <w:spacing w:before="0"/>
        <w:ind w:left="980" w:right="238" w:hanging="721"/>
        <w:jc w:val="both"/>
        <w:rPr>
          <w:sz w:val="20"/>
        </w:rPr>
      </w:pPr>
      <w:r>
        <w:rPr>
          <w:sz w:val="20"/>
        </w:rPr>
        <w:t>Amer, S., F. Hassanat, R. Berthiaume, P. Seguin, and A. F. Mustafa. 2012. Effects of water soluble carbohydrate content on ensiling characteristics, chemical composition and in vitro gas production of forage millet and forage sorghum silages. Animal Feed Science and Technology 177: 23-29.</w:t>
      </w:r>
    </w:p>
    <w:p>
      <w:pPr>
        <w:spacing w:line="230" w:lineRule="exact" w:before="0"/>
        <w:ind w:left="259" w:right="0" w:firstLine="0"/>
        <w:jc w:val="left"/>
        <w:rPr>
          <w:sz w:val="20"/>
        </w:rPr>
      </w:pPr>
      <w:r>
        <w:rPr>
          <w:sz w:val="20"/>
        </w:rPr>
        <w:t>Anslyn, E. E., and D. A. Dougherty. 2006. Modern Physical Organic Chemistry. University Science Books.</w:t>
      </w:r>
    </w:p>
    <w:p>
      <w:pPr>
        <w:spacing w:before="1"/>
        <w:ind w:left="980" w:right="232" w:hanging="721"/>
        <w:jc w:val="both"/>
        <w:rPr>
          <w:sz w:val="20"/>
        </w:rPr>
      </w:pPr>
      <w:r>
        <w:rPr>
          <w:sz w:val="20"/>
        </w:rPr>
        <w:t>Baba, A. S. H., F. B. Castro, and E. R. Ørskov. 2002. Partitioning of energy and degradability of browse plants in vitro and the implications of blocking the effects of tannin by the addition of polyethylene glycol. Animal Feed Science and Technology 95: 93-104.</w:t>
      </w:r>
    </w:p>
    <w:p>
      <w:pPr>
        <w:spacing w:before="0"/>
        <w:ind w:left="259" w:right="0" w:firstLine="0"/>
        <w:jc w:val="left"/>
        <w:rPr>
          <w:sz w:val="20"/>
        </w:rPr>
      </w:pPr>
      <w:r>
        <w:rPr>
          <w:sz w:val="20"/>
        </w:rPr>
        <w:t>Barabasi, A. L., and Z. N. Oltvai. 2004. Network biology: understanding the cell's functional organization.</w:t>
      </w:r>
    </w:p>
    <w:p>
      <w:pPr>
        <w:spacing w:line="232" w:lineRule="exact" w:before="0"/>
        <w:ind w:left="980" w:right="0" w:firstLine="0"/>
        <w:jc w:val="left"/>
        <w:rPr>
          <w:sz w:val="20"/>
        </w:rPr>
      </w:pPr>
      <w:r>
        <w:rPr>
          <w:sz w:val="20"/>
        </w:rPr>
        <w:t>Nature reviews 5: 101-113.</w:t>
      </w:r>
    </w:p>
    <w:p>
      <w:pPr>
        <w:spacing w:line="240" w:lineRule="auto" w:before="0"/>
        <w:ind w:left="980" w:right="245" w:hanging="721"/>
        <w:jc w:val="both"/>
        <w:rPr>
          <w:sz w:val="20"/>
        </w:rPr>
      </w:pPr>
      <w:r>
        <w:rPr>
          <w:sz w:val="20"/>
        </w:rPr>
        <w:t>Baümler, E., A. Cuniberti, S. M. Nolasco, and I. C. Riccobene. 2006. Moisture dependent physical and compression properties of safflower seed. Journal of Food Engineering 72: 134-140.</w:t>
      </w:r>
    </w:p>
    <w:p>
      <w:pPr>
        <w:spacing w:before="1"/>
        <w:ind w:left="980" w:right="233" w:hanging="721"/>
        <w:jc w:val="both"/>
        <w:rPr>
          <w:sz w:val="20"/>
        </w:rPr>
      </w:pPr>
      <w:r>
        <w:rPr>
          <w:sz w:val="20"/>
        </w:rPr>
        <w:t>Bay, D. C., and R. J. Turner. 2013. Membrane composition influences the topology bias of bacterial integral membrane proteins. Biochimica et Biophysica Acta (BBA) - Biomembranes 1828: 260- 270.</w:t>
      </w:r>
    </w:p>
    <w:p>
      <w:pPr>
        <w:spacing w:before="0"/>
        <w:ind w:left="980" w:right="237" w:hanging="721"/>
        <w:jc w:val="both"/>
        <w:rPr>
          <w:sz w:val="20"/>
        </w:rPr>
      </w:pPr>
      <w:r>
        <w:rPr>
          <w:sz w:val="20"/>
        </w:rPr>
        <w:t>Belanche, A. et al. 2011. Study of the effect of presence or absence of protozoa on rumen fermentation and microbial protein contribution to the chyme. J Anim Sci 89: 4163-4174.</w:t>
      </w:r>
    </w:p>
    <w:p>
      <w:pPr>
        <w:spacing w:line="240" w:lineRule="auto" w:before="0"/>
        <w:ind w:left="980" w:right="245" w:hanging="721"/>
        <w:jc w:val="both"/>
        <w:rPr>
          <w:sz w:val="20"/>
        </w:rPr>
      </w:pPr>
      <w:r>
        <w:rPr>
          <w:sz w:val="20"/>
        </w:rPr>
        <w:t>Bell, J. M. 1993. Factors affecting the nutritional value of canola meal: A review. Canadian Journal of Animal Science 73: 689-697.</w:t>
      </w:r>
    </w:p>
    <w:p>
      <w:pPr>
        <w:spacing w:before="1"/>
        <w:ind w:left="259" w:right="0" w:firstLine="0"/>
        <w:jc w:val="left"/>
        <w:rPr>
          <w:sz w:val="20"/>
        </w:rPr>
      </w:pPr>
      <w:r>
        <w:rPr>
          <w:sz w:val="20"/>
        </w:rPr>
        <w:t>Benchaar, C. et al. 2008. A review of plant-derived essential oils in ruminant nutrition and production.</w:t>
      </w:r>
    </w:p>
    <w:p>
      <w:pPr>
        <w:spacing w:before="0"/>
        <w:ind w:left="980" w:right="0" w:firstLine="0"/>
        <w:jc w:val="left"/>
        <w:rPr>
          <w:sz w:val="20"/>
        </w:rPr>
      </w:pPr>
      <w:r>
        <w:rPr>
          <w:sz w:val="20"/>
        </w:rPr>
        <w:t>Animal Feed Science and Technology 145: 209-228.</w:t>
      </w:r>
    </w:p>
    <w:p>
      <w:pPr>
        <w:spacing w:before="0"/>
        <w:ind w:left="980" w:right="240" w:hanging="721"/>
        <w:jc w:val="both"/>
        <w:rPr>
          <w:sz w:val="20"/>
        </w:rPr>
      </w:pPr>
      <w:r>
        <w:rPr>
          <w:sz w:val="20"/>
        </w:rPr>
        <w:t>Blasbalg, T. L., J. R. Hibbeln, C. E. Ramsden, S. F. Majchrzak, and R. R. Rawlings. 2011. Changes in consumption of omega-3 and omega-6 fatty acids in the United States during the 20th century. American Journal of Clinical Nutrition 93: 950-962.</w:t>
      </w:r>
    </w:p>
    <w:p>
      <w:pPr>
        <w:spacing w:line="240" w:lineRule="auto" w:before="0"/>
        <w:ind w:left="980" w:right="247" w:hanging="721"/>
        <w:jc w:val="both"/>
        <w:rPr>
          <w:sz w:val="20"/>
        </w:rPr>
      </w:pPr>
      <w:r>
        <w:rPr>
          <w:sz w:val="20"/>
        </w:rPr>
        <w:t>Blewett, H. J., C. A. Gerdung, M. R. Ruth, S. D. Proctor, and C. </w:t>
      </w:r>
      <w:r>
        <w:rPr>
          <w:spacing w:val="-3"/>
          <w:sz w:val="20"/>
        </w:rPr>
        <w:t>J. </w:t>
      </w:r>
      <w:r>
        <w:rPr>
          <w:sz w:val="20"/>
        </w:rPr>
        <w:t>Field. 2009. Vaccenic acid favourably alters</w:t>
      </w:r>
      <w:r>
        <w:rPr>
          <w:spacing w:val="-3"/>
          <w:sz w:val="20"/>
        </w:rPr>
        <w:t> </w:t>
      </w:r>
      <w:r>
        <w:rPr>
          <w:sz w:val="20"/>
        </w:rPr>
        <w:t>immune</w:t>
      </w:r>
      <w:r>
        <w:rPr>
          <w:spacing w:val="-5"/>
          <w:sz w:val="20"/>
        </w:rPr>
        <w:t> </w:t>
      </w:r>
      <w:r>
        <w:rPr>
          <w:sz w:val="20"/>
        </w:rPr>
        <w:t>function</w:t>
      </w:r>
      <w:r>
        <w:rPr>
          <w:spacing w:val="-4"/>
          <w:sz w:val="20"/>
        </w:rPr>
        <w:t> </w:t>
      </w:r>
      <w:r>
        <w:rPr>
          <w:sz w:val="20"/>
        </w:rPr>
        <w:t>in</w:t>
      </w:r>
      <w:r>
        <w:rPr>
          <w:spacing w:val="-4"/>
          <w:sz w:val="20"/>
        </w:rPr>
        <w:t> </w:t>
      </w:r>
      <w:r>
        <w:rPr>
          <w:sz w:val="20"/>
        </w:rPr>
        <w:t>obese</w:t>
      </w:r>
      <w:r>
        <w:rPr>
          <w:spacing w:val="-5"/>
          <w:sz w:val="20"/>
        </w:rPr>
        <w:t> </w:t>
      </w:r>
      <w:r>
        <w:rPr>
          <w:sz w:val="20"/>
        </w:rPr>
        <w:t>JCR:LA-cp</w:t>
      </w:r>
      <w:r>
        <w:rPr>
          <w:spacing w:val="-4"/>
          <w:sz w:val="20"/>
        </w:rPr>
        <w:t> </w:t>
      </w:r>
      <w:r>
        <w:rPr>
          <w:sz w:val="20"/>
        </w:rPr>
        <w:t>rats.</w:t>
      </w:r>
      <w:r>
        <w:rPr>
          <w:spacing w:val="-1"/>
          <w:sz w:val="20"/>
        </w:rPr>
        <w:t> </w:t>
      </w:r>
      <w:r>
        <w:rPr>
          <w:sz w:val="20"/>
        </w:rPr>
        <w:t>The</w:t>
      </w:r>
      <w:r>
        <w:rPr>
          <w:spacing w:val="-5"/>
          <w:sz w:val="20"/>
        </w:rPr>
        <w:t> </w:t>
      </w:r>
      <w:r>
        <w:rPr>
          <w:sz w:val="20"/>
        </w:rPr>
        <w:t>British</w:t>
      </w:r>
      <w:r>
        <w:rPr>
          <w:spacing w:val="-4"/>
          <w:sz w:val="20"/>
        </w:rPr>
        <w:t> </w:t>
      </w:r>
      <w:r>
        <w:rPr>
          <w:sz w:val="20"/>
        </w:rPr>
        <w:t>journal</w:t>
      </w:r>
      <w:r>
        <w:rPr>
          <w:spacing w:val="-4"/>
          <w:sz w:val="20"/>
        </w:rPr>
        <w:t> </w:t>
      </w:r>
      <w:r>
        <w:rPr>
          <w:sz w:val="20"/>
        </w:rPr>
        <w:t>of</w:t>
      </w:r>
      <w:r>
        <w:rPr>
          <w:spacing w:val="-1"/>
          <w:sz w:val="20"/>
        </w:rPr>
        <w:t> </w:t>
      </w:r>
      <w:r>
        <w:rPr>
          <w:sz w:val="20"/>
        </w:rPr>
        <w:t>nutrition</w:t>
      </w:r>
      <w:r>
        <w:rPr>
          <w:spacing w:val="-4"/>
          <w:sz w:val="20"/>
        </w:rPr>
        <w:t> </w:t>
      </w:r>
      <w:r>
        <w:rPr>
          <w:sz w:val="20"/>
        </w:rPr>
        <w:t>102:</w:t>
      </w:r>
      <w:r>
        <w:rPr>
          <w:spacing w:val="-3"/>
          <w:sz w:val="20"/>
        </w:rPr>
        <w:t> </w:t>
      </w:r>
      <w:r>
        <w:rPr>
          <w:sz w:val="20"/>
        </w:rPr>
        <w:t>526-536.</w:t>
      </w:r>
    </w:p>
    <w:p>
      <w:pPr>
        <w:spacing w:after="0" w:line="240"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51" w:hanging="721"/>
        <w:jc w:val="both"/>
        <w:rPr>
          <w:sz w:val="20"/>
        </w:rPr>
      </w:pPr>
      <w:r>
        <w:rPr>
          <w:sz w:val="20"/>
        </w:rPr>
        <w:t>Boeckaert, C. et al. 2008. Effect of dietary starch or micro algae supplementation on rumen  fermentation</w:t>
      </w:r>
      <w:r>
        <w:rPr>
          <w:spacing w:val="-4"/>
          <w:sz w:val="20"/>
        </w:rPr>
        <w:t> </w:t>
      </w:r>
      <w:r>
        <w:rPr>
          <w:sz w:val="20"/>
        </w:rPr>
        <w:t>and</w:t>
      </w:r>
      <w:r>
        <w:rPr>
          <w:spacing w:val="-4"/>
          <w:sz w:val="20"/>
        </w:rPr>
        <w:t> </w:t>
      </w:r>
      <w:r>
        <w:rPr>
          <w:sz w:val="20"/>
        </w:rPr>
        <w:t>milk</w:t>
      </w:r>
      <w:r>
        <w:rPr>
          <w:spacing w:val="-2"/>
          <w:sz w:val="20"/>
        </w:rPr>
        <w:t> </w:t>
      </w:r>
      <w:r>
        <w:rPr>
          <w:sz w:val="20"/>
        </w:rPr>
        <w:t>fatty</w:t>
      </w:r>
      <w:r>
        <w:rPr>
          <w:spacing w:val="-3"/>
          <w:sz w:val="20"/>
        </w:rPr>
        <w:t> </w:t>
      </w:r>
      <w:r>
        <w:rPr>
          <w:sz w:val="20"/>
        </w:rPr>
        <w:t>acid</w:t>
      </w:r>
      <w:r>
        <w:rPr>
          <w:spacing w:val="-4"/>
          <w:sz w:val="20"/>
        </w:rPr>
        <w:t> </w:t>
      </w:r>
      <w:r>
        <w:rPr>
          <w:sz w:val="20"/>
        </w:rPr>
        <w:t>composition</w:t>
      </w:r>
      <w:r>
        <w:rPr>
          <w:spacing w:val="-4"/>
          <w:sz w:val="20"/>
        </w:rPr>
        <w:t> </w:t>
      </w:r>
      <w:r>
        <w:rPr>
          <w:sz w:val="20"/>
        </w:rPr>
        <w:t>of</w:t>
      </w:r>
      <w:r>
        <w:rPr>
          <w:spacing w:val="-1"/>
          <w:sz w:val="20"/>
        </w:rPr>
        <w:t> </w:t>
      </w:r>
      <w:r>
        <w:rPr>
          <w:sz w:val="20"/>
        </w:rPr>
        <w:t>dairy</w:t>
      </w:r>
      <w:r>
        <w:rPr>
          <w:spacing w:val="-3"/>
          <w:sz w:val="20"/>
        </w:rPr>
        <w:t> </w:t>
      </w:r>
      <w:r>
        <w:rPr>
          <w:sz w:val="20"/>
        </w:rPr>
        <w:t>cows.</w:t>
      </w:r>
      <w:r>
        <w:rPr>
          <w:spacing w:val="-1"/>
          <w:sz w:val="20"/>
        </w:rPr>
        <w:t> </w:t>
      </w:r>
      <w:r>
        <w:rPr>
          <w:sz w:val="20"/>
        </w:rPr>
        <w:t>J</w:t>
      </w:r>
      <w:r>
        <w:rPr>
          <w:spacing w:val="-7"/>
          <w:sz w:val="20"/>
        </w:rPr>
        <w:t> </w:t>
      </w:r>
      <w:r>
        <w:rPr>
          <w:sz w:val="20"/>
        </w:rPr>
        <w:t>Dairy</w:t>
      </w:r>
      <w:r>
        <w:rPr>
          <w:spacing w:val="-3"/>
          <w:sz w:val="20"/>
        </w:rPr>
        <w:t> </w:t>
      </w:r>
      <w:r>
        <w:rPr>
          <w:sz w:val="20"/>
        </w:rPr>
        <w:t>Sci</w:t>
      </w:r>
      <w:r>
        <w:rPr>
          <w:spacing w:val="-1"/>
          <w:sz w:val="20"/>
        </w:rPr>
        <w:t> </w:t>
      </w:r>
      <w:r>
        <w:rPr>
          <w:sz w:val="20"/>
        </w:rPr>
        <w:t>91:</w:t>
      </w:r>
      <w:r>
        <w:rPr>
          <w:spacing w:val="-3"/>
          <w:sz w:val="20"/>
        </w:rPr>
        <w:t> </w:t>
      </w:r>
      <w:r>
        <w:rPr>
          <w:sz w:val="20"/>
        </w:rPr>
        <w:t>4714-4727.</w:t>
      </w:r>
    </w:p>
    <w:p>
      <w:pPr>
        <w:spacing w:before="0"/>
        <w:ind w:left="980" w:right="241" w:hanging="721"/>
        <w:jc w:val="both"/>
        <w:rPr>
          <w:sz w:val="20"/>
        </w:rPr>
      </w:pPr>
      <w:bookmarkStart w:name="_bookmark1" w:id="42"/>
      <w:bookmarkEnd w:id="42"/>
      <w:r>
        <w:rPr/>
      </w:r>
      <w:r>
        <w:rPr>
          <w:sz w:val="20"/>
        </w:rPr>
        <w:t>Boland, L. M., M. M. Drzewiecki, G. Timoney, and E. Casey. 2009. Inhibitory effects of polyunsaturated fatty acids on Kv4/KChIP potassium channels. American journal of physiology. Cell physiology 296: C1003-1014.</w:t>
      </w:r>
    </w:p>
    <w:p>
      <w:pPr>
        <w:spacing w:line="240" w:lineRule="auto" w:before="0"/>
        <w:ind w:left="980" w:right="241" w:hanging="721"/>
        <w:jc w:val="both"/>
        <w:rPr>
          <w:sz w:val="20"/>
        </w:rPr>
      </w:pPr>
      <w:r>
        <w:rPr>
          <w:sz w:val="20"/>
        </w:rPr>
        <w:t>Bozan, B., and F. Temelli. 2008. Chemical composition and oxidative stability of flax, safflower and poppy seed and seed oils. Bioresource Technology 99: 6354-6359.</w:t>
      </w:r>
    </w:p>
    <w:p>
      <w:pPr>
        <w:spacing w:before="0"/>
        <w:ind w:left="980" w:right="242" w:hanging="721"/>
        <w:jc w:val="both"/>
        <w:rPr>
          <w:sz w:val="20"/>
        </w:rPr>
      </w:pPr>
      <w:r>
        <w:rPr>
          <w:sz w:val="20"/>
        </w:rPr>
        <w:t>Brand, T. S., N. Smith, and L. C. Hoffman. 2007. Anti-nutritional factors in canola produced in  the Western and Southern Cape areas of South Africa. South African Journal of Animal Science 37: 45-50.</w:t>
      </w:r>
    </w:p>
    <w:p>
      <w:pPr>
        <w:spacing w:before="1"/>
        <w:ind w:left="980" w:right="241" w:hanging="721"/>
        <w:jc w:val="both"/>
        <w:rPr>
          <w:sz w:val="20"/>
        </w:rPr>
      </w:pPr>
      <w:r>
        <w:rPr>
          <w:sz w:val="20"/>
        </w:rPr>
        <w:t>Broderick, G. A., and J. H. Kang. 1980. Automated Simultaneous Determination of Ammonia and Total Amino Acids in Ruminal Fluid and In Vitro Media. Journal of Dairy Science 63: 64-75.</w:t>
      </w:r>
    </w:p>
    <w:p>
      <w:pPr>
        <w:spacing w:line="240" w:lineRule="auto" w:before="0"/>
        <w:ind w:left="980" w:right="235" w:hanging="721"/>
        <w:jc w:val="both"/>
        <w:rPr>
          <w:sz w:val="20"/>
        </w:rPr>
      </w:pPr>
      <w:r>
        <w:rPr>
          <w:sz w:val="20"/>
        </w:rPr>
        <w:t>Bucher, H. C., P. Hengstler, C. Schindler, and G. Meier. 2002. N-3 polyunsaturated fatty acids in coronary heart disease: A meta-analysis of randomized controlled trials. American Journal of Medicine 112: 298-304.</w:t>
      </w:r>
    </w:p>
    <w:p>
      <w:pPr>
        <w:spacing w:before="0"/>
        <w:ind w:left="980" w:right="242" w:hanging="721"/>
        <w:jc w:val="both"/>
        <w:rPr>
          <w:sz w:val="20"/>
        </w:rPr>
      </w:pPr>
      <w:r>
        <w:rPr>
          <w:sz w:val="20"/>
        </w:rPr>
        <w:t>Burdge, G. C., and P. C. Calder. 2006. Dietary α-linolenic acid and health-related outcomes: A metabolic perspective. Nutrition Research Reviews 19: 26-52.</w:t>
      </w:r>
    </w:p>
    <w:p>
      <w:pPr>
        <w:spacing w:line="230" w:lineRule="exact" w:before="6"/>
        <w:ind w:left="980" w:right="242" w:hanging="721"/>
        <w:jc w:val="both"/>
        <w:rPr>
          <w:sz w:val="20"/>
        </w:rPr>
      </w:pPr>
      <w:bookmarkStart w:name="_bookmark2" w:id="43"/>
      <w:bookmarkEnd w:id="43"/>
      <w:r>
        <w:rPr/>
      </w:r>
      <w:r>
        <w:rPr>
          <w:sz w:val="20"/>
        </w:rPr>
        <w:t>Calder, P. C. 2006a. n-3 polyunsaturated fatty acids, inflammation, and inflammatory diseases. The American Journal of Clinical Nutrition 83: 1505S-1519S.</w:t>
      </w:r>
    </w:p>
    <w:p>
      <w:pPr>
        <w:spacing w:before="0"/>
        <w:ind w:left="980" w:right="246" w:hanging="721"/>
        <w:jc w:val="both"/>
        <w:rPr>
          <w:sz w:val="20"/>
        </w:rPr>
      </w:pPr>
      <w:r>
        <w:rPr>
          <w:sz w:val="20"/>
        </w:rPr>
        <w:t>Calder, P. C. 2006b. Polyunsaturated fatty acids and inflammation. Prostaglandins, Leukotrienes and Essential Fatty Acids 75: 197-202.</w:t>
      </w:r>
    </w:p>
    <w:p>
      <w:pPr>
        <w:spacing w:before="0"/>
        <w:ind w:left="980" w:right="244" w:hanging="721"/>
        <w:jc w:val="both"/>
        <w:rPr>
          <w:sz w:val="20"/>
        </w:rPr>
      </w:pPr>
      <w:r>
        <w:rPr>
          <w:sz w:val="20"/>
        </w:rPr>
        <w:t>Calder, P. C. 2008. Polyunsaturated fatty acids, inflammatory processes and inflammatory bowel diseases. Molecular Nutrition &amp; Food Research 52: 885-897.</w:t>
      </w:r>
    </w:p>
    <w:p>
      <w:pPr>
        <w:spacing w:before="0"/>
        <w:ind w:left="980" w:right="241" w:hanging="721"/>
        <w:jc w:val="both"/>
        <w:rPr>
          <w:sz w:val="20"/>
        </w:rPr>
      </w:pPr>
      <w:bookmarkStart w:name="_bookmark3" w:id="44"/>
      <w:bookmarkEnd w:id="44"/>
      <w:r>
        <w:rPr/>
      </w:r>
      <w:r>
        <w:rPr>
          <w:sz w:val="20"/>
        </w:rPr>
        <w:t>Calder, P. C. 2013. Omega-3 polyunsaturated fatty acids and inflammatory processes: nutrition or pharmacology? British Journal of Clinical Pharmacology 75: 645-662.</w:t>
      </w:r>
    </w:p>
    <w:p>
      <w:pPr>
        <w:spacing w:line="240" w:lineRule="auto" w:before="0"/>
        <w:ind w:left="980" w:right="240" w:hanging="721"/>
        <w:jc w:val="both"/>
        <w:rPr>
          <w:sz w:val="20"/>
        </w:rPr>
      </w:pPr>
      <w:r>
        <w:rPr>
          <w:sz w:val="20"/>
        </w:rPr>
        <w:t>Calder, P. C. et al. 2011. Omega-3 polyunsaturated fatty acids in human nutrition Vitamins in the Prevention of Human Diseases. p 629-696.</w:t>
      </w:r>
    </w:p>
    <w:p>
      <w:pPr>
        <w:spacing w:before="0"/>
        <w:ind w:left="980" w:right="234" w:hanging="721"/>
        <w:jc w:val="both"/>
        <w:rPr>
          <w:sz w:val="20"/>
        </w:rPr>
      </w:pPr>
      <w:r>
        <w:rPr>
          <w:sz w:val="20"/>
        </w:rPr>
        <w:t>Calder, P. C., P. Yaqoob, D. </w:t>
      </w:r>
      <w:r>
        <w:rPr>
          <w:spacing w:val="-3"/>
          <w:sz w:val="20"/>
        </w:rPr>
        <w:t>J. </w:t>
      </w:r>
      <w:r>
        <w:rPr>
          <w:sz w:val="20"/>
        </w:rPr>
        <w:t>Harvey, A. Watts, and E. </w:t>
      </w:r>
      <w:r>
        <w:rPr>
          <w:spacing w:val="-3"/>
          <w:sz w:val="20"/>
        </w:rPr>
        <w:t>A. </w:t>
      </w:r>
      <w:r>
        <w:rPr>
          <w:sz w:val="20"/>
        </w:rPr>
        <w:t>Newsholme. 1994. Incorporation of fatty acids   by concanavalin A-stimulated lymphocytes and the effect on fatty acid composition and membrane fluidity. The Biochemical journal 300 ( Pt 2):</w:t>
      </w:r>
      <w:r>
        <w:rPr>
          <w:spacing w:val="-26"/>
          <w:sz w:val="20"/>
        </w:rPr>
        <w:t> </w:t>
      </w:r>
      <w:r>
        <w:rPr>
          <w:sz w:val="20"/>
        </w:rPr>
        <w:t>509-518.</w:t>
      </w:r>
    </w:p>
    <w:p>
      <w:pPr>
        <w:spacing w:line="230" w:lineRule="exact" w:before="6"/>
        <w:ind w:left="980" w:right="247" w:hanging="721"/>
        <w:jc w:val="both"/>
        <w:rPr>
          <w:sz w:val="20"/>
        </w:rPr>
      </w:pPr>
      <w:r>
        <w:rPr>
          <w:sz w:val="20"/>
        </w:rPr>
        <w:t>Calsamiglia, S., M. Busquet, P. W. Cardozo, L. Castillejos, and A. Ferret. 2007. Invited Review: Essential Oils as Modifiers of Rumen Microbial Fermentation. Journal of Dairy Science 90: 2580-2595.</w:t>
      </w:r>
    </w:p>
    <w:p>
      <w:pPr>
        <w:spacing w:before="0"/>
        <w:ind w:left="980" w:right="237" w:hanging="721"/>
        <w:jc w:val="both"/>
        <w:rPr>
          <w:sz w:val="20"/>
        </w:rPr>
      </w:pPr>
      <w:r>
        <w:rPr>
          <w:sz w:val="20"/>
        </w:rPr>
        <w:t>Calviello, G. et al. 2013. Experimental evidence of ω -3 polyunsaturated fatty acid modulation of inflammatory cytokines and bioactive lipid mediators: Their potential role in inflammatory, neurodegenerative, and neoplastic diseases. BioMed Research International 2013.</w:t>
      </w:r>
    </w:p>
    <w:p>
      <w:pPr>
        <w:spacing w:before="0"/>
        <w:ind w:left="980" w:right="239" w:hanging="721"/>
        <w:jc w:val="both"/>
        <w:rPr>
          <w:sz w:val="20"/>
        </w:rPr>
      </w:pPr>
      <w:r>
        <w:rPr>
          <w:sz w:val="20"/>
        </w:rPr>
        <w:t>Camacho, L. M. et al. 2010. In vitro ruminal fermentation kinetics and energy utilization of  three Mexican tree fodder species during the rainy and dry period. Animal Feed Science and Technology 160: 110-120.</w:t>
      </w:r>
    </w:p>
    <w:p>
      <w:pPr>
        <w:spacing w:line="242" w:lineRule="auto" w:before="0"/>
        <w:ind w:left="980" w:right="248" w:hanging="721"/>
        <w:jc w:val="both"/>
        <w:rPr>
          <w:sz w:val="20"/>
        </w:rPr>
      </w:pPr>
      <w:r>
        <w:rPr>
          <w:sz w:val="20"/>
        </w:rPr>
        <w:t>Catapano, A. L. et al. 2011. ESC/EAS Guidelines for the management of dyslipidaemias. Atherosclerosis 217: 1-44.</w:t>
      </w:r>
    </w:p>
    <w:p>
      <w:pPr>
        <w:spacing w:before="0"/>
        <w:ind w:left="980" w:right="248" w:hanging="721"/>
        <w:jc w:val="both"/>
        <w:rPr>
          <w:sz w:val="20"/>
        </w:rPr>
      </w:pPr>
      <w:r>
        <w:rPr>
          <w:sz w:val="20"/>
        </w:rPr>
        <w:t>Cittadini, A., G. Calviello, H. M. Su, and K. Weylandt. 2013. ω -3 PUFAs in the prevention and cure of inflammatory, degenerative, and neoplastic diseases. BioMed Research International 2013.</w:t>
      </w:r>
    </w:p>
    <w:p>
      <w:pPr>
        <w:spacing w:before="0"/>
        <w:ind w:left="980" w:right="237" w:hanging="721"/>
        <w:jc w:val="both"/>
        <w:rPr>
          <w:sz w:val="20"/>
        </w:rPr>
      </w:pPr>
      <w:r>
        <w:rPr>
          <w:sz w:val="20"/>
        </w:rPr>
        <w:t>Cone, J. W., A. H. van Gelder, and F. Driehuis. 1997. Description of gas production profiles with a three- phasic model. Animal Feed Science and Technology 66: 31-45.</w:t>
      </w:r>
    </w:p>
    <w:p>
      <w:pPr>
        <w:spacing w:line="237" w:lineRule="auto" w:before="2"/>
        <w:ind w:left="980" w:right="238" w:hanging="721"/>
        <w:jc w:val="both"/>
        <w:rPr>
          <w:sz w:val="20"/>
        </w:rPr>
      </w:pPr>
      <w:r>
        <w:rPr>
          <w:sz w:val="20"/>
        </w:rPr>
        <w:t>Cone, J. W., </w:t>
      </w:r>
      <w:r>
        <w:rPr>
          <w:spacing w:val="-3"/>
          <w:sz w:val="20"/>
        </w:rPr>
        <w:t>A. </w:t>
      </w:r>
      <w:r>
        <w:rPr>
          <w:sz w:val="20"/>
        </w:rPr>
        <w:t>H. van Gelder, G. </w:t>
      </w:r>
      <w:r>
        <w:rPr>
          <w:spacing w:val="-3"/>
          <w:sz w:val="20"/>
        </w:rPr>
        <w:t>J. </w:t>
      </w:r>
      <w:r>
        <w:rPr>
          <w:sz w:val="20"/>
        </w:rPr>
        <w:t>W. Visscher, and L. Oudshoorn. 1996. Influence of rumen fluid and substrate concentration on fermentation kinetics measured with a fully automated time  related</w:t>
      </w:r>
      <w:r>
        <w:rPr>
          <w:spacing w:val="-5"/>
          <w:sz w:val="20"/>
        </w:rPr>
        <w:t> </w:t>
      </w:r>
      <w:r>
        <w:rPr>
          <w:sz w:val="20"/>
        </w:rPr>
        <w:t>gas</w:t>
      </w:r>
      <w:r>
        <w:rPr>
          <w:spacing w:val="-4"/>
          <w:sz w:val="20"/>
        </w:rPr>
        <w:t> </w:t>
      </w:r>
      <w:r>
        <w:rPr>
          <w:sz w:val="20"/>
        </w:rPr>
        <w:t>production</w:t>
      </w:r>
      <w:r>
        <w:rPr>
          <w:spacing w:val="-5"/>
          <w:sz w:val="20"/>
        </w:rPr>
        <w:t> </w:t>
      </w:r>
      <w:r>
        <w:rPr>
          <w:sz w:val="20"/>
        </w:rPr>
        <w:t>apparatus.</w:t>
      </w:r>
      <w:r>
        <w:rPr>
          <w:spacing w:val="-2"/>
          <w:sz w:val="20"/>
        </w:rPr>
        <w:t> </w:t>
      </w:r>
      <w:r>
        <w:rPr>
          <w:sz w:val="20"/>
        </w:rPr>
        <w:t>Animal</w:t>
      </w:r>
      <w:r>
        <w:rPr>
          <w:spacing w:val="-5"/>
          <w:sz w:val="20"/>
        </w:rPr>
        <w:t> </w:t>
      </w:r>
      <w:r>
        <w:rPr>
          <w:sz w:val="20"/>
        </w:rPr>
        <w:t>Feed</w:t>
      </w:r>
      <w:r>
        <w:rPr>
          <w:spacing w:val="-5"/>
          <w:sz w:val="20"/>
        </w:rPr>
        <w:t> </w:t>
      </w:r>
      <w:r>
        <w:rPr>
          <w:sz w:val="20"/>
        </w:rPr>
        <w:t>Science</w:t>
      </w:r>
      <w:r>
        <w:rPr>
          <w:spacing w:val="-10"/>
          <w:sz w:val="20"/>
        </w:rPr>
        <w:t> </w:t>
      </w:r>
      <w:r>
        <w:rPr>
          <w:sz w:val="20"/>
        </w:rPr>
        <w:t>and</w:t>
      </w:r>
      <w:r>
        <w:rPr>
          <w:spacing w:val="-5"/>
          <w:sz w:val="20"/>
        </w:rPr>
        <w:t> </w:t>
      </w:r>
      <w:r>
        <w:rPr>
          <w:sz w:val="20"/>
        </w:rPr>
        <w:t>Technology</w:t>
      </w:r>
      <w:r>
        <w:rPr>
          <w:spacing w:val="-4"/>
          <w:sz w:val="20"/>
        </w:rPr>
        <w:t> </w:t>
      </w:r>
      <w:r>
        <w:rPr>
          <w:sz w:val="20"/>
        </w:rPr>
        <w:t>61:</w:t>
      </w:r>
      <w:r>
        <w:rPr>
          <w:spacing w:val="-4"/>
          <w:sz w:val="20"/>
        </w:rPr>
        <w:t> </w:t>
      </w:r>
      <w:r>
        <w:rPr>
          <w:sz w:val="20"/>
        </w:rPr>
        <w:t>113-128.</w:t>
      </w:r>
    </w:p>
    <w:p>
      <w:pPr>
        <w:spacing w:before="1"/>
        <w:ind w:left="980" w:right="241" w:hanging="721"/>
        <w:jc w:val="both"/>
        <w:rPr>
          <w:sz w:val="20"/>
        </w:rPr>
      </w:pPr>
      <w:r>
        <w:rPr>
          <w:sz w:val="20"/>
        </w:rPr>
        <w:t>Cunniff, P. A. o. O. A. C. 1995. Official methods of analysis of AOAC international. Association of Official Analytical Chemists, Washington, DC.</w:t>
      </w:r>
    </w:p>
    <w:p>
      <w:pPr>
        <w:spacing w:line="237" w:lineRule="auto" w:before="2"/>
        <w:ind w:left="980" w:right="239" w:hanging="721"/>
        <w:jc w:val="both"/>
        <w:rPr>
          <w:sz w:val="20"/>
        </w:rPr>
      </w:pPr>
      <w:r>
        <w:rPr>
          <w:sz w:val="20"/>
        </w:rPr>
        <w:t>Czerkawski, J. W., K. L. Blaxter, and F. W. Wainman. 1966. The metabolism of oleic, linoleic and linolenic acids by sheep with reference to their effects on methane production. The British journal of nutrition 20: 349-362.</w:t>
      </w:r>
    </w:p>
    <w:p>
      <w:pPr>
        <w:spacing w:after="0" w:line="237"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36" w:hanging="721"/>
        <w:jc w:val="both"/>
        <w:rPr>
          <w:sz w:val="20"/>
        </w:rPr>
      </w:pPr>
      <w:r>
        <w:rPr>
          <w:sz w:val="20"/>
        </w:rPr>
        <w:t>Chandrasekharaiah, M., K. T. Sampath, U. S. Praveen, and Umalatha. 2002a. Evaluation of chemical composition and in vitro digestibility of certain commonly used concentrate ingredients and fodder/top feeds in ruminant rations. Indian J. Dairy Biosci. 13: 28-35.</w:t>
      </w:r>
    </w:p>
    <w:p>
      <w:pPr>
        <w:spacing w:line="237" w:lineRule="auto" w:before="3"/>
        <w:ind w:left="980" w:right="231" w:hanging="721"/>
        <w:jc w:val="both"/>
        <w:rPr>
          <w:sz w:val="20"/>
        </w:rPr>
      </w:pPr>
      <w:bookmarkStart w:name="_bookmark4" w:id="45"/>
      <w:bookmarkEnd w:id="45"/>
      <w:r>
        <w:rPr/>
      </w:r>
      <w:r>
        <w:rPr>
          <w:sz w:val="20"/>
        </w:rPr>
        <w:t>Chandrasekharaiah, M., K. T. Sampath, U. S. Praveen, and Umalatha. 2002b. Evaluation of chemical composition and in vitro digestibility of certain commonly used concentrate ingredients and fodder/top feeds in ruminant rations. Indian Journal of Dairy Science 13: 28-35.</w:t>
      </w:r>
    </w:p>
    <w:p>
      <w:pPr>
        <w:spacing w:before="1"/>
        <w:ind w:left="980" w:right="234" w:hanging="721"/>
        <w:jc w:val="both"/>
        <w:rPr>
          <w:sz w:val="20"/>
        </w:rPr>
      </w:pPr>
      <w:bookmarkStart w:name="_bookmark5" w:id="46"/>
      <w:bookmarkEnd w:id="46"/>
      <w:r>
        <w:rPr/>
      </w:r>
      <w:r>
        <w:rPr>
          <w:sz w:val="20"/>
        </w:rPr>
        <w:t>Chandrasekharaiah, </w:t>
      </w:r>
      <w:r>
        <w:rPr>
          <w:spacing w:val="-2"/>
          <w:sz w:val="20"/>
        </w:rPr>
        <w:t>M., </w:t>
      </w:r>
      <w:r>
        <w:rPr>
          <w:sz w:val="20"/>
        </w:rPr>
        <w:t>K. </w:t>
      </w:r>
      <w:r>
        <w:rPr>
          <w:spacing w:val="-3"/>
          <w:sz w:val="20"/>
        </w:rPr>
        <w:t>T. </w:t>
      </w:r>
      <w:r>
        <w:rPr>
          <w:sz w:val="20"/>
        </w:rPr>
        <w:t>Sampath, A. Thulasi, and S. Anandan. 2001a. In situ protein degradability   of certain feedstuffs in the rumen of cattle. Indian Journal of Animal Science</w:t>
      </w:r>
      <w:r>
        <w:rPr>
          <w:spacing w:val="-31"/>
          <w:sz w:val="20"/>
        </w:rPr>
        <w:t> </w:t>
      </w:r>
      <w:r>
        <w:rPr>
          <w:sz w:val="20"/>
        </w:rPr>
        <w:t>71: 261-264.</w:t>
      </w:r>
    </w:p>
    <w:p>
      <w:pPr>
        <w:spacing w:before="0"/>
        <w:ind w:left="980" w:right="243" w:hanging="721"/>
        <w:jc w:val="both"/>
        <w:rPr>
          <w:sz w:val="20"/>
        </w:rPr>
      </w:pPr>
      <w:r>
        <w:rPr>
          <w:sz w:val="20"/>
        </w:rPr>
        <w:t>Chandrasekharaiah, </w:t>
      </w:r>
      <w:r>
        <w:rPr>
          <w:spacing w:val="-2"/>
          <w:sz w:val="20"/>
        </w:rPr>
        <w:t>M., </w:t>
      </w:r>
      <w:r>
        <w:rPr>
          <w:sz w:val="20"/>
        </w:rPr>
        <w:t>K. T. Sampath, </w:t>
      </w:r>
      <w:r>
        <w:rPr>
          <w:spacing w:val="-3"/>
          <w:sz w:val="20"/>
        </w:rPr>
        <w:t>A. </w:t>
      </w:r>
      <w:r>
        <w:rPr>
          <w:sz w:val="20"/>
        </w:rPr>
        <w:t>Thulasi, and </w:t>
      </w:r>
      <w:r>
        <w:rPr>
          <w:spacing w:val="-3"/>
          <w:sz w:val="20"/>
        </w:rPr>
        <w:t>S. </w:t>
      </w:r>
      <w:r>
        <w:rPr>
          <w:sz w:val="20"/>
        </w:rPr>
        <w:t>Anandan. 2001b. In situ protein degradability  of certain feedstuffs in the rumen of cattle. Indian J. Anim. Sci. 71:</w:t>
      </w:r>
      <w:r>
        <w:rPr>
          <w:spacing w:val="-29"/>
          <w:sz w:val="20"/>
        </w:rPr>
        <w:t> </w:t>
      </w:r>
      <w:r>
        <w:rPr>
          <w:sz w:val="20"/>
        </w:rPr>
        <w:t>261-264.</w:t>
      </w:r>
    </w:p>
    <w:p>
      <w:pPr>
        <w:spacing w:before="1"/>
        <w:ind w:left="980" w:right="241" w:hanging="721"/>
        <w:jc w:val="both"/>
        <w:rPr>
          <w:sz w:val="20"/>
        </w:rPr>
      </w:pPr>
      <w:r>
        <w:rPr>
          <w:sz w:val="20"/>
        </w:rPr>
        <w:t>Cherdthong, A., and M. Wanapat. 2013. Manipulation of in vitro ruminal fermentation and digestibility by dried rumen digesta. Livestock Science 153: 94-100.</w:t>
      </w:r>
    </w:p>
    <w:p>
      <w:pPr>
        <w:spacing w:line="240" w:lineRule="auto" w:before="0"/>
        <w:ind w:left="980" w:right="241" w:hanging="721"/>
        <w:jc w:val="both"/>
        <w:rPr>
          <w:sz w:val="20"/>
        </w:rPr>
      </w:pPr>
      <w:r>
        <w:rPr>
          <w:sz w:val="20"/>
        </w:rPr>
        <w:t>Chilliard, Y., C. Martin, J. Rouel, and M. Doreau. 2009. Milk fatty acids in dairy cows fed whole crude linseed, extruded linseed, or linseed oil, and their relationship with methane output. J Dairy Sci 92: 5199-5211.</w:t>
      </w:r>
    </w:p>
    <w:p>
      <w:pPr>
        <w:spacing w:before="0"/>
        <w:ind w:left="980" w:right="237" w:hanging="721"/>
        <w:jc w:val="both"/>
        <w:rPr>
          <w:sz w:val="20"/>
        </w:rPr>
      </w:pPr>
      <w:r>
        <w:rPr>
          <w:sz w:val="20"/>
        </w:rPr>
        <w:t>Chisaguano, A. M. et al. 2014. Elaidic, vaccenic, and rumenic acid status during pregnancy: association with maternal plasmatic LC-PUFAs and atopic manifestations in infants. Pediatric research 76: 470-476.</w:t>
      </w:r>
    </w:p>
    <w:p>
      <w:pPr>
        <w:spacing w:line="240" w:lineRule="auto" w:before="0"/>
        <w:ind w:left="980" w:right="246" w:hanging="721"/>
        <w:jc w:val="both"/>
        <w:rPr>
          <w:sz w:val="20"/>
        </w:rPr>
      </w:pPr>
      <w:r>
        <w:rPr>
          <w:sz w:val="20"/>
        </w:rPr>
        <w:t>Chou, K. C., and Y. D. Cai. 2005. Prediction of membrane protein types by incorporating amphipathic effects. J Chem Inf Model 45: 407-413.</w:t>
      </w:r>
    </w:p>
    <w:p>
      <w:pPr>
        <w:spacing w:before="0"/>
        <w:ind w:left="980" w:right="240" w:hanging="721"/>
        <w:jc w:val="both"/>
        <w:rPr>
          <w:sz w:val="20"/>
        </w:rPr>
      </w:pPr>
      <w:r>
        <w:rPr>
          <w:sz w:val="20"/>
        </w:rPr>
        <w:t>Dessie, J., S. Melaku, F. Tegegne, and K. Peters. 2010. Effect of supplementation of Simada sheep with graded levels of concentrate meal on feed intake, digestibility and body-weight parameters. Trop Anim Health Prod 42: 841-848.</w:t>
      </w:r>
    </w:p>
    <w:p>
      <w:pPr>
        <w:spacing w:line="237" w:lineRule="auto" w:before="2"/>
        <w:ind w:left="980" w:right="241" w:hanging="721"/>
        <w:jc w:val="both"/>
        <w:rPr>
          <w:sz w:val="20"/>
        </w:rPr>
      </w:pPr>
      <w:r>
        <w:rPr>
          <w:sz w:val="20"/>
        </w:rPr>
        <w:t>Devillard, E., F. M. McIntosh, C. J. Newbold, and R. J. Wallace. 2006. Rumen ciliate protozoa contain high concentrations of conjugated linoleic acids and vaccenic acid, yet do not hydrogenate linoleic acid or desaturate stearic acid. The British journal of nutrition 96: 697-704.</w:t>
      </w:r>
    </w:p>
    <w:p>
      <w:pPr>
        <w:spacing w:before="1"/>
        <w:ind w:left="980" w:right="232" w:hanging="721"/>
        <w:jc w:val="both"/>
        <w:rPr>
          <w:sz w:val="20"/>
        </w:rPr>
      </w:pPr>
      <w:r>
        <w:rPr>
          <w:sz w:val="20"/>
        </w:rPr>
        <w:t>Dixon, R. M., B. J. Hosking, and A. R. Egan. 2003. Effects of oilseed meal and grain-urea supplements fed infrequently on digestion in sheep: 1. Low quality grass hay diets. Animal Feed Science and Technology 110: 75-94.</w:t>
      </w:r>
    </w:p>
    <w:p>
      <w:pPr>
        <w:spacing w:line="237" w:lineRule="auto" w:before="2"/>
        <w:ind w:left="980" w:right="240" w:hanging="721"/>
        <w:jc w:val="both"/>
        <w:rPr>
          <w:sz w:val="20"/>
        </w:rPr>
      </w:pPr>
      <w:r>
        <w:rPr>
          <w:sz w:val="20"/>
        </w:rPr>
        <w:t>Dschaak, C. M., J. S. Eun, A. J. Young, and J. W. Bergman. 2010. Nutritive merits of whole Nutrasaff safflower seed when fed to Holstein dairy cows during mid lactation. Animal Feed Science and Technology 156: 26-36.</w:t>
      </w:r>
    </w:p>
    <w:p>
      <w:pPr>
        <w:spacing w:before="1"/>
        <w:ind w:left="980" w:right="239" w:hanging="721"/>
        <w:jc w:val="both"/>
        <w:rPr>
          <w:sz w:val="20"/>
        </w:rPr>
      </w:pPr>
      <w:r>
        <w:rPr>
          <w:sz w:val="20"/>
        </w:rPr>
        <w:t>Duardo-Sanchez, A. et al. 2014. Modeling complex metabolic reactions, ecological systems, and financial and legal networks with MIANN models based on Markov-Wiener node descriptors. J Chem Inf Model 54: 16-29.</w:t>
      </w:r>
    </w:p>
    <w:p>
      <w:pPr>
        <w:spacing w:before="0"/>
        <w:ind w:left="980" w:right="236" w:hanging="721"/>
        <w:jc w:val="both"/>
        <w:rPr>
          <w:sz w:val="20"/>
        </w:rPr>
      </w:pPr>
      <w:r>
        <w:rPr>
          <w:sz w:val="20"/>
        </w:rPr>
        <w:t>Duardo-Sánchez, A. et al. 2013. Modeling Complex Metabolic Reactions, Ecological Systems, and Financial and Legal Networks with MIANN Models Based on Markov-Wiener Node Descriptors. Journal of Chemical Information and Modeling 54: 16-29.</w:t>
      </w:r>
    </w:p>
    <w:p>
      <w:pPr>
        <w:spacing w:line="240" w:lineRule="auto" w:before="0"/>
        <w:ind w:left="980" w:right="241" w:hanging="721"/>
        <w:jc w:val="both"/>
        <w:rPr>
          <w:sz w:val="20"/>
        </w:rPr>
      </w:pPr>
      <w:r>
        <w:rPr>
          <w:sz w:val="20"/>
        </w:rPr>
        <w:t>Ebrahimi, S. R., A. Nikkhah, A. A. Sadeghi, and G. Raisali. 2009. Chemical composition, secondary compounds, ruminal degradation and in vitro crude protein digestibility of gamma irradiated canola seed. Animal Feed Science and Technology 151: 184-193.</w:t>
      </w:r>
    </w:p>
    <w:p>
      <w:pPr>
        <w:spacing w:before="0"/>
        <w:ind w:left="259" w:right="0" w:firstLine="0"/>
        <w:jc w:val="left"/>
        <w:rPr>
          <w:sz w:val="20"/>
        </w:rPr>
      </w:pPr>
      <w:r>
        <w:rPr>
          <w:sz w:val="20"/>
        </w:rPr>
        <w:t>Ehresmann, B., M. J. de Groot, and T. Clark. 2005. Surface-integral QSPR models: local energy properties.</w:t>
      </w:r>
    </w:p>
    <w:p>
      <w:pPr>
        <w:spacing w:before="0"/>
        <w:ind w:left="980" w:right="0" w:firstLine="0"/>
        <w:jc w:val="left"/>
        <w:rPr>
          <w:sz w:val="20"/>
        </w:rPr>
      </w:pPr>
      <w:r>
        <w:rPr>
          <w:sz w:val="20"/>
        </w:rPr>
        <w:t>J Chem Inf Model 45: 1053-1060.</w:t>
      </w:r>
    </w:p>
    <w:p>
      <w:pPr>
        <w:spacing w:before="0"/>
        <w:ind w:left="980" w:right="237" w:hanging="721"/>
        <w:jc w:val="both"/>
        <w:rPr>
          <w:sz w:val="20"/>
        </w:rPr>
      </w:pPr>
      <w:r>
        <w:rPr>
          <w:sz w:val="20"/>
        </w:rPr>
        <w:t>Estrada, E., E. Uriarte, E. Molina, Y. Simon-Manso, and G. W. Milne. 2006. An integrated in silico analysis of drug-binding to human serum albumin. J Chem Inf Model 46: 2709-2724.</w:t>
      </w:r>
    </w:p>
    <w:p>
      <w:pPr>
        <w:spacing w:line="230" w:lineRule="exact" w:before="0"/>
        <w:ind w:left="259" w:right="0" w:firstLine="0"/>
        <w:jc w:val="left"/>
        <w:rPr>
          <w:sz w:val="20"/>
        </w:rPr>
      </w:pPr>
      <w:r>
        <w:rPr>
          <w:sz w:val="20"/>
        </w:rPr>
        <w:t>FAO. 2011. Food and Agriculture Organization of the United Nations. In: FAOSTAT (ed.).</w:t>
      </w:r>
    </w:p>
    <w:p>
      <w:pPr>
        <w:spacing w:before="1"/>
        <w:ind w:left="980" w:right="250" w:hanging="721"/>
        <w:jc w:val="both"/>
        <w:rPr>
          <w:sz w:val="20"/>
        </w:rPr>
      </w:pPr>
      <w:r>
        <w:rPr>
          <w:sz w:val="20"/>
        </w:rPr>
        <w:t>Fiorentini, G. et al. 2014. Effect of lipid sources with different fatty acid profiles on the intake, performance, and methane emissions of feedlot Nellore steers. J Anim Sci 92: 1613-1620.</w:t>
      </w:r>
    </w:p>
    <w:p>
      <w:pPr>
        <w:spacing w:before="0"/>
        <w:ind w:left="980" w:right="243" w:hanging="721"/>
        <w:jc w:val="both"/>
        <w:rPr>
          <w:sz w:val="20"/>
        </w:rPr>
      </w:pPr>
      <w:r>
        <w:rPr>
          <w:sz w:val="20"/>
        </w:rPr>
        <w:t>Folch, J., M. Lees, and G. H. Sloane Stanley. 1957. A simple method for the isolation and purification of total lipides from animal tissues. The Journal of biological chemistry 226: 497-509.</w:t>
      </w:r>
    </w:p>
    <w:p>
      <w:pPr>
        <w:spacing w:line="237" w:lineRule="auto" w:before="2"/>
        <w:ind w:left="980" w:right="233" w:hanging="721"/>
        <w:jc w:val="both"/>
        <w:rPr>
          <w:sz w:val="20"/>
        </w:rPr>
      </w:pPr>
      <w:bookmarkStart w:name="_bookmark6" w:id="47"/>
      <w:bookmarkEnd w:id="47"/>
      <w:r>
        <w:rPr/>
      </w:r>
      <w:r>
        <w:rPr>
          <w:sz w:val="20"/>
        </w:rPr>
        <w:t>Fontanille, P., V. Kumar, G. Christophe, R. Nouaille, and C. Larroche. 2012. Bioconversion of volatile fatty acids into lipids by the oleaginous yeast Yarrowia lipolytica. Bioresource Technology 114: 443- 449.</w:t>
      </w:r>
    </w:p>
    <w:p>
      <w:pPr>
        <w:spacing w:after="0" w:line="237"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41" w:hanging="721"/>
        <w:jc w:val="both"/>
        <w:rPr>
          <w:sz w:val="20"/>
        </w:rPr>
      </w:pPr>
      <w:r>
        <w:rPr>
          <w:sz w:val="20"/>
        </w:rPr>
        <w:t>France, J. et al. 1993. A Model to Interpret Gas Accumulation Profiles Associated with In Vitro Degradation of Ruminant Feeds. Journal of Theoretical Biology 163: 99-111.</w:t>
      </w:r>
    </w:p>
    <w:p>
      <w:pPr>
        <w:spacing w:line="240" w:lineRule="auto" w:before="0"/>
        <w:ind w:left="980" w:right="239" w:hanging="721"/>
        <w:jc w:val="both"/>
        <w:rPr>
          <w:sz w:val="20"/>
        </w:rPr>
      </w:pPr>
      <w:r>
        <w:rPr>
          <w:sz w:val="20"/>
        </w:rPr>
        <w:t>France, J., J. Dijkstra, M. S. Dhanoa, S. Lopez, and A. Bannink. 2000. Estimating the extent of degradation of ruminant feeds from a description of their gas production profiles observed in vitro: derivation of models and other mathematical considerations. The British journal of nutrition 83: 143-150.</w:t>
      </w:r>
    </w:p>
    <w:p>
      <w:pPr>
        <w:spacing w:before="0"/>
        <w:ind w:left="980" w:right="233" w:hanging="721"/>
        <w:jc w:val="both"/>
        <w:rPr>
          <w:sz w:val="20"/>
        </w:rPr>
      </w:pPr>
      <w:r>
        <w:rPr>
          <w:sz w:val="20"/>
        </w:rPr>
        <w:t>Galli, C., and F. Marangoni. 1997. Recent advances in the biology of n-6 fatty acids. Nutrition 13: 978- 985.</w:t>
      </w:r>
    </w:p>
    <w:p>
      <w:pPr>
        <w:spacing w:before="0"/>
        <w:ind w:left="980" w:right="232" w:hanging="721"/>
        <w:jc w:val="both"/>
        <w:rPr>
          <w:sz w:val="20"/>
        </w:rPr>
      </w:pPr>
      <w:r>
        <w:rPr>
          <w:sz w:val="20"/>
        </w:rPr>
        <w:t>Getachew, G., </w:t>
      </w:r>
      <w:r>
        <w:rPr>
          <w:spacing w:val="-3"/>
          <w:sz w:val="20"/>
        </w:rPr>
        <w:t>E. J. </w:t>
      </w:r>
      <w:r>
        <w:rPr>
          <w:sz w:val="20"/>
        </w:rPr>
        <w:t>DePeters, P. H. Robinson, and </w:t>
      </w:r>
      <w:r>
        <w:rPr>
          <w:spacing w:val="-3"/>
          <w:sz w:val="20"/>
        </w:rPr>
        <w:t>J. </w:t>
      </w:r>
      <w:r>
        <w:rPr>
          <w:sz w:val="20"/>
        </w:rPr>
        <w:t>G. Fadel. 2005. Use of an in vitro rumen  gas  production technique to evaluate microbial fermentation of ruminant feeds and its impact on fermentation</w:t>
      </w:r>
      <w:r>
        <w:rPr>
          <w:spacing w:val="-4"/>
          <w:sz w:val="20"/>
        </w:rPr>
        <w:t> </w:t>
      </w:r>
      <w:r>
        <w:rPr>
          <w:sz w:val="20"/>
        </w:rPr>
        <w:t>products.</w:t>
      </w:r>
      <w:r>
        <w:rPr>
          <w:spacing w:val="-1"/>
          <w:sz w:val="20"/>
        </w:rPr>
        <w:t> </w:t>
      </w:r>
      <w:r>
        <w:rPr>
          <w:sz w:val="20"/>
        </w:rPr>
        <w:t>Animal</w:t>
      </w:r>
      <w:r>
        <w:rPr>
          <w:spacing w:val="-9"/>
          <w:sz w:val="20"/>
        </w:rPr>
        <w:t> </w:t>
      </w:r>
      <w:r>
        <w:rPr>
          <w:sz w:val="20"/>
        </w:rPr>
        <w:t>Feed</w:t>
      </w:r>
      <w:r>
        <w:rPr>
          <w:spacing w:val="-4"/>
          <w:sz w:val="20"/>
        </w:rPr>
        <w:t> </w:t>
      </w:r>
      <w:r>
        <w:rPr>
          <w:sz w:val="20"/>
        </w:rPr>
        <w:t>Science</w:t>
      </w:r>
      <w:r>
        <w:rPr>
          <w:spacing w:val="-5"/>
          <w:sz w:val="20"/>
        </w:rPr>
        <w:t> </w:t>
      </w:r>
      <w:r>
        <w:rPr>
          <w:sz w:val="20"/>
        </w:rPr>
        <w:t>and</w:t>
      </w:r>
      <w:r>
        <w:rPr>
          <w:spacing w:val="-4"/>
          <w:sz w:val="20"/>
        </w:rPr>
        <w:t> </w:t>
      </w:r>
      <w:r>
        <w:rPr>
          <w:sz w:val="20"/>
        </w:rPr>
        <w:t>Technology</w:t>
      </w:r>
      <w:r>
        <w:rPr>
          <w:spacing w:val="-3"/>
          <w:sz w:val="20"/>
        </w:rPr>
        <w:t> </w:t>
      </w:r>
      <w:r>
        <w:rPr>
          <w:sz w:val="20"/>
        </w:rPr>
        <w:t>123–124,</w:t>
      </w:r>
      <w:r>
        <w:rPr>
          <w:spacing w:val="-1"/>
          <w:sz w:val="20"/>
        </w:rPr>
        <w:t> </w:t>
      </w:r>
      <w:r>
        <w:rPr>
          <w:sz w:val="20"/>
        </w:rPr>
        <w:t>Part</w:t>
      </w:r>
      <w:r>
        <w:rPr>
          <w:spacing w:val="-3"/>
          <w:sz w:val="20"/>
        </w:rPr>
        <w:t> </w:t>
      </w:r>
      <w:r>
        <w:rPr>
          <w:sz w:val="20"/>
        </w:rPr>
        <w:t>1:</w:t>
      </w:r>
      <w:r>
        <w:rPr>
          <w:spacing w:val="-3"/>
          <w:sz w:val="20"/>
        </w:rPr>
        <w:t> </w:t>
      </w:r>
      <w:r>
        <w:rPr>
          <w:sz w:val="20"/>
        </w:rPr>
        <w:t>547-559.</w:t>
      </w:r>
    </w:p>
    <w:p>
      <w:pPr>
        <w:spacing w:line="230" w:lineRule="exact" w:before="6"/>
        <w:ind w:left="980" w:right="235" w:hanging="721"/>
        <w:jc w:val="both"/>
        <w:rPr>
          <w:sz w:val="20"/>
        </w:rPr>
      </w:pPr>
      <w:r>
        <w:rPr>
          <w:sz w:val="20"/>
        </w:rPr>
        <w:t>Gibbs, J. W. 1871. A Method of Geometrical Representation of the Thermodynamic Properties of Substances by Means of Surfaces. The Academy.</w:t>
      </w:r>
    </w:p>
    <w:p>
      <w:pPr>
        <w:spacing w:before="0"/>
        <w:ind w:left="980" w:right="241" w:hanging="721"/>
        <w:jc w:val="both"/>
        <w:rPr>
          <w:sz w:val="20"/>
        </w:rPr>
      </w:pPr>
      <w:r>
        <w:rPr>
          <w:sz w:val="20"/>
        </w:rPr>
        <w:t>Gilbert, J. 2008. Intertional safflower production-an overview. In: Proceedings of the 7th International Safflower Conference, Wagga Wagga, New South Wales, Australia</w:t>
      </w:r>
    </w:p>
    <w:p>
      <w:pPr>
        <w:spacing w:before="0"/>
        <w:ind w:left="980" w:right="242" w:hanging="721"/>
        <w:jc w:val="both"/>
        <w:rPr>
          <w:sz w:val="20"/>
        </w:rPr>
      </w:pPr>
      <w:r>
        <w:rPr>
          <w:sz w:val="20"/>
        </w:rPr>
        <w:t>Gillies, P. J. et al. 2012. Regulation of inflammatory and lipid metabolism genes by eicosapentaenoic acid-rich oil. Journal of lipid research 53: 1679-1689.</w:t>
      </w:r>
    </w:p>
    <w:p>
      <w:pPr>
        <w:spacing w:line="230" w:lineRule="exact" w:before="6"/>
        <w:ind w:left="980" w:right="247" w:hanging="721"/>
        <w:jc w:val="both"/>
        <w:rPr>
          <w:sz w:val="20"/>
        </w:rPr>
      </w:pPr>
      <w:r>
        <w:rPr>
          <w:sz w:val="20"/>
        </w:rPr>
        <w:t>Goldfine, H. 1984. Bacterial membranes and lipid packing theory. The Journal of Lipid Research 25: 1501-1507.</w:t>
      </w:r>
    </w:p>
    <w:p>
      <w:pPr>
        <w:spacing w:before="0"/>
        <w:ind w:left="980" w:right="240" w:hanging="721"/>
        <w:jc w:val="both"/>
        <w:rPr>
          <w:sz w:val="20"/>
        </w:rPr>
      </w:pPr>
      <w:r>
        <w:rPr>
          <w:sz w:val="20"/>
        </w:rPr>
        <w:t>Gonzalez-Diaz, H. et al. 2013a. New Theory for Multiple Input-Output Perturbations in Complex Molecular Systems. 1. Linear QSPR Electronegativity Models in Physical, Organic, and Medicinal Chemistry. Current topics in medicinal chemistry.</w:t>
      </w:r>
    </w:p>
    <w:p>
      <w:pPr>
        <w:spacing w:before="0"/>
        <w:ind w:left="980" w:right="238" w:hanging="721"/>
        <w:jc w:val="both"/>
        <w:rPr>
          <w:sz w:val="20"/>
        </w:rPr>
      </w:pPr>
      <w:bookmarkStart w:name="_bookmark7" w:id="48"/>
      <w:bookmarkEnd w:id="48"/>
      <w:r>
        <w:rPr/>
      </w:r>
      <w:r>
        <w:rPr>
          <w:sz w:val="20"/>
        </w:rPr>
        <w:t>Gonzalez-Diaz, H. et al. 2013b. General theory for multiple input-output perturbations in complex molecular systems. 1. Linear QSPR electronegativity models in physical, organic, and medicinal chemistry. Current topics in medicinal chemistry 13: 1713-1741.</w:t>
      </w:r>
    </w:p>
    <w:p>
      <w:pPr>
        <w:spacing w:line="240" w:lineRule="auto" w:before="0"/>
        <w:ind w:left="980" w:right="244" w:hanging="721"/>
        <w:jc w:val="both"/>
        <w:rPr>
          <w:sz w:val="20"/>
        </w:rPr>
      </w:pPr>
      <w:r>
        <w:rPr>
          <w:sz w:val="20"/>
        </w:rPr>
        <w:t>Gonzalez-Diaz, H. et al. 2013c. MIANN models in medicinal, physical and organic chemistry. Current topics in medicinal chemistry 13: 619-641.</w:t>
      </w:r>
    </w:p>
    <w:p>
      <w:pPr>
        <w:spacing w:before="0"/>
        <w:ind w:left="980" w:right="238" w:hanging="721"/>
        <w:jc w:val="both"/>
        <w:rPr>
          <w:sz w:val="20"/>
        </w:rPr>
      </w:pPr>
      <w:r>
        <w:rPr>
          <w:sz w:val="20"/>
        </w:rPr>
        <w:t>Gonzalez-Diaz, H. et al. 2014a. ANN multiscale model of anti-HIV drugs activity vs </w:t>
      </w:r>
      <w:r>
        <w:rPr>
          <w:spacing w:val="-3"/>
          <w:sz w:val="20"/>
        </w:rPr>
        <w:t>AIDS </w:t>
      </w:r>
      <w:r>
        <w:rPr>
          <w:sz w:val="20"/>
        </w:rPr>
        <w:t>prevalence in the US at county level based on information indices of molecular graphs and social networks. J Chem Inf Model 54:</w:t>
      </w:r>
      <w:r>
        <w:rPr>
          <w:spacing w:val="-19"/>
          <w:sz w:val="20"/>
        </w:rPr>
        <w:t> </w:t>
      </w:r>
      <w:r>
        <w:rPr>
          <w:sz w:val="20"/>
        </w:rPr>
        <w:t>744-755.</w:t>
      </w:r>
    </w:p>
    <w:p>
      <w:pPr>
        <w:spacing w:line="237" w:lineRule="auto" w:before="2"/>
        <w:ind w:left="980" w:right="236" w:hanging="721"/>
        <w:jc w:val="both"/>
        <w:rPr>
          <w:sz w:val="20"/>
        </w:rPr>
      </w:pPr>
      <w:r>
        <w:rPr>
          <w:sz w:val="20"/>
        </w:rPr>
        <w:t>González-Díaz, H. et al. 2014. ANN Multiscale Model of Anti-HIV Drugs Activity vs AIDS Prevalence in the US at County Level Based on Information Indices of Molecular Graphs </w:t>
      </w:r>
      <w:r>
        <w:rPr>
          <w:spacing w:val="2"/>
          <w:sz w:val="20"/>
        </w:rPr>
        <w:t>and </w:t>
      </w:r>
      <w:r>
        <w:rPr>
          <w:sz w:val="20"/>
        </w:rPr>
        <w:t>Social Networks. Journal of Chemical Information and Modeling 54:</w:t>
      </w:r>
      <w:r>
        <w:rPr>
          <w:spacing w:val="-24"/>
          <w:sz w:val="20"/>
        </w:rPr>
        <w:t> </w:t>
      </w:r>
      <w:r>
        <w:rPr>
          <w:sz w:val="20"/>
        </w:rPr>
        <w:t>744-755.</w:t>
      </w:r>
    </w:p>
    <w:p>
      <w:pPr>
        <w:spacing w:before="1"/>
        <w:ind w:left="980" w:right="236" w:hanging="721"/>
        <w:jc w:val="both"/>
        <w:rPr>
          <w:sz w:val="20"/>
        </w:rPr>
      </w:pPr>
      <w:r>
        <w:rPr>
          <w:sz w:val="20"/>
        </w:rPr>
        <w:t>Gonzalez-Diaz, H., L. G. Perez-Montoto, and F. M. Ubeira. 2014b. Model for vaccine design by prediction of B-epitopes of IEDB given perturbations in peptide sequence, in vivo process, experimental techniques, and source or host organisms. Journal of immunology research 2014: 768515.</w:t>
      </w:r>
    </w:p>
    <w:p>
      <w:pPr>
        <w:spacing w:line="237" w:lineRule="auto" w:before="2"/>
        <w:ind w:left="980" w:right="236" w:hanging="721"/>
        <w:jc w:val="both"/>
        <w:rPr>
          <w:sz w:val="20"/>
        </w:rPr>
      </w:pPr>
      <w:bookmarkStart w:name="_bookmark8" w:id="49"/>
      <w:bookmarkEnd w:id="49"/>
      <w:r>
        <w:rPr/>
      </w:r>
      <w:r>
        <w:rPr>
          <w:sz w:val="20"/>
        </w:rPr>
        <w:t>González-Díaz, H. et al. 2011. NL MIND-BEST: A web server for ligands and proteins discovery— Theoretic-experimental study of proteins of Giardia lamblia and new compounds active against Plasmodium falciparum. Journal of Theoretical Biology 276: 229-249.</w:t>
      </w:r>
    </w:p>
    <w:p>
      <w:pPr>
        <w:spacing w:before="1"/>
        <w:ind w:left="980" w:right="236" w:hanging="721"/>
        <w:jc w:val="both"/>
        <w:rPr>
          <w:sz w:val="20"/>
        </w:rPr>
      </w:pPr>
      <w:r>
        <w:rPr>
          <w:sz w:val="20"/>
        </w:rPr>
        <w:t>Gonzalez-Diaz, H., and P. Riera-Fernandez. 2012. New Markov-autocorrelation indices for re-evaluation of links in chemical and biological complex networks used in metabolomics, parasitology, neurosciences, and epidemiology. J Chem Inf Model 52: 3331-3340.</w:t>
      </w:r>
    </w:p>
    <w:p>
      <w:pPr>
        <w:spacing w:before="0"/>
        <w:ind w:left="259" w:right="0" w:firstLine="0"/>
        <w:jc w:val="left"/>
        <w:rPr>
          <w:sz w:val="20"/>
        </w:rPr>
      </w:pPr>
      <w:r>
        <w:rPr>
          <w:sz w:val="20"/>
        </w:rPr>
        <w:t>Goss, H., and K. K. Otagaki. 1954a. Safflower meal digestion tests. Calif Agr 8: 15.</w:t>
      </w:r>
    </w:p>
    <w:p>
      <w:pPr>
        <w:spacing w:before="0"/>
        <w:ind w:left="259" w:right="0" w:firstLine="0"/>
        <w:jc w:val="left"/>
        <w:rPr>
          <w:sz w:val="20"/>
        </w:rPr>
      </w:pPr>
      <w:r>
        <w:rPr>
          <w:sz w:val="20"/>
        </w:rPr>
        <w:t>Goss, H., and K. K. Otagaki. 1954b. Safflower meal digestion tests. Califonia Agriculture Journal 8: 15.</w:t>
      </w:r>
    </w:p>
    <w:p>
      <w:pPr>
        <w:spacing w:line="230" w:lineRule="exact" w:before="6"/>
        <w:ind w:left="980" w:right="242" w:hanging="721"/>
        <w:jc w:val="both"/>
        <w:rPr>
          <w:sz w:val="20"/>
        </w:rPr>
      </w:pPr>
      <w:r>
        <w:rPr>
          <w:sz w:val="20"/>
        </w:rPr>
        <w:t>Gosselink, J. </w:t>
      </w:r>
      <w:r>
        <w:rPr>
          <w:spacing w:val="-3"/>
          <w:sz w:val="20"/>
        </w:rPr>
        <w:t>M. J. </w:t>
      </w:r>
      <w:r>
        <w:rPr>
          <w:sz w:val="20"/>
        </w:rPr>
        <w:t>et al. 2004a. Rumen escape nitrogen from forages in sheep: comparison of in situ and  in</w:t>
      </w:r>
      <w:r>
        <w:rPr>
          <w:spacing w:val="-4"/>
          <w:sz w:val="20"/>
        </w:rPr>
        <w:t> </w:t>
      </w:r>
      <w:r>
        <w:rPr>
          <w:sz w:val="20"/>
        </w:rPr>
        <w:t>vitro</w:t>
      </w:r>
      <w:r>
        <w:rPr>
          <w:spacing w:val="-4"/>
          <w:sz w:val="20"/>
        </w:rPr>
        <w:t> </w:t>
      </w:r>
      <w:r>
        <w:rPr>
          <w:sz w:val="20"/>
        </w:rPr>
        <w:t>techniques</w:t>
      </w:r>
      <w:r>
        <w:rPr>
          <w:spacing w:val="-3"/>
          <w:sz w:val="20"/>
        </w:rPr>
        <w:t> </w:t>
      </w:r>
      <w:r>
        <w:rPr>
          <w:sz w:val="20"/>
        </w:rPr>
        <w:t>using</w:t>
      </w:r>
      <w:r>
        <w:rPr>
          <w:spacing w:val="-1"/>
          <w:sz w:val="20"/>
        </w:rPr>
        <w:t> </w:t>
      </w:r>
      <w:r>
        <w:rPr>
          <w:sz w:val="20"/>
        </w:rPr>
        <w:t>in</w:t>
      </w:r>
      <w:r>
        <w:rPr>
          <w:spacing w:val="-4"/>
          <w:sz w:val="20"/>
        </w:rPr>
        <w:t> </w:t>
      </w:r>
      <w:r>
        <w:rPr>
          <w:sz w:val="20"/>
        </w:rPr>
        <w:t>vivo</w:t>
      </w:r>
      <w:r>
        <w:rPr>
          <w:spacing w:val="-4"/>
          <w:sz w:val="20"/>
        </w:rPr>
        <w:t> </w:t>
      </w:r>
      <w:r>
        <w:rPr>
          <w:sz w:val="20"/>
        </w:rPr>
        <w:t>data.</w:t>
      </w:r>
      <w:r>
        <w:rPr>
          <w:spacing w:val="-1"/>
          <w:sz w:val="20"/>
        </w:rPr>
        <w:t> </w:t>
      </w:r>
      <w:r>
        <w:rPr>
          <w:sz w:val="20"/>
        </w:rPr>
        <w:t>Animal</w:t>
      </w:r>
      <w:r>
        <w:rPr>
          <w:spacing w:val="-4"/>
          <w:sz w:val="20"/>
        </w:rPr>
        <w:t> </w:t>
      </w:r>
      <w:r>
        <w:rPr>
          <w:sz w:val="20"/>
        </w:rPr>
        <w:t>Feed</w:t>
      </w:r>
      <w:r>
        <w:rPr>
          <w:spacing w:val="-4"/>
          <w:sz w:val="20"/>
        </w:rPr>
        <w:t> </w:t>
      </w:r>
      <w:r>
        <w:rPr>
          <w:sz w:val="20"/>
        </w:rPr>
        <w:t>Science</w:t>
      </w:r>
      <w:r>
        <w:rPr>
          <w:spacing w:val="-5"/>
          <w:sz w:val="20"/>
        </w:rPr>
        <w:t> </w:t>
      </w:r>
      <w:r>
        <w:rPr>
          <w:sz w:val="20"/>
        </w:rPr>
        <w:t>and</w:t>
      </w:r>
      <w:r>
        <w:rPr>
          <w:spacing w:val="-4"/>
          <w:sz w:val="20"/>
        </w:rPr>
        <w:t> </w:t>
      </w:r>
      <w:r>
        <w:rPr>
          <w:sz w:val="20"/>
        </w:rPr>
        <w:t>Technology</w:t>
      </w:r>
      <w:r>
        <w:rPr>
          <w:spacing w:val="-3"/>
          <w:sz w:val="20"/>
        </w:rPr>
        <w:t> </w:t>
      </w:r>
      <w:r>
        <w:rPr>
          <w:sz w:val="20"/>
        </w:rPr>
        <w:t>116:</w:t>
      </w:r>
      <w:r>
        <w:rPr>
          <w:spacing w:val="-3"/>
          <w:sz w:val="20"/>
        </w:rPr>
        <w:t> </w:t>
      </w:r>
      <w:r>
        <w:rPr>
          <w:sz w:val="20"/>
        </w:rPr>
        <w:t>35-51.</w:t>
      </w:r>
    </w:p>
    <w:p>
      <w:pPr>
        <w:spacing w:before="0"/>
        <w:ind w:left="980" w:right="240" w:hanging="721"/>
        <w:jc w:val="both"/>
        <w:rPr>
          <w:sz w:val="20"/>
        </w:rPr>
      </w:pPr>
      <w:r>
        <w:rPr>
          <w:sz w:val="20"/>
        </w:rPr>
        <w:t>Gosselink, </w:t>
      </w:r>
      <w:r>
        <w:rPr>
          <w:spacing w:val="-3"/>
          <w:sz w:val="20"/>
        </w:rPr>
        <w:t>J. </w:t>
      </w:r>
      <w:r>
        <w:rPr>
          <w:sz w:val="20"/>
        </w:rPr>
        <w:t>M. J., J. P. Dulphy, C. Poncet, </w:t>
      </w:r>
      <w:r>
        <w:rPr>
          <w:spacing w:val="-3"/>
          <w:sz w:val="20"/>
        </w:rPr>
        <w:t>S. </w:t>
      </w:r>
      <w:r>
        <w:rPr>
          <w:sz w:val="20"/>
        </w:rPr>
        <w:t>Tamminga, and J. W. Cone. </w:t>
      </w:r>
      <w:r>
        <w:rPr>
          <w:spacing w:val="-3"/>
          <w:sz w:val="20"/>
        </w:rPr>
        <w:t>2004b.  </w:t>
      </w:r>
      <w:r>
        <w:rPr>
          <w:sz w:val="20"/>
        </w:rPr>
        <w:t>A comparison of in situ  and in vitro methods to estimate in vivo fermentable organic matter of forages in ruminants. NJAS - Wageningen Journal of Life Sciences 52:</w:t>
      </w:r>
      <w:r>
        <w:rPr>
          <w:spacing w:val="-21"/>
          <w:sz w:val="20"/>
        </w:rPr>
        <w:t> </w:t>
      </w:r>
      <w:r>
        <w:rPr>
          <w:sz w:val="20"/>
        </w:rPr>
        <w:t>29-45.</w:t>
      </w:r>
    </w:p>
    <w:p>
      <w:pPr>
        <w:spacing w:before="0"/>
        <w:ind w:left="259" w:right="0" w:firstLine="0"/>
        <w:jc w:val="left"/>
        <w:rPr>
          <w:sz w:val="20"/>
        </w:rPr>
      </w:pPr>
      <w:r>
        <w:rPr>
          <w:sz w:val="20"/>
        </w:rPr>
        <w:t>Greiner,  W., D.  Rischke,  L. Neise, and H.  Stöcker.  2000. Thermodynamics  and Statistical     Mechanics.</w:t>
      </w:r>
    </w:p>
    <w:p>
      <w:pPr>
        <w:spacing w:line="232" w:lineRule="exact" w:before="0"/>
        <w:ind w:left="980" w:right="0" w:firstLine="0"/>
        <w:jc w:val="left"/>
        <w:rPr>
          <w:sz w:val="20"/>
        </w:rPr>
      </w:pPr>
      <w:r>
        <w:rPr>
          <w:sz w:val="20"/>
        </w:rPr>
        <w:t>Springer New York.</w:t>
      </w:r>
    </w:p>
    <w:p>
      <w:pPr>
        <w:spacing w:line="240" w:lineRule="auto" w:before="0"/>
        <w:ind w:left="980" w:right="251" w:hanging="721"/>
        <w:jc w:val="both"/>
        <w:rPr>
          <w:sz w:val="20"/>
        </w:rPr>
      </w:pPr>
      <w:r>
        <w:rPr>
          <w:sz w:val="20"/>
        </w:rPr>
        <w:t>Guggolz, J., D. D. Rubis, V. V. Herring, R. Palter, and G. O. Kohler. 1968. Composition of several types of Safflower seed. Journal of the American Oil Chemists' Society 45: 689-693.</w:t>
      </w:r>
    </w:p>
    <w:p>
      <w:pPr>
        <w:spacing w:after="0" w:line="240"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33" w:hanging="721"/>
        <w:jc w:val="both"/>
        <w:rPr>
          <w:sz w:val="20"/>
        </w:rPr>
      </w:pPr>
      <w:r>
        <w:rPr>
          <w:sz w:val="20"/>
        </w:rPr>
        <w:t>Hansch, C., D. Hoekman, A. Leo, D. Weininger, and C. D. Selassie. 2002. Chem-bioinformatics: comparative QSAR at the interface between chemistry and biology. Chem Rev 102: 783-812.</w:t>
      </w:r>
    </w:p>
    <w:p>
      <w:pPr>
        <w:spacing w:before="0"/>
        <w:ind w:left="980" w:right="235" w:hanging="721"/>
        <w:jc w:val="both"/>
        <w:rPr>
          <w:sz w:val="20"/>
        </w:rPr>
      </w:pPr>
      <w:r>
        <w:rPr>
          <w:sz w:val="20"/>
        </w:rPr>
        <w:t>Hansch, C., A. Kurup, R. Garg, and H. Gao. 2001. Chem-bioinformatics and QSAR: a review of QSAR lacking positive hydrophobic terms. Chem Rev 101: 619-672.</w:t>
      </w:r>
    </w:p>
    <w:p>
      <w:pPr>
        <w:spacing w:line="230" w:lineRule="exact" w:before="6"/>
        <w:ind w:left="980" w:right="238" w:hanging="721"/>
        <w:jc w:val="both"/>
        <w:rPr>
          <w:sz w:val="20"/>
        </w:rPr>
      </w:pPr>
      <w:r>
        <w:rPr>
          <w:sz w:val="20"/>
        </w:rPr>
        <w:t>Hansch, C. et al. 2003. On the role of polarizability in chemical-biological interactions. J Chem  Inf Comput Sci 43: 120-125.</w:t>
      </w:r>
    </w:p>
    <w:p>
      <w:pPr>
        <w:spacing w:before="0"/>
        <w:ind w:left="980" w:right="237" w:hanging="721"/>
        <w:jc w:val="both"/>
        <w:rPr>
          <w:sz w:val="20"/>
        </w:rPr>
      </w:pPr>
      <w:r>
        <w:rPr>
          <w:sz w:val="20"/>
        </w:rPr>
        <w:t>Hansch, C., A. R. Steward, and J. Iwasa. 1965. The Correlation of Localization Rates of Benzeneboronic Acids in Brain and Tumor Tissue with Substituent Constants. Molecular Pharmacology 1: 87- 92.</w:t>
      </w:r>
    </w:p>
    <w:p>
      <w:pPr>
        <w:spacing w:before="0"/>
        <w:ind w:left="259" w:right="0" w:firstLine="0"/>
        <w:jc w:val="left"/>
        <w:rPr>
          <w:sz w:val="20"/>
        </w:rPr>
      </w:pPr>
      <w:r>
        <w:rPr>
          <w:sz w:val="20"/>
        </w:rPr>
        <w:t>Haykin, S. 1998. Neural Networks: A Comprehensive Foundation. Prentice Hall PTR.</w:t>
      </w:r>
    </w:p>
    <w:p>
      <w:pPr>
        <w:spacing w:line="237" w:lineRule="auto" w:before="3"/>
        <w:ind w:left="980" w:right="233" w:hanging="721"/>
        <w:jc w:val="both"/>
        <w:rPr>
          <w:sz w:val="20"/>
        </w:rPr>
      </w:pPr>
      <w:r>
        <w:rPr>
          <w:sz w:val="20"/>
        </w:rPr>
        <w:t>Helguera, A. M., R. D. Combes, M. Pérez González, and M. N. D. S. Cordeiro. 2008. Applications of 2D descriptors in drug design: A DRAGON tale. Current topics in medicinal chemistry 8: 1628- 1655.</w:t>
      </w:r>
    </w:p>
    <w:p>
      <w:pPr>
        <w:spacing w:before="1"/>
        <w:ind w:left="980" w:right="233" w:hanging="721"/>
        <w:jc w:val="both"/>
        <w:rPr>
          <w:sz w:val="20"/>
        </w:rPr>
      </w:pPr>
      <w:r>
        <w:rPr>
          <w:sz w:val="20"/>
        </w:rPr>
        <w:t>Hess, T. M. et al. 2012. Effects of two different dietary sources of long  chain  omega-3,  highly unsaturated fatty acids on incorporation into the plasma, red blood cell, and skeletal muscle in horses. Journal of Animal Science 90: 3023-3031.</w:t>
      </w:r>
    </w:p>
    <w:p>
      <w:pPr>
        <w:spacing w:before="0"/>
        <w:ind w:left="980" w:right="236" w:hanging="721"/>
        <w:jc w:val="both"/>
        <w:rPr>
          <w:sz w:val="20"/>
        </w:rPr>
      </w:pPr>
      <w:r>
        <w:rPr>
          <w:sz w:val="20"/>
        </w:rPr>
        <w:t>Hill, T., and P. Lewicki. 2006 STATISTICS Methods and Applications. A Comprehensive Reference for Science, Industry and Data Mining. StatSoft, Tulsa.</w:t>
      </w:r>
    </w:p>
    <w:p>
      <w:pPr>
        <w:spacing w:line="240" w:lineRule="auto" w:before="0"/>
        <w:ind w:left="980" w:right="240" w:hanging="721"/>
        <w:jc w:val="both"/>
        <w:rPr>
          <w:sz w:val="20"/>
        </w:rPr>
      </w:pPr>
      <w:r>
        <w:rPr>
          <w:sz w:val="20"/>
        </w:rPr>
        <w:t>Hoffmann, A. et al. 2015. Effects of different forms and origins of oilseeds on dynamics of ruminal biohydrogenation of long-chain fatty acids in vitro. Journal of animal physiology and animal nutrition.</w:t>
      </w:r>
    </w:p>
    <w:p>
      <w:pPr>
        <w:spacing w:before="0"/>
        <w:ind w:left="980" w:right="240" w:hanging="721"/>
        <w:jc w:val="both"/>
        <w:rPr>
          <w:sz w:val="20"/>
        </w:rPr>
      </w:pPr>
      <w:r>
        <w:rPr>
          <w:sz w:val="20"/>
        </w:rPr>
        <w:t>Hong, H. et al. 2008. Mold(2), molecular descriptors from 2D structures for chemoinformatics and toxicoinformatics. Journal of Chemical Information and Modeling 48: 1337-1344.</w:t>
      </w:r>
    </w:p>
    <w:p>
      <w:pPr>
        <w:spacing w:before="0"/>
        <w:ind w:left="980" w:right="239" w:hanging="721"/>
        <w:jc w:val="both"/>
        <w:rPr>
          <w:sz w:val="20"/>
        </w:rPr>
      </w:pPr>
      <w:r>
        <w:rPr>
          <w:sz w:val="20"/>
        </w:rPr>
        <w:t>Hristov, A. N. et al. 2011. Effects of lauric and myristic acids on ruminal fermentation, production, and milk fatty acid composition in lactating dairy cows. J Dairy Sci 94: 382-395.</w:t>
      </w:r>
    </w:p>
    <w:p>
      <w:pPr>
        <w:spacing w:line="240" w:lineRule="auto" w:before="0"/>
        <w:ind w:left="980" w:right="236" w:hanging="721"/>
        <w:jc w:val="both"/>
        <w:rPr>
          <w:sz w:val="20"/>
        </w:rPr>
      </w:pPr>
      <w:r>
        <w:rPr>
          <w:sz w:val="20"/>
        </w:rPr>
        <w:t>Hu, F. B., and J. E. Manson. 2012. Omega-3 fatty acids and secondary prevention of cardiovascular disease—is it just a fish tale?: Comment on “efficacy of omega-3 fatty acid supplements (eicosapentaenoic acid and docosahexaenoic acid) in the secondary prevention of cardiovascular disease”. Archives of Internal Medicine 172: 694-696.</w:t>
      </w:r>
    </w:p>
    <w:p>
      <w:pPr>
        <w:spacing w:before="0"/>
        <w:ind w:left="980" w:right="238" w:hanging="721"/>
        <w:jc w:val="both"/>
        <w:rPr>
          <w:sz w:val="20"/>
        </w:rPr>
      </w:pPr>
      <w:r>
        <w:rPr>
          <w:sz w:val="20"/>
        </w:rPr>
        <w:t>Huws, S. A. et al. 2009. Rumen protozoa are rich in polyunsaturated fatty acids due to the ingestion of chloroplasts. FEMS microbiology ecology 69: 461-471.</w:t>
      </w:r>
    </w:p>
    <w:p>
      <w:pPr>
        <w:spacing w:line="240" w:lineRule="auto" w:before="0"/>
        <w:ind w:left="980" w:right="231" w:hanging="721"/>
        <w:jc w:val="both"/>
        <w:rPr>
          <w:sz w:val="20"/>
        </w:rPr>
      </w:pPr>
      <w:r>
        <w:rPr>
          <w:sz w:val="20"/>
        </w:rPr>
        <w:t>Ichihara, K. i., and Y. Fukubayashi. 2010. Preparation of fatty acid methyl esters for gas-liquid chromatography. Journal of lipid research 51: 635-640.</w:t>
      </w:r>
    </w:p>
    <w:p>
      <w:pPr>
        <w:spacing w:before="0"/>
        <w:ind w:left="980" w:right="244" w:hanging="721"/>
        <w:jc w:val="both"/>
        <w:rPr>
          <w:sz w:val="20"/>
        </w:rPr>
      </w:pPr>
      <w:r>
        <w:rPr>
          <w:sz w:val="20"/>
        </w:rPr>
        <w:t>Ishler. 1996. From feed to milk: understanding rumen function. Penn State, College of Agricultural Sciences [Cooperative Extension Service], Virginia Heinrichs Jud Varga Gabriella Pennsylvania State University Cooperative Extension Service Church Dwight, Co.</w:t>
      </w:r>
    </w:p>
    <w:p>
      <w:pPr>
        <w:spacing w:before="0"/>
        <w:ind w:left="980" w:right="244" w:hanging="721"/>
        <w:jc w:val="both"/>
        <w:rPr>
          <w:sz w:val="20"/>
        </w:rPr>
      </w:pPr>
      <w:r>
        <w:rPr>
          <w:sz w:val="20"/>
        </w:rPr>
        <w:t>Jakobsson, A., R. Westerberg, and A. Jacobsson. 2006. Fatty acid elongases in mammals: their regulation and roles in metabolism. Progress in lipid research 45: 237-249.</w:t>
      </w:r>
    </w:p>
    <w:p>
      <w:pPr>
        <w:spacing w:line="230" w:lineRule="exact" w:before="0"/>
        <w:ind w:left="259" w:right="0" w:firstLine="0"/>
        <w:jc w:val="left"/>
        <w:rPr>
          <w:sz w:val="20"/>
        </w:rPr>
      </w:pPr>
      <w:r>
        <w:rPr>
          <w:sz w:val="20"/>
        </w:rPr>
        <w:t>Janmey,  P.  A., and  P.  K.  Kinnunen.  2006.  Biophysical properties  of  lipids  and  dynamic membranes.</w:t>
      </w:r>
    </w:p>
    <w:p>
      <w:pPr>
        <w:spacing w:before="1"/>
        <w:ind w:left="980" w:right="0" w:firstLine="0"/>
        <w:jc w:val="left"/>
        <w:rPr>
          <w:sz w:val="20"/>
        </w:rPr>
      </w:pPr>
      <w:r>
        <w:rPr>
          <w:sz w:val="20"/>
        </w:rPr>
        <w:t>Trends in Cell Biology 16: 538-546.</w:t>
      </w:r>
    </w:p>
    <w:p>
      <w:pPr>
        <w:spacing w:before="0"/>
        <w:ind w:left="980" w:right="236" w:hanging="721"/>
        <w:jc w:val="both"/>
        <w:rPr>
          <w:sz w:val="20"/>
        </w:rPr>
      </w:pPr>
      <w:r>
        <w:rPr>
          <w:sz w:val="20"/>
        </w:rPr>
        <w:t>Janssen, C. I., and A. J. Kiliaan. 2014. Long-chain polyunsaturated fatty acids (LCPUFA) from genesis to senescence: the influence of LCPUFA on neural development, aging, and neurodegeneration. Prog Lipid Res 53: 1-17.</w:t>
      </w:r>
    </w:p>
    <w:p>
      <w:pPr>
        <w:spacing w:before="0"/>
        <w:ind w:left="980" w:right="245" w:hanging="721"/>
        <w:jc w:val="both"/>
        <w:rPr>
          <w:sz w:val="20"/>
        </w:rPr>
      </w:pPr>
      <w:r>
        <w:rPr>
          <w:sz w:val="20"/>
        </w:rPr>
        <w:t>Jenkins, T. C. 1998. Fatty acid composition of milk from Holstein cows fed oleamide or canola oil. J Dairy Sci 81: 794-800.</w:t>
      </w:r>
    </w:p>
    <w:p>
      <w:pPr>
        <w:spacing w:line="240" w:lineRule="auto" w:before="0"/>
        <w:ind w:left="980" w:right="232" w:hanging="721"/>
        <w:jc w:val="both"/>
        <w:rPr>
          <w:sz w:val="20"/>
        </w:rPr>
      </w:pPr>
      <w:r>
        <w:rPr>
          <w:sz w:val="20"/>
        </w:rPr>
        <w:t>Jin, Q. Z., X. Q. Zou, L. Shan, </w:t>
      </w:r>
      <w:r>
        <w:rPr>
          <w:spacing w:val="-3"/>
          <w:sz w:val="20"/>
        </w:rPr>
        <w:t>X. </w:t>
      </w:r>
      <w:r>
        <w:rPr>
          <w:sz w:val="20"/>
        </w:rPr>
        <w:t>G. Wang, and A. Y. Qiu. 2010. Beta-D-glucosidase-catalyzed deglucosidation of phenylpropanoid amides of 5-hydroxytryptamine glucoside in  safflower seed extracts optimized by response surface methodology. Journal of Agricultural and Food Chemistry 58:</w:t>
      </w:r>
      <w:r>
        <w:rPr>
          <w:spacing w:val="-12"/>
          <w:sz w:val="20"/>
        </w:rPr>
        <w:t> </w:t>
      </w:r>
      <w:r>
        <w:rPr>
          <w:sz w:val="20"/>
        </w:rPr>
        <w:t>155-160.</w:t>
      </w:r>
    </w:p>
    <w:p>
      <w:pPr>
        <w:spacing w:before="0"/>
        <w:ind w:left="259" w:right="0" w:firstLine="0"/>
        <w:jc w:val="left"/>
        <w:rPr>
          <w:sz w:val="20"/>
        </w:rPr>
      </w:pPr>
      <w:r>
        <w:rPr>
          <w:sz w:val="20"/>
        </w:rPr>
        <w:t>John,  E., J. Dennis,  D.  M.  Gay, and R. E. Walsh.  1981.  An Adaptive Nonlinear Least-Squares  Algorithm.</w:t>
      </w:r>
    </w:p>
    <w:p>
      <w:pPr>
        <w:spacing w:line="232" w:lineRule="exact" w:before="0"/>
        <w:ind w:left="980" w:right="0" w:firstLine="0"/>
        <w:jc w:val="left"/>
        <w:rPr>
          <w:sz w:val="20"/>
        </w:rPr>
      </w:pPr>
      <w:r>
        <w:rPr>
          <w:sz w:val="20"/>
        </w:rPr>
        <w:t>ACM Transactions on Mathematical Software 7: 348-368.</w:t>
      </w:r>
    </w:p>
    <w:p>
      <w:pPr>
        <w:spacing w:line="240" w:lineRule="auto" w:before="0"/>
        <w:ind w:left="980" w:right="242" w:hanging="721"/>
        <w:jc w:val="both"/>
        <w:rPr>
          <w:sz w:val="20"/>
        </w:rPr>
      </w:pPr>
      <w:r>
        <w:rPr>
          <w:sz w:val="20"/>
        </w:rPr>
        <w:t>Junker, B., D. Koschutzki, and F. Schreiber. 2006. Exploration of biological network centralities with CentiBiN. BMC Bioinformatics 7: 219.</w:t>
      </w:r>
    </w:p>
    <w:p>
      <w:pPr>
        <w:spacing w:after="0" w:line="240"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38" w:hanging="721"/>
        <w:jc w:val="both"/>
        <w:rPr>
          <w:sz w:val="20"/>
        </w:rPr>
      </w:pPr>
      <w:r>
        <w:rPr>
          <w:sz w:val="20"/>
        </w:rPr>
        <w:t>Kaczorek, E., K. Salek, U. Guzik, and B. Dudzinska-Bajorek. 2013. Cell surface properties and fatty acids composition of Stenotrophomonas maltophilia under the influence of hydrophobic compounds and surfactants. New biotechnology 30: 173-182.</w:t>
      </w:r>
    </w:p>
    <w:p>
      <w:pPr>
        <w:spacing w:line="237" w:lineRule="auto" w:before="3"/>
        <w:ind w:left="980" w:right="236" w:hanging="721"/>
        <w:jc w:val="both"/>
        <w:rPr>
          <w:sz w:val="20"/>
        </w:rPr>
      </w:pPr>
      <w:r>
        <w:rPr>
          <w:sz w:val="20"/>
        </w:rPr>
        <w:t>Kankaanpää, P., B. Yang, H. Kallio, E. Isolauri, and S. Salminen. 2004. Effects of Polyunsaturated Fatty Acids in Growth Medium on Lipid Composition and on Physicochemical Surface Properties of Lactobacilli. Applied and Environmental Microbiology 70: 129-136.</w:t>
      </w:r>
    </w:p>
    <w:p>
      <w:pPr>
        <w:spacing w:before="1"/>
        <w:ind w:left="980" w:right="238" w:hanging="721"/>
        <w:jc w:val="both"/>
        <w:rPr>
          <w:sz w:val="20"/>
        </w:rPr>
      </w:pPr>
      <w:r>
        <w:rPr>
          <w:sz w:val="20"/>
        </w:rPr>
        <w:t>Karwath, A., and L. De Raedt. 2006. SMIREP: predicting chemical activity from SMILES. J Chem  Inf Model 46:</w:t>
      </w:r>
      <w:r>
        <w:rPr>
          <w:spacing w:val="-16"/>
          <w:sz w:val="20"/>
        </w:rPr>
        <w:t> </w:t>
      </w:r>
      <w:r>
        <w:rPr>
          <w:sz w:val="20"/>
        </w:rPr>
        <w:t>2432-2444.</w:t>
      </w:r>
    </w:p>
    <w:p>
      <w:pPr>
        <w:spacing w:before="0"/>
        <w:ind w:left="980" w:right="242" w:hanging="721"/>
        <w:jc w:val="both"/>
        <w:rPr>
          <w:sz w:val="20"/>
        </w:rPr>
      </w:pPr>
      <w:r>
        <w:rPr>
          <w:sz w:val="20"/>
        </w:rPr>
        <w:t>Khorasani, G. R., P. H. Robinson, and J. J. Kennelly. 1989. Effect of Chemical Treatment on In Vitro and In Situ Degradation of Canola Meal Crude Protein. Journal of Dairy Science 72: 2074-2080.</w:t>
      </w:r>
    </w:p>
    <w:p>
      <w:pPr>
        <w:spacing w:line="237" w:lineRule="auto" w:before="3"/>
        <w:ind w:left="980" w:right="243" w:hanging="721"/>
        <w:jc w:val="both"/>
        <w:rPr>
          <w:sz w:val="20"/>
        </w:rPr>
      </w:pPr>
      <w:r>
        <w:rPr>
          <w:sz w:val="20"/>
        </w:rPr>
        <w:t>Khorasani, G. R., P. H. Robinson, and J. J. Kennelly. 1993. Effects of Canola Meal Treated with Acetic Acid on Rumen Degradation and Intestinal Digestibility in Lactating Dairy Cows. Journal of Dairy Science 76: 1607-1616.</w:t>
      </w:r>
    </w:p>
    <w:p>
      <w:pPr>
        <w:spacing w:before="1"/>
        <w:ind w:left="980" w:right="240" w:hanging="721"/>
        <w:jc w:val="both"/>
        <w:rPr>
          <w:sz w:val="20"/>
        </w:rPr>
      </w:pPr>
      <w:bookmarkStart w:name="_bookmark9" w:id="50"/>
      <w:bookmarkEnd w:id="50"/>
      <w:r>
        <w:rPr/>
      </w:r>
      <w:r>
        <w:rPr>
          <w:sz w:val="20"/>
        </w:rPr>
        <w:t>Kim, C. H., S. J. Lee, J. K. Ha, W. Y. Kim, and S. S. Lee. 2008. Effects of emulsified octadecanic acids on gas production and cellulolysis by the rumen anaerobic fungus, Piromyces communis M014. Anaerobe 14: 19-28.</w:t>
      </w:r>
    </w:p>
    <w:p>
      <w:pPr>
        <w:spacing w:line="237" w:lineRule="auto" w:before="2"/>
        <w:ind w:left="980" w:right="236" w:hanging="721"/>
        <w:jc w:val="both"/>
        <w:rPr>
          <w:sz w:val="20"/>
        </w:rPr>
      </w:pPr>
      <w:r>
        <w:rPr>
          <w:sz w:val="20"/>
        </w:rPr>
        <w:t>Kim, E. T. et al. 2015. Effects of Flavonoid-rich Plant Extracts on In vitro Ruminal Methanogenesis, Microbial Populations and Fermentation Characteristics. Asian-Australas J Anim Sci 28: 530- 537.</w:t>
      </w:r>
    </w:p>
    <w:p>
      <w:pPr>
        <w:spacing w:before="1"/>
        <w:ind w:left="980" w:right="244" w:hanging="721"/>
        <w:jc w:val="both"/>
        <w:rPr>
          <w:sz w:val="20"/>
        </w:rPr>
      </w:pPr>
      <w:r>
        <w:rPr>
          <w:sz w:val="20"/>
        </w:rPr>
        <w:t>Kohler, G. O., D. D. Kuzmicky, R. Palter, J. Guggolz, and V. V. Herring. 1966. Safflower meal. J Am Oil Chem Soc 43: 413-415.</w:t>
      </w:r>
    </w:p>
    <w:p>
      <w:pPr>
        <w:spacing w:before="0"/>
        <w:ind w:left="980" w:right="244" w:hanging="721"/>
        <w:jc w:val="both"/>
        <w:rPr>
          <w:sz w:val="20"/>
        </w:rPr>
      </w:pPr>
      <w:r>
        <w:rPr>
          <w:sz w:val="20"/>
        </w:rPr>
        <w:t>Konrad, S. S. et al. 2014. S-acylation anchors remorin proteins to the plasma membrane but does not primarily determine their localization in membrane microdomains. The New phytologist 203: 758-769.</w:t>
      </w:r>
    </w:p>
    <w:p>
      <w:pPr>
        <w:spacing w:line="237" w:lineRule="auto" w:before="2"/>
        <w:ind w:left="980" w:right="232" w:hanging="721"/>
        <w:jc w:val="both"/>
        <w:rPr>
          <w:sz w:val="20"/>
        </w:rPr>
      </w:pPr>
      <w:r>
        <w:rPr>
          <w:sz w:val="20"/>
        </w:rPr>
        <w:t>Koo, A. J. K., M. Fulda, J. Browse, and J. B. Ohlrogge. 2005. Identification of a plastid acyl-acyl carrier protein synthetase in Arabidopsis and its role in the activation and elongation of exogenous fatty acids. The Plant Journal 44: 620-632.</w:t>
      </w:r>
    </w:p>
    <w:p>
      <w:pPr>
        <w:spacing w:before="1"/>
        <w:ind w:left="980" w:right="233" w:hanging="721"/>
        <w:jc w:val="both"/>
        <w:rPr>
          <w:sz w:val="20"/>
        </w:rPr>
      </w:pPr>
      <w:r>
        <w:rPr>
          <w:sz w:val="20"/>
        </w:rPr>
        <w:t>Kramer, J. G. et al. 1997. Evaluating acid and base catalysts in the methylation of milk and rumen fatty acids with special emphasis on conjugated dienes and total trans fatty acids. Lipids 32: 1219- 1228.</w:t>
      </w:r>
    </w:p>
    <w:p>
      <w:pPr>
        <w:spacing w:line="237" w:lineRule="auto" w:before="2"/>
        <w:ind w:left="980" w:right="237" w:hanging="721"/>
        <w:jc w:val="both"/>
        <w:rPr>
          <w:sz w:val="20"/>
        </w:rPr>
      </w:pPr>
      <w:r>
        <w:rPr>
          <w:sz w:val="20"/>
        </w:rPr>
        <w:t>Kronberg, S. L., E. J. Scholljegerdes, G. Barcelo-Coblijn, and E. J. Murphy. 2007. Flaxseed treatments to reduce biohydrogenation of alpha-linolenic acid by rumen microbes in cattle. Lipids 42: 1105- 1111.</w:t>
      </w:r>
    </w:p>
    <w:p>
      <w:pPr>
        <w:spacing w:before="1"/>
        <w:ind w:left="980" w:right="246" w:hanging="721"/>
        <w:jc w:val="both"/>
        <w:rPr>
          <w:sz w:val="20"/>
        </w:rPr>
      </w:pPr>
      <w:r>
        <w:rPr>
          <w:sz w:val="20"/>
        </w:rPr>
        <w:t>Kumar, S. et al. 2014. New aspects and strategies for methane mitigation from ruminants. Applied microbiology and biotechnology 98: 31-44.</w:t>
      </w:r>
    </w:p>
    <w:p>
      <w:pPr>
        <w:spacing w:before="0"/>
        <w:ind w:left="980" w:right="237" w:hanging="721"/>
        <w:jc w:val="both"/>
        <w:rPr>
          <w:sz w:val="20"/>
        </w:rPr>
      </w:pPr>
      <w:r>
        <w:rPr>
          <w:sz w:val="20"/>
        </w:rPr>
        <w:t>Kundu, D., C. Hazra, N. Dandi, and A. Chaudhari. 2013. Biodegradation of 4-nitrotoluene with biosurfactant production by Rhodococcus pyridinivorans NT2: metabolic pathway, cell surface properties and toxicological characterization. Biodegradation 24: 775-793.</w:t>
      </w:r>
    </w:p>
    <w:p>
      <w:pPr>
        <w:spacing w:line="242" w:lineRule="auto" w:before="0"/>
        <w:ind w:left="980" w:right="241" w:hanging="721"/>
        <w:jc w:val="both"/>
        <w:rPr>
          <w:sz w:val="20"/>
        </w:rPr>
      </w:pPr>
      <w:r>
        <w:rPr>
          <w:sz w:val="20"/>
        </w:rPr>
        <w:t>Kung Jr, L., and L. M. Rode. 1996. Amino acid metabolism in ruminants. Animal Feed Science and Technology 59: 167-172.</w:t>
      </w:r>
    </w:p>
    <w:p>
      <w:pPr>
        <w:spacing w:before="0"/>
        <w:ind w:left="980" w:right="231" w:hanging="721"/>
        <w:jc w:val="both"/>
        <w:rPr>
          <w:sz w:val="20"/>
        </w:rPr>
      </w:pPr>
      <w:r>
        <w:rPr>
          <w:sz w:val="20"/>
        </w:rPr>
        <w:t>Kwak, S., S. Myung, Y. Lee, H. Seo, and f. Korean Meta-analysis Study Group. 2012. Efficacy of omega-3 fatty acid supplements (eicosapentaenoic acid and docosahexaenoic acid) in the secondary prevention of cardiovascular disease: A meta-analysis of randomized, double-blind, placebo- controlled trials. Archives of Internal Medicine 172: 686-694.</w:t>
      </w:r>
    </w:p>
    <w:p>
      <w:pPr>
        <w:spacing w:line="237" w:lineRule="auto" w:before="2"/>
        <w:ind w:left="980" w:right="233" w:hanging="721"/>
        <w:jc w:val="both"/>
        <w:rPr>
          <w:sz w:val="20"/>
        </w:rPr>
      </w:pPr>
      <w:r>
        <w:rPr>
          <w:sz w:val="20"/>
        </w:rPr>
        <w:t>Lechartier, C., and J. L. Peyraud. 2011. The effects of starch and rapidly degradable dry matter from concentrate on ruminal digestion in dairy cows fed corn silage-based diets with fixed forage proportion. Journal of Dairy Science 94: 2440-2454.</w:t>
      </w:r>
    </w:p>
    <w:p>
      <w:pPr>
        <w:spacing w:before="1"/>
        <w:ind w:left="980" w:right="235" w:hanging="721"/>
        <w:jc w:val="both"/>
        <w:rPr>
          <w:sz w:val="20"/>
        </w:rPr>
      </w:pPr>
      <w:r>
        <w:rPr>
          <w:sz w:val="20"/>
        </w:rPr>
        <w:t>Lee, Y.-C., S.-W. Oh, J. Chang, and I.-H. Kim. 2004. Chemical composition and oxidative stability of safflower oil prepared from safflower seed roasted with different temperatures. Food Chemistry 84: 1-6.</w:t>
      </w:r>
    </w:p>
    <w:p>
      <w:pPr>
        <w:spacing w:line="230" w:lineRule="exact" w:before="6"/>
        <w:ind w:left="980" w:right="246" w:hanging="721"/>
        <w:jc w:val="both"/>
        <w:rPr>
          <w:sz w:val="20"/>
        </w:rPr>
      </w:pPr>
      <w:r>
        <w:rPr>
          <w:sz w:val="20"/>
        </w:rPr>
        <w:t>Lee, Y. 2013. Effect of pH on conjugated linoleic acid (CLA) formation of linolenic acid biohydrogenation by ruminal microorganisms. Journal of microbiology 51: 471-476.</w:t>
      </w:r>
    </w:p>
    <w:p>
      <w:pPr>
        <w:spacing w:before="0"/>
        <w:ind w:left="980" w:right="241" w:hanging="721"/>
        <w:jc w:val="both"/>
        <w:rPr>
          <w:sz w:val="20"/>
        </w:rPr>
      </w:pPr>
      <w:r>
        <w:rPr>
          <w:sz w:val="20"/>
        </w:rPr>
        <w:t>Legay-Carmier, F., and D. Bauchart. 1989. Distribution of bacteria in the rumen contents of dairy cows given a diet supplemented with soya-bean oil. British Journal of Nutrition 61: 725-740.</w:t>
      </w:r>
    </w:p>
    <w:p>
      <w:pPr>
        <w:spacing w:after="0"/>
        <w:jc w:val="both"/>
        <w:rPr>
          <w:sz w:val="20"/>
        </w:rPr>
        <w:sectPr>
          <w:pgSz w:w="12240" w:h="15840"/>
          <w:pgMar w:header="684" w:footer="1184" w:top="1380" w:bottom="1380" w:left="1440" w:right="1460"/>
        </w:sectPr>
      </w:pPr>
    </w:p>
    <w:p>
      <w:pPr>
        <w:pStyle w:val="BodyText"/>
        <w:spacing w:before="11"/>
        <w:rPr>
          <w:sz w:val="14"/>
        </w:rPr>
      </w:pPr>
    </w:p>
    <w:p>
      <w:pPr>
        <w:spacing w:before="74"/>
        <w:ind w:left="980" w:right="235" w:hanging="721"/>
        <w:jc w:val="both"/>
        <w:rPr>
          <w:sz w:val="20"/>
        </w:rPr>
      </w:pPr>
      <w:r>
        <w:rPr>
          <w:sz w:val="20"/>
        </w:rPr>
        <w:t>Lerch, S. et al. 2012. Rapeseed or linseed supplements in grass-based diets: Effects on milk fatty acid composition of Holstein cows over two consecutive lactations. Journal of Dairy Science 95: 5221-5241.</w:t>
      </w:r>
    </w:p>
    <w:p>
      <w:pPr>
        <w:spacing w:line="237" w:lineRule="auto" w:before="3"/>
        <w:ind w:left="980" w:right="232" w:hanging="721"/>
        <w:jc w:val="both"/>
        <w:rPr>
          <w:sz w:val="20"/>
        </w:rPr>
      </w:pPr>
      <w:r>
        <w:rPr>
          <w:sz w:val="20"/>
        </w:rPr>
        <w:t>Li, X. Z. et al. 2015. Conjugated fatty acids and methane production by rumen microbes when incubated with linseed oil alone or mixed with fish oil and/or malate. Animal science journal = Nihon chikusan Gakkaiho.</w:t>
      </w:r>
    </w:p>
    <w:p>
      <w:pPr>
        <w:spacing w:before="1"/>
        <w:ind w:left="980" w:right="242" w:hanging="721"/>
        <w:jc w:val="both"/>
        <w:rPr>
          <w:sz w:val="20"/>
        </w:rPr>
      </w:pPr>
      <w:r>
        <w:rPr>
          <w:sz w:val="20"/>
        </w:rPr>
        <w:t>Li, X. Z. et al. 2011. Rumen microbial response in production of CLA and methane to safflower oil in association with fish oil or/and fumarate. Animal science journal = Nihon chikusan Gakkaiho 82: 441-450.</w:t>
      </w:r>
    </w:p>
    <w:p>
      <w:pPr>
        <w:spacing w:before="0"/>
        <w:ind w:left="980" w:right="231" w:hanging="721"/>
        <w:jc w:val="both"/>
        <w:rPr>
          <w:sz w:val="20"/>
        </w:rPr>
      </w:pPr>
      <w:r>
        <w:rPr>
          <w:sz w:val="20"/>
        </w:rPr>
        <w:t>Lim, J. N. et al. 2014. trans-11 18:1 vaccenic acid (TVA) has a direct anti-carcinogenic effect on MCF-7 human mammary adenocarcinoma cells. Nutrients 6: 627-636.</w:t>
      </w:r>
    </w:p>
    <w:p>
      <w:pPr>
        <w:spacing w:line="237" w:lineRule="auto" w:before="2"/>
        <w:ind w:left="980" w:right="242" w:hanging="721"/>
        <w:jc w:val="both"/>
        <w:rPr>
          <w:sz w:val="20"/>
        </w:rPr>
      </w:pPr>
      <w:r>
        <w:rPr>
          <w:sz w:val="20"/>
        </w:rPr>
        <w:t>Lin, B., J. H. Wang, Y. Lu, Q. Liang, and J. X. Liu. 2013. In vitro rumen fermentation and methane production are influenced by active components of essential oils combined with fumarate. Journal of animal physiology and animal nutrition 97: 1-9.</w:t>
      </w:r>
    </w:p>
    <w:p>
      <w:pPr>
        <w:spacing w:before="1"/>
        <w:ind w:left="980" w:right="232" w:hanging="721"/>
        <w:jc w:val="both"/>
        <w:rPr>
          <w:sz w:val="20"/>
        </w:rPr>
      </w:pPr>
      <w:r>
        <w:rPr>
          <w:sz w:val="20"/>
        </w:rPr>
        <w:t>Liu, Y., and G. Buendía-Rodríguez. 2015. Dataset of methane and gas pressure for Experimental and Perturbation Study of Methane Production and Fatty Acid Metabolism-Distribution in Ruminal Microbiome. Figshare.</w:t>
      </w:r>
    </w:p>
    <w:p>
      <w:pPr>
        <w:spacing w:line="237" w:lineRule="auto" w:before="2"/>
        <w:ind w:left="980" w:right="232" w:hanging="721"/>
        <w:jc w:val="both"/>
        <w:rPr>
          <w:sz w:val="20"/>
        </w:rPr>
      </w:pPr>
      <w:r>
        <w:rPr>
          <w:sz w:val="20"/>
        </w:rPr>
        <w:t>Liu, Y., G. Buendía-Rodríguez, and H. González-Díaz. 2015a. Dataset for Experimental and Perturbation Study of Methane Production and Fatty Acid Metabolism-Distribution in Ruminal Microbiome. Figshare.</w:t>
      </w:r>
    </w:p>
    <w:p>
      <w:pPr>
        <w:spacing w:before="1"/>
        <w:ind w:left="980" w:right="232" w:hanging="721"/>
        <w:jc w:val="both"/>
        <w:rPr>
          <w:sz w:val="20"/>
        </w:rPr>
      </w:pPr>
      <w:r>
        <w:rPr>
          <w:sz w:val="20"/>
        </w:rPr>
        <w:t>Liu, Y., G. Buendía-Rodríguez, and H. González-Díaz. 2015b. STD Dataset for Experimental and Perturbation Study of Methane Production and Fatty Acid Metabolism-Distribution in Ruminal Microbiome. Figshare.</w:t>
      </w:r>
    </w:p>
    <w:p>
      <w:pPr>
        <w:spacing w:line="240" w:lineRule="auto" w:before="0"/>
        <w:ind w:left="980" w:right="231" w:hanging="721"/>
        <w:jc w:val="both"/>
        <w:rPr>
          <w:sz w:val="20"/>
        </w:rPr>
      </w:pPr>
      <w:r>
        <w:rPr>
          <w:sz w:val="20"/>
        </w:rPr>
        <w:t>Liu, Z., Y. Huang, Y. Zhang, D. Chen, and Y. Q. Zhang. 2011. Drosophila Acyl-CoA synthetase long-chain family member 4 regulates axonal transport of synaptic vesicles and is required for synaptic development and transmission. The Journal of neuroscience : the official journal of the Society for Neuroscience 31: 2052-2063.</w:t>
      </w:r>
    </w:p>
    <w:p>
      <w:pPr>
        <w:spacing w:before="0"/>
        <w:ind w:left="980" w:right="244" w:hanging="721"/>
        <w:jc w:val="both"/>
        <w:rPr>
          <w:sz w:val="20"/>
        </w:rPr>
      </w:pPr>
      <w:r>
        <w:rPr>
          <w:sz w:val="20"/>
        </w:rPr>
        <w:t>Lock, A., and D. Bauman. 2004. Modifying milk fat composition of dairy cows to enhance fatty acids beneficial to human health. Lipids 39: 1197-1206.</w:t>
      </w:r>
    </w:p>
    <w:p>
      <w:pPr>
        <w:spacing w:line="237" w:lineRule="auto" w:before="2"/>
        <w:ind w:left="980" w:right="245" w:hanging="721"/>
        <w:jc w:val="both"/>
        <w:rPr>
          <w:sz w:val="20"/>
        </w:rPr>
      </w:pPr>
      <w:r>
        <w:rPr>
          <w:sz w:val="20"/>
        </w:rPr>
        <w:t>Loor, J. J., A. B. Bandara, and J. H. Herbein. 2002. Characterization of 18:1 and 18:2 isomers produced during microbial biohydrogenation of unsaturated fatty acids from canola and soya bean oil in the rumen of lactating cows. Journal of animal physiology and animal nutrition 86: 422-432.</w:t>
      </w:r>
    </w:p>
    <w:p>
      <w:pPr>
        <w:spacing w:before="1"/>
        <w:ind w:left="980" w:right="248" w:hanging="721"/>
        <w:jc w:val="both"/>
        <w:rPr>
          <w:sz w:val="20"/>
        </w:rPr>
      </w:pPr>
      <w:r>
        <w:rPr>
          <w:sz w:val="20"/>
        </w:rPr>
        <w:t>Lourenco, M., E. Ramos-Morales, and R. J. Wallace. 2010. The role of microbes in rumen lipolysis and biohydrogenation and their manipulation. Animal 4: 1008-1023.</w:t>
      </w:r>
    </w:p>
    <w:p>
      <w:pPr>
        <w:spacing w:before="0"/>
        <w:ind w:left="980" w:right="243" w:hanging="721"/>
        <w:jc w:val="both"/>
        <w:rPr>
          <w:sz w:val="20"/>
        </w:rPr>
      </w:pPr>
      <w:r>
        <w:rPr>
          <w:sz w:val="20"/>
        </w:rPr>
        <w:t>Machado, </w:t>
      </w:r>
      <w:r>
        <w:rPr>
          <w:spacing w:val="-3"/>
          <w:sz w:val="20"/>
        </w:rPr>
        <w:t>M. </w:t>
      </w:r>
      <w:r>
        <w:rPr>
          <w:sz w:val="20"/>
        </w:rPr>
        <w:t>C., C. </w:t>
      </w:r>
      <w:r>
        <w:rPr>
          <w:spacing w:val="-3"/>
          <w:sz w:val="20"/>
        </w:rPr>
        <w:t>S. </w:t>
      </w:r>
      <w:r>
        <w:rPr>
          <w:sz w:val="20"/>
        </w:rPr>
        <w:t>Lopez, H. Heras, and E. A. Rivas. </w:t>
      </w:r>
      <w:r>
        <w:rPr>
          <w:spacing w:val="-3"/>
          <w:sz w:val="20"/>
        </w:rPr>
        <w:t>2004. </w:t>
      </w:r>
      <w:r>
        <w:rPr>
          <w:sz w:val="20"/>
        </w:rPr>
        <w:t>Osmotic response in Lactobacillus casei  ATCC 393: biochemical and biophysical characteristics </w:t>
      </w:r>
      <w:r>
        <w:rPr>
          <w:spacing w:val="-4"/>
          <w:sz w:val="20"/>
        </w:rPr>
        <w:t>of </w:t>
      </w:r>
      <w:r>
        <w:rPr>
          <w:sz w:val="20"/>
        </w:rPr>
        <w:t>membrane. Archives </w:t>
      </w:r>
      <w:r>
        <w:rPr>
          <w:spacing w:val="-4"/>
          <w:sz w:val="20"/>
        </w:rPr>
        <w:t>of </w:t>
      </w:r>
      <w:r>
        <w:rPr>
          <w:sz w:val="20"/>
        </w:rPr>
        <w:t>biochemistry and biophysics 422:</w:t>
      </w:r>
      <w:r>
        <w:rPr>
          <w:spacing w:val="-13"/>
          <w:sz w:val="20"/>
        </w:rPr>
        <w:t> </w:t>
      </w:r>
      <w:r>
        <w:rPr>
          <w:sz w:val="20"/>
        </w:rPr>
        <w:t>61-70.</w:t>
      </w:r>
    </w:p>
    <w:p>
      <w:pPr>
        <w:spacing w:line="237" w:lineRule="auto" w:before="2"/>
        <w:ind w:left="980" w:right="237" w:hanging="721"/>
        <w:jc w:val="both"/>
        <w:rPr>
          <w:sz w:val="20"/>
        </w:rPr>
      </w:pPr>
      <w:r>
        <w:rPr>
          <w:sz w:val="20"/>
        </w:rPr>
        <w:t>Martin, C., </w:t>
      </w:r>
      <w:r>
        <w:rPr>
          <w:spacing w:val="-3"/>
          <w:sz w:val="20"/>
        </w:rPr>
        <w:t>J. </w:t>
      </w:r>
      <w:r>
        <w:rPr>
          <w:sz w:val="20"/>
        </w:rPr>
        <w:t>Rouel, J. P. Jouany, M. Doreau, and Y. Chilliard. 2008. Methane output and diet digestibility  in response to feeding dairy cows crude linseed, extruded linseed, or linseed oil. J Anim Sci 86: 2642-2650.</w:t>
      </w:r>
    </w:p>
    <w:p>
      <w:pPr>
        <w:spacing w:before="1"/>
        <w:ind w:left="980" w:right="232" w:hanging="721"/>
        <w:jc w:val="both"/>
        <w:rPr>
          <w:sz w:val="20"/>
        </w:rPr>
      </w:pPr>
      <w:r>
        <w:rPr>
          <w:sz w:val="20"/>
        </w:rPr>
        <w:t>Mauri, A., V. Consonni, M. Pavan, and R. Todeschini. 2006. DRAGON Software: An Easy Approach to Molecular Descriptor Calculations. MATCH, communications in mathematical and in computer chemistry 56: 237-248.</w:t>
      </w:r>
    </w:p>
    <w:p>
      <w:pPr>
        <w:spacing w:line="237" w:lineRule="auto" w:before="2"/>
        <w:ind w:left="980" w:right="240" w:hanging="721"/>
        <w:jc w:val="both"/>
        <w:rPr>
          <w:sz w:val="20"/>
        </w:rPr>
      </w:pPr>
      <w:r>
        <w:rPr>
          <w:sz w:val="20"/>
        </w:rPr>
        <w:t>Maxin, G., D. R. Ouellet, and H. Lapierre. 2013. Ruminal degradability of dry matter, crude protein, and amino acids in soybean meal, canola meal, corn, and wheat dried distillers grains. Journal of Dairy Science 96: 5151-5160.</w:t>
      </w:r>
    </w:p>
    <w:p>
      <w:pPr>
        <w:spacing w:before="1"/>
        <w:ind w:left="980" w:right="237" w:hanging="721"/>
        <w:jc w:val="both"/>
        <w:rPr>
          <w:sz w:val="20"/>
        </w:rPr>
      </w:pPr>
      <w:r>
        <w:rPr>
          <w:sz w:val="20"/>
        </w:rPr>
        <w:t>Menke, K. H. et al. 1979. The estimation of the digestibility and metabolizable energy content of ruminant feeding stuffs from the gas production when they are incubated with rumen liquor in vitro. The Journal of Agricultural Science 93: 217-222.</w:t>
      </w:r>
    </w:p>
    <w:p>
      <w:pPr>
        <w:spacing w:before="0"/>
        <w:ind w:left="980" w:right="242" w:hanging="721"/>
        <w:jc w:val="both"/>
        <w:rPr>
          <w:sz w:val="20"/>
        </w:rPr>
      </w:pPr>
      <w:r>
        <w:rPr>
          <w:sz w:val="20"/>
        </w:rPr>
        <w:t>Menke, K. H., and H. Steingass. 1988. Estimation of energetic feed value obtained from chemical analysis and in vitro gas production using rumen fluid. Animal Research and Development 28: 7-55.</w:t>
      </w:r>
    </w:p>
    <w:p>
      <w:pPr>
        <w:spacing w:line="240" w:lineRule="auto" w:before="0"/>
        <w:ind w:left="980" w:right="244" w:hanging="721"/>
        <w:jc w:val="both"/>
        <w:rPr>
          <w:sz w:val="20"/>
        </w:rPr>
      </w:pPr>
      <w:r>
        <w:rPr>
          <w:sz w:val="20"/>
        </w:rPr>
        <w:t>Mensink, R. P., P. L. Zock, A. D. Kester, and M. B. Katan. 2003. Effects of dietary fatty acids and carbohydrates  on  the  ratio  of  serum  total  to  HDL  cholesterol  and  on  serum  lipids       and</w:t>
      </w:r>
    </w:p>
    <w:p>
      <w:pPr>
        <w:spacing w:after="0" w:line="240"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88" w:firstLine="0"/>
        <w:jc w:val="left"/>
        <w:rPr>
          <w:sz w:val="20"/>
        </w:rPr>
      </w:pPr>
      <w:r>
        <w:rPr>
          <w:sz w:val="20"/>
        </w:rPr>
        <w:t>apolipoproteins: a meta-analysis of 60 controlled trials. The American Journal of Clinical Nutrition 77: 1146-1155.</w:t>
      </w:r>
    </w:p>
    <w:p>
      <w:pPr>
        <w:spacing w:before="0"/>
        <w:ind w:left="980" w:right="243" w:hanging="721"/>
        <w:jc w:val="both"/>
        <w:rPr>
          <w:sz w:val="20"/>
        </w:rPr>
      </w:pPr>
      <w:r>
        <w:rPr>
          <w:sz w:val="20"/>
        </w:rPr>
        <w:t>Mertens, D. R. 1993. Rate and extent of digestion. In: J. M. F. Jan Dijkstra, J. France (ed.) Quantitative Aspects of Ruminant Digestion and Metabolism, CAB International, Wallingford, UK.</w:t>
      </w:r>
    </w:p>
    <w:p>
      <w:pPr>
        <w:spacing w:line="230" w:lineRule="exact" w:before="6"/>
        <w:ind w:left="980" w:right="233" w:hanging="721"/>
        <w:jc w:val="both"/>
        <w:rPr>
          <w:sz w:val="20"/>
        </w:rPr>
      </w:pPr>
      <w:r>
        <w:rPr>
          <w:sz w:val="20"/>
        </w:rPr>
        <w:t>Moon, K.-D. et al. 2001. Safflower seed extract lowers plasma and hepatic lipids in rats fed high- cholesterol diet. Nutrition Research 21: 895-904.</w:t>
      </w:r>
    </w:p>
    <w:p>
      <w:pPr>
        <w:spacing w:before="0"/>
        <w:ind w:left="980" w:right="244" w:hanging="721"/>
        <w:jc w:val="both"/>
        <w:rPr>
          <w:sz w:val="20"/>
        </w:rPr>
      </w:pPr>
      <w:r>
        <w:rPr>
          <w:sz w:val="20"/>
        </w:rPr>
        <w:t>Mould, F. L., </w:t>
      </w:r>
      <w:r>
        <w:rPr>
          <w:spacing w:val="-4"/>
          <w:sz w:val="20"/>
        </w:rPr>
        <w:t>K. </w:t>
      </w:r>
      <w:r>
        <w:rPr>
          <w:sz w:val="20"/>
        </w:rPr>
        <w:t>E. Kliem, R. Morgan, and </w:t>
      </w:r>
      <w:r>
        <w:rPr>
          <w:spacing w:val="-3"/>
          <w:sz w:val="20"/>
        </w:rPr>
        <w:t>R. </w:t>
      </w:r>
      <w:r>
        <w:rPr>
          <w:sz w:val="20"/>
        </w:rPr>
        <w:t>M. Mauricio. 2005. In vitro microbial inoculum: A review </w:t>
      </w:r>
      <w:r>
        <w:rPr>
          <w:spacing w:val="-4"/>
          <w:sz w:val="20"/>
        </w:rPr>
        <w:t>of  </w:t>
      </w:r>
      <w:r>
        <w:rPr>
          <w:sz w:val="20"/>
        </w:rPr>
        <w:t>its</w:t>
      </w:r>
      <w:r>
        <w:rPr>
          <w:spacing w:val="-2"/>
          <w:sz w:val="20"/>
        </w:rPr>
        <w:t> </w:t>
      </w:r>
      <w:r>
        <w:rPr>
          <w:sz w:val="20"/>
        </w:rPr>
        <w:t>function</w:t>
      </w:r>
      <w:r>
        <w:rPr>
          <w:spacing w:val="-4"/>
          <w:sz w:val="20"/>
        </w:rPr>
        <w:t> </w:t>
      </w:r>
      <w:r>
        <w:rPr>
          <w:sz w:val="20"/>
        </w:rPr>
        <w:t>and</w:t>
      </w:r>
      <w:r>
        <w:rPr>
          <w:spacing w:val="-4"/>
          <w:sz w:val="20"/>
        </w:rPr>
        <w:t> </w:t>
      </w:r>
      <w:r>
        <w:rPr>
          <w:sz w:val="20"/>
        </w:rPr>
        <w:t>properties.</w:t>
      </w:r>
      <w:r>
        <w:rPr>
          <w:spacing w:val="-1"/>
          <w:sz w:val="20"/>
        </w:rPr>
        <w:t> </w:t>
      </w:r>
      <w:r>
        <w:rPr>
          <w:sz w:val="20"/>
        </w:rPr>
        <w:t>Animal</w:t>
      </w:r>
      <w:r>
        <w:rPr>
          <w:spacing w:val="-4"/>
          <w:sz w:val="20"/>
        </w:rPr>
        <w:t> </w:t>
      </w:r>
      <w:r>
        <w:rPr>
          <w:sz w:val="20"/>
        </w:rPr>
        <w:t>Feed</w:t>
      </w:r>
      <w:r>
        <w:rPr>
          <w:spacing w:val="-4"/>
          <w:sz w:val="20"/>
        </w:rPr>
        <w:t> </w:t>
      </w:r>
      <w:r>
        <w:rPr>
          <w:sz w:val="20"/>
        </w:rPr>
        <w:t>Science</w:t>
      </w:r>
      <w:r>
        <w:rPr>
          <w:spacing w:val="-5"/>
          <w:sz w:val="20"/>
        </w:rPr>
        <w:t> </w:t>
      </w:r>
      <w:r>
        <w:rPr>
          <w:sz w:val="20"/>
        </w:rPr>
        <w:t>and</w:t>
      </w:r>
      <w:r>
        <w:rPr>
          <w:spacing w:val="-4"/>
          <w:sz w:val="20"/>
        </w:rPr>
        <w:t> </w:t>
      </w:r>
      <w:r>
        <w:rPr>
          <w:sz w:val="20"/>
        </w:rPr>
        <w:t>Technology</w:t>
      </w:r>
      <w:r>
        <w:rPr>
          <w:spacing w:val="-3"/>
          <w:sz w:val="20"/>
        </w:rPr>
        <w:t> </w:t>
      </w:r>
      <w:r>
        <w:rPr>
          <w:sz w:val="20"/>
        </w:rPr>
        <w:t>123–124,</w:t>
      </w:r>
      <w:r>
        <w:rPr>
          <w:spacing w:val="-1"/>
          <w:sz w:val="20"/>
        </w:rPr>
        <w:t> </w:t>
      </w:r>
      <w:r>
        <w:rPr>
          <w:sz w:val="20"/>
        </w:rPr>
        <w:t>Part</w:t>
      </w:r>
      <w:r>
        <w:rPr>
          <w:spacing w:val="-3"/>
          <w:sz w:val="20"/>
        </w:rPr>
        <w:t> </w:t>
      </w:r>
      <w:r>
        <w:rPr>
          <w:sz w:val="20"/>
        </w:rPr>
        <w:t>1:</w:t>
      </w:r>
      <w:r>
        <w:rPr>
          <w:spacing w:val="-3"/>
          <w:sz w:val="20"/>
        </w:rPr>
        <w:t> </w:t>
      </w:r>
      <w:r>
        <w:rPr>
          <w:sz w:val="20"/>
        </w:rPr>
        <w:t>31-50.</w:t>
      </w:r>
    </w:p>
    <w:p>
      <w:pPr>
        <w:spacing w:before="0"/>
        <w:ind w:left="980" w:right="245" w:hanging="721"/>
        <w:jc w:val="both"/>
        <w:rPr>
          <w:sz w:val="20"/>
        </w:rPr>
      </w:pPr>
      <w:r>
        <w:rPr>
          <w:sz w:val="20"/>
        </w:rPr>
        <w:t>Mouradian, M. et al. 2014. Docosahexaenoic acid attenuates breast cancer cell metabolism and the Warburg phenotype by targeting bioenergetic function. Molecular carcinogenesis.</w:t>
      </w:r>
    </w:p>
    <w:p>
      <w:pPr>
        <w:spacing w:line="237" w:lineRule="auto" w:before="3"/>
        <w:ind w:left="980" w:right="237" w:hanging="721"/>
        <w:jc w:val="both"/>
        <w:rPr>
          <w:sz w:val="20"/>
        </w:rPr>
      </w:pPr>
      <w:r>
        <w:rPr>
          <w:sz w:val="20"/>
        </w:rPr>
        <w:t>Mozaffarian, D., E. B. Rimm, and D. M. Herrington. 2004. Dietary fats, carbohydrate, and progression of coronary atherosclerosis in postmenopausal women. The American Journal of  Clinical Nutrition 80: 1175-1184.</w:t>
      </w:r>
    </w:p>
    <w:p>
      <w:pPr>
        <w:spacing w:before="1"/>
        <w:ind w:left="980" w:right="246" w:hanging="721"/>
        <w:jc w:val="both"/>
        <w:rPr>
          <w:sz w:val="20"/>
        </w:rPr>
      </w:pPr>
      <w:r>
        <w:rPr>
          <w:sz w:val="20"/>
        </w:rPr>
        <w:t>Murakami, C. et al. 2004. Mechanism of cell cycle arrest by sulfoquinovosyl monoacylglycerol with a C18-saturated fatty acid (C18-SQMG). Biochemical pharmacology 67: 1373-1380.</w:t>
      </w:r>
    </w:p>
    <w:p>
      <w:pPr>
        <w:spacing w:before="0"/>
        <w:ind w:left="980" w:right="236" w:hanging="721"/>
        <w:jc w:val="both"/>
        <w:rPr>
          <w:sz w:val="20"/>
        </w:rPr>
      </w:pPr>
      <w:r>
        <w:rPr>
          <w:sz w:val="20"/>
        </w:rPr>
        <w:t>Na, S. 2011. Analysis of Fatty Acids in Infant Formulas Using an Agilent J&amp;W HP-88 Capillary  GC Column, Agilent Technologies (China) Co. Ltd.</w:t>
      </w:r>
    </w:p>
    <w:p>
      <w:pPr>
        <w:spacing w:line="237" w:lineRule="auto" w:before="2"/>
        <w:ind w:left="980" w:right="243" w:hanging="721"/>
        <w:jc w:val="both"/>
        <w:rPr>
          <w:sz w:val="20"/>
        </w:rPr>
      </w:pPr>
      <w:r>
        <w:rPr>
          <w:sz w:val="20"/>
        </w:rPr>
        <w:t>Naga, M. M. A., and K. el-Shazly. 1963. The use of the in vitro fermentation technique to estimate the digestible energy content of some Egyptian forages I. The in vitro digestion of cellulose as a criterion of energy content. The Journal of Agricultural Science 61: 73-79.</w:t>
      </w:r>
    </w:p>
    <w:p>
      <w:pPr>
        <w:spacing w:before="1"/>
        <w:ind w:left="980" w:right="244" w:hanging="721"/>
        <w:jc w:val="both"/>
        <w:rPr>
          <w:sz w:val="20"/>
        </w:rPr>
      </w:pPr>
      <w:r>
        <w:rPr>
          <w:sz w:val="20"/>
        </w:rPr>
        <w:t>Nakatsuji, T. et al. 2009. Antimicrobial Property of Lauric Acid Against Propionibacterium Acnes: Its Therapeutic Potential for Inflammatory Acne Vulgaris. J Invest Dermatol 129: 2480-2488.</w:t>
      </w:r>
    </w:p>
    <w:p>
      <w:pPr>
        <w:spacing w:before="0"/>
        <w:ind w:left="980" w:right="238" w:hanging="721"/>
        <w:jc w:val="both"/>
        <w:rPr>
          <w:sz w:val="20"/>
        </w:rPr>
      </w:pPr>
      <w:r>
        <w:rPr>
          <w:sz w:val="20"/>
        </w:rPr>
        <w:t>Nam, I. S., and P. C. Garnsworthy. 2007. Biohydrogenation of linoleic acid by rumen fungi compared  with rumen bacteria. Journal of applied microbiology 103:</w:t>
      </w:r>
      <w:r>
        <w:rPr>
          <w:spacing w:val="-27"/>
          <w:sz w:val="20"/>
        </w:rPr>
        <w:t> </w:t>
      </w:r>
      <w:r>
        <w:rPr>
          <w:sz w:val="20"/>
        </w:rPr>
        <w:t>551-556.</w:t>
      </w:r>
    </w:p>
    <w:p>
      <w:pPr>
        <w:spacing w:line="237" w:lineRule="auto" w:before="2"/>
        <w:ind w:left="980" w:right="246" w:hanging="721"/>
        <w:jc w:val="both"/>
        <w:rPr>
          <w:sz w:val="20"/>
        </w:rPr>
      </w:pPr>
      <w:r>
        <w:rPr>
          <w:sz w:val="20"/>
        </w:rPr>
        <w:t>Newman, M. E., S. H. Strogatz, and D. J. Watts. 2001. Random graphs with arbitrary degree distributions and their applications. Physical review. E, Statistical, nonlinear, and soft matter physics 64: 026118.</w:t>
      </w:r>
    </w:p>
    <w:p>
      <w:pPr>
        <w:spacing w:before="1"/>
        <w:ind w:left="980" w:right="242" w:hanging="721"/>
        <w:jc w:val="both"/>
        <w:rPr>
          <w:sz w:val="20"/>
        </w:rPr>
      </w:pPr>
      <w:r>
        <w:rPr>
          <w:sz w:val="20"/>
        </w:rPr>
        <w:t>Nges, I. A., B. Mbatia, and L. Bjornsson. 2012. Improved utilization of fish waste by anaerobic digestion following omega-3 fatty acids extraction. Journal of environmental management 110: 159-165.</w:t>
      </w:r>
    </w:p>
    <w:p>
      <w:pPr>
        <w:spacing w:line="237" w:lineRule="auto" w:before="2"/>
        <w:ind w:left="980" w:right="232" w:hanging="721"/>
        <w:jc w:val="both"/>
        <w:rPr>
          <w:sz w:val="20"/>
        </w:rPr>
      </w:pPr>
      <w:r>
        <w:rPr>
          <w:sz w:val="20"/>
        </w:rPr>
        <w:t>Or-Rashid, M. M., N. E. Odongo, and B. W. McBride. 2007. Fatty acid composition of ruminal bacteria and protozoa, with emphasis on conjugated linoleic acid, vaccenic acid, and odd-chain and branched-chain fatty acids. Journal of Animal Science 85: 1228-1234.</w:t>
      </w:r>
    </w:p>
    <w:p>
      <w:pPr>
        <w:spacing w:before="1"/>
        <w:ind w:left="980" w:right="242" w:hanging="721"/>
        <w:jc w:val="both"/>
        <w:rPr>
          <w:sz w:val="20"/>
        </w:rPr>
      </w:pPr>
      <w:r>
        <w:rPr>
          <w:sz w:val="20"/>
        </w:rPr>
        <w:t>Pala, V. et al. 2001. Erythrocyte Membrane Fatty Acids and Subsequent Breast Cancer: a Prospective Italian Study. Journal of the National Cancer Institute 93: 1088-1095.</w:t>
      </w:r>
    </w:p>
    <w:p>
      <w:pPr>
        <w:spacing w:before="0"/>
        <w:ind w:left="980" w:right="232" w:hanging="721"/>
        <w:jc w:val="both"/>
        <w:rPr>
          <w:sz w:val="20"/>
        </w:rPr>
      </w:pPr>
      <w:r>
        <w:rPr>
          <w:sz w:val="20"/>
        </w:rPr>
        <w:t>Panyakaew, P., G. Goel, M. Lourenço, C. Yuangklang, and V. Fievez. 2013. Medium-chain fatty acids from coconut or krabok oil inhibit in vitro rumen methanogenesis and conversion of non-conjugated dienoic biohydrogenation intermediates. Animal Feed Science and Technology 180: 18-25.</w:t>
      </w:r>
    </w:p>
    <w:p>
      <w:pPr>
        <w:spacing w:line="237" w:lineRule="auto" w:before="2"/>
        <w:ind w:left="980" w:right="242" w:hanging="721"/>
        <w:jc w:val="both"/>
        <w:rPr>
          <w:sz w:val="20"/>
        </w:rPr>
      </w:pPr>
      <w:r>
        <w:rPr>
          <w:sz w:val="20"/>
        </w:rPr>
        <w:t>Papa, E., F. Villa, and P. Gramatica. 2005. Statistically validated QSARs, based on theoretical descriptors, for modeling aquatic toxicity of organic chemicals in Pimephales promelas (fathead minnow). J Chem Inf Model 45: 1256-1266.</w:t>
      </w:r>
    </w:p>
    <w:p>
      <w:pPr>
        <w:spacing w:before="1"/>
        <w:ind w:left="980" w:right="237" w:hanging="721"/>
        <w:jc w:val="both"/>
        <w:rPr>
          <w:sz w:val="20"/>
        </w:rPr>
      </w:pPr>
      <w:r>
        <w:rPr>
          <w:sz w:val="20"/>
        </w:rPr>
        <w:t>Patra, A. K., and J. Saxena. 2010. A new perspective on the use of plant secondary metabolites to inhibit methanogenesis in the rumen. Phytochemistry 71: 1198-1222.</w:t>
      </w:r>
    </w:p>
    <w:p>
      <w:pPr>
        <w:spacing w:before="0"/>
        <w:ind w:left="980" w:right="242" w:hanging="721"/>
        <w:jc w:val="both"/>
        <w:rPr>
          <w:sz w:val="20"/>
        </w:rPr>
      </w:pPr>
      <w:r>
        <w:rPr>
          <w:sz w:val="20"/>
        </w:rPr>
        <w:t>Patra, A. K., and Z. Yu. 2012. Effects of essential oils on methane production and fermentation by, and abundance and diversity of, rumen microbial populations. Appl Environ Microbiol 78: 4271- 4280.</w:t>
      </w:r>
    </w:p>
    <w:p>
      <w:pPr>
        <w:spacing w:line="240" w:lineRule="auto" w:before="0"/>
        <w:ind w:left="980" w:right="232" w:hanging="721"/>
        <w:jc w:val="both"/>
        <w:rPr>
          <w:sz w:val="20"/>
        </w:rPr>
      </w:pPr>
      <w:r>
        <w:rPr>
          <w:sz w:val="20"/>
        </w:rPr>
        <w:t>Patra, A. </w:t>
      </w:r>
      <w:r>
        <w:rPr>
          <w:spacing w:val="-3"/>
          <w:sz w:val="20"/>
        </w:rPr>
        <w:t>K., </w:t>
      </w:r>
      <w:r>
        <w:rPr>
          <w:sz w:val="20"/>
        </w:rPr>
        <w:t>and Z. </w:t>
      </w:r>
      <w:r>
        <w:rPr>
          <w:spacing w:val="-3"/>
          <w:sz w:val="20"/>
        </w:rPr>
        <w:t>Yu. </w:t>
      </w:r>
      <w:r>
        <w:rPr>
          <w:sz w:val="20"/>
        </w:rPr>
        <w:t>2015. Effects of garlic oil, nitrate, saponin and their combinations supplemented to different substrates on in vitro fermentation, ruminal methanogenesis, and abundance and diversity of microbial populations. Journal of applied</w:t>
      </w:r>
      <w:r>
        <w:rPr>
          <w:spacing w:val="-24"/>
          <w:sz w:val="20"/>
        </w:rPr>
        <w:t> </w:t>
      </w:r>
      <w:r>
        <w:rPr>
          <w:sz w:val="20"/>
        </w:rPr>
        <w:t>microbiology.</w:t>
      </w:r>
    </w:p>
    <w:p>
      <w:pPr>
        <w:spacing w:before="0"/>
        <w:ind w:left="980" w:right="245" w:hanging="721"/>
        <w:jc w:val="both"/>
        <w:rPr>
          <w:sz w:val="20"/>
        </w:rPr>
      </w:pPr>
      <w:r>
        <w:rPr>
          <w:sz w:val="20"/>
        </w:rPr>
        <w:t>Petit, H. V. 2002. Digestion, milk production, milk composition, and blood composition of dairy cows fed whole flaxseed. J Dairy Sci 85: 1482-1490.</w:t>
      </w:r>
    </w:p>
    <w:p>
      <w:pPr>
        <w:spacing w:line="237" w:lineRule="auto" w:before="2"/>
        <w:ind w:left="980" w:right="235" w:hanging="721"/>
        <w:jc w:val="both"/>
        <w:rPr>
          <w:sz w:val="20"/>
        </w:rPr>
      </w:pPr>
      <w:r>
        <w:rPr>
          <w:sz w:val="20"/>
        </w:rPr>
        <w:t>Pina, D. S., S. C. Valadares Filho, L. O. Tedeschi, A. M. Barbosa, and R. F. D. Valadares. 2009. Influence of different levels of concentrate and ruminally undegraded protein on digestive variables in beef heifers. Journal of Animal Science 87: 1058-1067.</w:t>
      </w:r>
    </w:p>
    <w:p>
      <w:pPr>
        <w:spacing w:after="0" w:line="237"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41" w:hanging="721"/>
        <w:jc w:val="both"/>
        <w:rPr>
          <w:sz w:val="20"/>
        </w:rPr>
      </w:pPr>
      <w:r>
        <w:rPr>
          <w:sz w:val="20"/>
        </w:rPr>
        <w:t>Ranilla, M. J., J. P. Jouany, and D. P. Morgavi. 2007. Methane production and substrate degradation by rumen microbial communities containing single protozoal species in vitro. Letters in applied microbiology 45: 675-680.</w:t>
      </w:r>
    </w:p>
    <w:p>
      <w:pPr>
        <w:spacing w:line="237" w:lineRule="auto" w:before="3"/>
        <w:ind w:left="980" w:right="235" w:hanging="721"/>
        <w:jc w:val="both"/>
        <w:rPr>
          <w:sz w:val="20"/>
        </w:rPr>
      </w:pPr>
      <w:r>
        <w:rPr>
          <w:sz w:val="20"/>
        </w:rPr>
        <w:t>Rasmussen, J., and A. Harrison. 2011. The benefits of supplementary fat in feed rations for ruminants with particular focus on reducing levels of methane production. ISRN veterinary science 2011: 613172.</w:t>
      </w:r>
    </w:p>
    <w:p>
      <w:pPr>
        <w:spacing w:before="1"/>
        <w:ind w:left="980" w:right="234" w:hanging="721"/>
        <w:jc w:val="both"/>
        <w:rPr>
          <w:sz w:val="20"/>
        </w:rPr>
      </w:pPr>
      <w:r>
        <w:rPr>
          <w:sz w:val="20"/>
        </w:rPr>
        <w:t>Reiner, M. F., S. Stivala, G. G. Camici, and J. H. Beer. 2014. Omega-3-Fettsäuren in der Medizin: Mechanismen, klinische Evidenz und Kontroversen. PRAXIS 103: 329-335.</w:t>
      </w:r>
    </w:p>
    <w:p>
      <w:pPr>
        <w:spacing w:before="0"/>
        <w:ind w:left="980" w:right="245" w:hanging="721"/>
        <w:jc w:val="both"/>
        <w:rPr>
          <w:sz w:val="20"/>
        </w:rPr>
      </w:pPr>
      <w:r>
        <w:rPr>
          <w:sz w:val="20"/>
        </w:rPr>
        <w:t>Reveneau, C., C. V. Ribeiro, M. L. Eastridge, and J. L. Firkins. 2012. Interaction of unsaturated fat or coconut oil with monensin in lactating dairy cows fed 12 times daily. II. Fatty acid flow to the omasum and milk fatty acid profile. J Dairy Sci 95: 2061-2069.</w:t>
      </w:r>
    </w:p>
    <w:p>
      <w:pPr>
        <w:spacing w:line="230" w:lineRule="exact" w:before="6"/>
        <w:ind w:left="980" w:right="250" w:hanging="721"/>
        <w:jc w:val="both"/>
        <w:rPr>
          <w:sz w:val="20"/>
        </w:rPr>
      </w:pPr>
      <w:r>
        <w:rPr>
          <w:sz w:val="20"/>
        </w:rPr>
        <w:t>Rindsig, R. B., and L. H. Schultz. 1974. Effect of feeding lauric acid to lactating cows on milk composition, rumen fermentation, and blood lipids. J Dairy Sci 57: 1414-1419.</w:t>
      </w:r>
    </w:p>
    <w:p>
      <w:pPr>
        <w:spacing w:before="0"/>
        <w:ind w:left="980" w:right="231" w:hanging="721"/>
        <w:jc w:val="both"/>
        <w:rPr>
          <w:sz w:val="20"/>
        </w:rPr>
      </w:pPr>
      <w:r>
        <w:rPr>
          <w:sz w:val="20"/>
        </w:rPr>
        <w:t>Rizos, E. C., E. E. Ntzani, E. Bika, M. S. Kostapanos, and M. S. Elisaf. 2012. Association between omega-3 fatty acid supplementation and risk of major cardiovascular disease events: A systematic review and meta-analysis. The Journal of the American Medical Association 308: 1024-1033.</w:t>
      </w:r>
    </w:p>
    <w:p>
      <w:pPr>
        <w:spacing w:line="237" w:lineRule="auto" w:before="2"/>
        <w:ind w:left="980" w:right="232" w:hanging="721"/>
        <w:jc w:val="both"/>
        <w:rPr>
          <w:sz w:val="20"/>
        </w:rPr>
      </w:pPr>
      <w:r>
        <w:rPr>
          <w:sz w:val="20"/>
        </w:rPr>
        <w:t>Roy, A. et al. 2007. Butters rich either in trans-10-C18:1 or in trans-11-C18:1 plus cis-9, trans-11 CLA differentially affect plasma lipids and aortic fatty streak in experimental atherosclerosis in rabbits. Animal 1: 467-476.</w:t>
      </w:r>
    </w:p>
    <w:p>
      <w:pPr>
        <w:spacing w:before="1"/>
        <w:ind w:left="980" w:right="240" w:hanging="721"/>
        <w:jc w:val="both"/>
        <w:rPr>
          <w:sz w:val="20"/>
        </w:rPr>
      </w:pPr>
      <w:r>
        <w:rPr>
          <w:sz w:val="20"/>
        </w:rPr>
        <w:t>Roy, K., and J. T. Leonard. 2005. QSAR analyses of 3-(4-benzylpiperidin-1-yl)-N-phenylpropylamine derivatives as potent CCR5 antagonists. J Chem Inf Model 45: 1352-1368.</w:t>
      </w:r>
    </w:p>
    <w:p>
      <w:pPr>
        <w:spacing w:before="0"/>
        <w:ind w:left="980" w:right="231" w:hanging="721"/>
        <w:jc w:val="both"/>
        <w:rPr>
          <w:sz w:val="20"/>
        </w:rPr>
      </w:pPr>
      <w:r>
        <w:rPr>
          <w:sz w:val="20"/>
        </w:rPr>
        <w:t>Rubanza, C. D. K., M. N. Shem, R. Otsyina, T. Ichinohe, and T. Fujihara. 2003. Nutritive evaluation of some browse tree legume foliages native to semi-arid areas in western Tanzania. Asian-Australasian Journal of Animal Sciences 16: 1429-1437.</w:t>
      </w:r>
    </w:p>
    <w:p>
      <w:pPr>
        <w:spacing w:line="237" w:lineRule="auto" w:before="2"/>
        <w:ind w:left="980" w:right="243" w:hanging="721"/>
        <w:jc w:val="both"/>
        <w:rPr>
          <w:sz w:val="20"/>
        </w:rPr>
      </w:pPr>
      <w:r>
        <w:rPr>
          <w:sz w:val="20"/>
        </w:rPr>
        <w:t>Salimon, J., T. A. Omar, and N. Salih. 2014. Comparison </w:t>
      </w:r>
      <w:r>
        <w:rPr>
          <w:spacing w:val="-4"/>
          <w:sz w:val="20"/>
        </w:rPr>
        <w:t>of </w:t>
      </w:r>
      <w:r>
        <w:rPr>
          <w:sz w:val="20"/>
        </w:rPr>
        <w:t>Two Derivatization Methods for the Analysis  of Fatty Acids and Trans Fatty Acids in Bakery Products Using Gas Chromatography. The Scientific World Journal 2014:</w:t>
      </w:r>
      <w:r>
        <w:rPr>
          <w:spacing w:val="-20"/>
          <w:sz w:val="20"/>
        </w:rPr>
        <w:t> </w:t>
      </w:r>
      <w:r>
        <w:rPr>
          <w:sz w:val="20"/>
        </w:rPr>
        <w:t>10.</w:t>
      </w:r>
    </w:p>
    <w:p>
      <w:pPr>
        <w:spacing w:before="1"/>
        <w:ind w:left="980" w:right="241" w:hanging="721"/>
        <w:jc w:val="both"/>
        <w:rPr>
          <w:sz w:val="20"/>
        </w:rPr>
      </w:pPr>
      <w:r>
        <w:rPr>
          <w:sz w:val="20"/>
        </w:rPr>
        <w:t>Sallam, S. M. et al. 2011. Effect of some essential oils on in vitro methane emission. Archives of animal nutrition 65: 203-214.</w:t>
      </w:r>
    </w:p>
    <w:p>
      <w:pPr>
        <w:spacing w:before="0"/>
        <w:ind w:left="980" w:right="243" w:hanging="721"/>
        <w:jc w:val="both"/>
        <w:rPr>
          <w:sz w:val="20"/>
        </w:rPr>
      </w:pPr>
      <w:r>
        <w:rPr>
          <w:sz w:val="20"/>
        </w:rPr>
        <w:t>SAS Institute (Editor), 2001. The SAS System for Microsoft Windows, release 8.2. SAS Institute Inc.,  Cary,</w:t>
      </w:r>
      <w:r>
        <w:rPr>
          <w:spacing w:val="-2"/>
          <w:sz w:val="20"/>
        </w:rPr>
        <w:t> </w:t>
      </w:r>
      <w:r>
        <w:rPr>
          <w:sz w:val="20"/>
        </w:rPr>
        <w:t>NC.</w:t>
      </w:r>
    </w:p>
    <w:p>
      <w:pPr>
        <w:spacing w:line="240" w:lineRule="auto" w:before="0"/>
        <w:ind w:left="980" w:right="240" w:hanging="721"/>
        <w:jc w:val="both"/>
        <w:rPr>
          <w:sz w:val="20"/>
        </w:rPr>
      </w:pPr>
      <w:r>
        <w:rPr>
          <w:sz w:val="20"/>
        </w:rPr>
        <w:t>Satish, I., and S. K. Shrivastava. 2011. Chemical compositioitional and anti-nutritional composition, Helianthus annuus, Carthamus tinctorius and Arachis hypogaea. International Journal of Biotechnology Applications 3: 118-129.</w:t>
      </w:r>
    </w:p>
    <w:p>
      <w:pPr>
        <w:spacing w:before="0"/>
        <w:ind w:left="980" w:right="246" w:hanging="721"/>
        <w:jc w:val="both"/>
        <w:rPr>
          <w:sz w:val="20"/>
        </w:rPr>
      </w:pPr>
      <w:r>
        <w:rPr>
          <w:sz w:val="20"/>
        </w:rPr>
        <w:t>Shek, D. T., and C. M. Ma. 2011. Longitudinal data analyses using linear mixed models in SPSS: concepts, procedures and illustrations. TheScientificWorldJournal 11: 42-76.</w:t>
      </w:r>
    </w:p>
    <w:p>
      <w:pPr>
        <w:spacing w:before="0"/>
        <w:ind w:left="259" w:right="1942" w:firstLine="0"/>
        <w:jc w:val="left"/>
        <w:rPr>
          <w:sz w:val="20"/>
        </w:rPr>
      </w:pPr>
      <w:r>
        <w:rPr>
          <w:sz w:val="20"/>
        </w:rPr>
        <w:t>Sherrod P.H. 1995. NLREG: Nonlinear Regression Analysis Program. Brentwood,TN. Sherrod, P. H. 1995. NLREG: Nonlinear Regression Analysis Program.</w:t>
      </w:r>
    </w:p>
    <w:p>
      <w:pPr>
        <w:spacing w:line="240" w:lineRule="auto" w:before="0"/>
        <w:ind w:left="980" w:right="239" w:hanging="721"/>
        <w:jc w:val="both"/>
        <w:rPr>
          <w:sz w:val="20"/>
        </w:rPr>
      </w:pPr>
      <w:r>
        <w:rPr>
          <w:sz w:val="20"/>
        </w:rPr>
        <w:t>Siani, M. A., D. Weininger, and J. M. Blaney. 1994. CHUCKLES: a method for representing and searching peptide and peptoid sequences on both monomer and atomic levels. J Chem Inf Comput Sci 34: 588-593.</w:t>
      </w:r>
    </w:p>
    <w:p>
      <w:pPr>
        <w:spacing w:before="0"/>
        <w:ind w:left="980" w:right="249" w:hanging="721"/>
        <w:jc w:val="both"/>
        <w:rPr>
          <w:sz w:val="20"/>
        </w:rPr>
      </w:pPr>
      <w:r>
        <w:rPr>
          <w:sz w:val="20"/>
        </w:rPr>
        <w:t>Simopoulos, A. P. 1999. Essential fatty acids in health and chronic disease. The American Journal of Clinical Nutrition 70: 560s-569s.</w:t>
      </w:r>
    </w:p>
    <w:p>
      <w:pPr>
        <w:spacing w:before="0"/>
        <w:ind w:left="259" w:right="0" w:firstLine="0"/>
        <w:jc w:val="left"/>
        <w:rPr>
          <w:sz w:val="20"/>
        </w:rPr>
      </w:pPr>
      <w:r>
        <w:rPr>
          <w:sz w:val="20"/>
        </w:rPr>
        <w:t>Simopoulos,   A.   P.   2002.   The  importance  of   the  ratio  of   omega-6/omega-3  essential  fatty  acids.</w:t>
      </w:r>
    </w:p>
    <w:p>
      <w:pPr>
        <w:spacing w:line="232" w:lineRule="exact" w:before="0"/>
        <w:ind w:left="203" w:right="3622" w:firstLine="0"/>
        <w:jc w:val="center"/>
        <w:rPr>
          <w:sz w:val="20"/>
        </w:rPr>
      </w:pPr>
      <w:r>
        <w:rPr>
          <w:sz w:val="20"/>
        </w:rPr>
        <w:t>Biomedicine &amp; Pharmacotherapy 56: 365-379.</w:t>
      </w:r>
    </w:p>
    <w:p>
      <w:pPr>
        <w:spacing w:line="240" w:lineRule="auto" w:before="0"/>
        <w:ind w:left="980" w:right="239" w:hanging="721"/>
        <w:jc w:val="both"/>
        <w:rPr>
          <w:sz w:val="20"/>
        </w:rPr>
      </w:pPr>
      <w:r>
        <w:rPr>
          <w:sz w:val="20"/>
        </w:rPr>
        <w:t>Simopoulos, A. P. 2006. Evolutionary aspects of diet, the omega-6/omega-3 ratio and genetic variation: nutritional implications for chronic diseases. Biomedicine &amp; Pharmacotherapy 60: 502-507.</w:t>
      </w:r>
    </w:p>
    <w:p>
      <w:pPr>
        <w:spacing w:before="0"/>
        <w:ind w:left="980" w:right="235" w:hanging="721"/>
        <w:jc w:val="both"/>
        <w:rPr>
          <w:sz w:val="20"/>
        </w:rPr>
      </w:pPr>
      <w:r>
        <w:rPr>
          <w:sz w:val="20"/>
        </w:rPr>
        <w:t>Simopoulos, A. P. 2008. The Importance of the Omega-6/Omega-3 Fatty Acid Ratio in Cardiovascular Disease and Other Chronic Diseases. Experimental Biology and Medicine 233: 674-688.</w:t>
      </w:r>
    </w:p>
    <w:p>
      <w:pPr>
        <w:spacing w:before="0"/>
        <w:ind w:left="259" w:right="0" w:firstLine="0"/>
        <w:jc w:val="left"/>
        <w:rPr>
          <w:sz w:val="20"/>
        </w:rPr>
      </w:pPr>
      <w:r>
        <w:rPr>
          <w:sz w:val="20"/>
        </w:rPr>
        <w:t>Smith, J. R. 1996. Safflower. The American Oil Chemists Society.</w:t>
      </w:r>
    </w:p>
    <w:p>
      <w:pPr>
        <w:spacing w:line="237" w:lineRule="auto" w:before="2"/>
        <w:ind w:left="980" w:right="243" w:hanging="721"/>
        <w:jc w:val="both"/>
        <w:rPr>
          <w:sz w:val="20"/>
        </w:rPr>
      </w:pPr>
      <w:r>
        <w:rPr>
          <w:sz w:val="20"/>
        </w:rPr>
        <w:t>Soliva, C. R., I. K. Hindrichsen, L. Meile, M. Kreuzer, and A. Machmuller. 2003. Effects of mixtures of lauric and myristic acid on rumen methanogens and methanogenesis in vitro. Letters in  applied microbiology 37:</w:t>
      </w:r>
      <w:r>
        <w:rPr>
          <w:spacing w:val="-16"/>
          <w:sz w:val="20"/>
        </w:rPr>
        <w:t> </w:t>
      </w:r>
      <w:r>
        <w:rPr>
          <w:sz w:val="20"/>
        </w:rPr>
        <w:t>35-39.</w:t>
      </w:r>
    </w:p>
    <w:p>
      <w:pPr>
        <w:spacing w:after="0" w:line="237" w:lineRule="auto"/>
        <w:jc w:val="both"/>
        <w:rPr>
          <w:sz w:val="20"/>
        </w:rPr>
        <w:sectPr>
          <w:pgSz w:w="12240" w:h="15840"/>
          <w:pgMar w:header="684" w:footer="1184" w:top="1380" w:bottom="1380" w:left="1440" w:right="1460"/>
        </w:sectPr>
      </w:pPr>
    </w:p>
    <w:p>
      <w:pPr>
        <w:pStyle w:val="BodyText"/>
        <w:spacing w:before="11"/>
        <w:rPr>
          <w:sz w:val="14"/>
        </w:rPr>
      </w:pPr>
    </w:p>
    <w:p>
      <w:pPr>
        <w:spacing w:before="74"/>
        <w:ind w:left="980" w:right="247" w:hanging="721"/>
        <w:jc w:val="both"/>
        <w:rPr>
          <w:sz w:val="20"/>
        </w:rPr>
      </w:pPr>
      <w:r>
        <w:rPr>
          <w:sz w:val="20"/>
        </w:rPr>
        <w:t>Soliva, C. R., L. Meile, I. K. Hindrichsen, M. Kreuzer, and A. Machmuller. 2004. Myristic acid supports the immediate inhibitory effect of lauric acid on ruminal methanogens and methane release. Anaerobe 10: 269-276.</w:t>
      </w:r>
    </w:p>
    <w:p>
      <w:pPr>
        <w:spacing w:before="1"/>
        <w:ind w:left="980" w:right="237" w:hanging="721"/>
        <w:jc w:val="both"/>
        <w:rPr>
          <w:sz w:val="20"/>
        </w:rPr>
      </w:pPr>
      <w:r>
        <w:rPr>
          <w:sz w:val="20"/>
        </w:rPr>
        <w:t>Souilah, R. et al. 2014. In vitro starch digestion in sorghum flour from Algerian cultivars. Food Science &amp; Nutrition 2: 251-259.</w:t>
      </w:r>
    </w:p>
    <w:p>
      <w:pPr>
        <w:spacing w:line="240" w:lineRule="auto" w:before="0"/>
        <w:ind w:left="980" w:right="237" w:hanging="721"/>
        <w:jc w:val="both"/>
        <w:rPr>
          <w:sz w:val="20"/>
        </w:rPr>
      </w:pPr>
      <w:r>
        <w:rPr>
          <w:sz w:val="20"/>
        </w:rPr>
        <w:t>Speck-Planche, A., V. V. Kleandrova, and M. N. Cordeiro. 2013a. New insights toward the discovery of antibacterial agents: multi-tasking QSBER model for the simultaneous prediction of anti- tuberculosis activity and toxicological profiles of drugs. European journal of pharmaceutical sciences : official journal of the European Federation for Pharmaceutical Sciences 48: 812-818.</w:t>
      </w:r>
    </w:p>
    <w:p>
      <w:pPr>
        <w:spacing w:line="240" w:lineRule="auto" w:before="0"/>
        <w:ind w:left="980" w:right="236" w:hanging="721"/>
        <w:jc w:val="both"/>
        <w:rPr>
          <w:sz w:val="20"/>
        </w:rPr>
      </w:pPr>
      <w:r>
        <w:rPr>
          <w:sz w:val="20"/>
        </w:rPr>
        <w:t>Speck-Planche, A., V. V. Kleandrova, F. Luan, and M. N. Cordeiro. 2012. Chemoinformatics in anti-cancer chemotherapy: multi-target QSAR model for the in silico discovery of anti-breast cancer agents. European journal of pharmaceutical sciences : official journal of the European Federation for Pharmaceutical Sciences 47: 273-279.</w:t>
      </w:r>
    </w:p>
    <w:p>
      <w:pPr>
        <w:spacing w:before="0"/>
        <w:ind w:left="980" w:right="235" w:hanging="721"/>
        <w:jc w:val="both"/>
        <w:rPr>
          <w:sz w:val="20"/>
        </w:rPr>
      </w:pPr>
      <w:r>
        <w:rPr>
          <w:sz w:val="20"/>
        </w:rPr>
        <w:t>Speck-Planche, A., V. V. Kleandrova, F. Luan, and M. N. Cordeiro. 2013b. Multi-target inhibitors for proteins associated with Alzheimer: in silico discovery using fragment-based descriptors. Current Alzheimer research 10: 117-124.</w:t>
      </w:r>
    </w:p>
    <w:p>
      <w:pPr>
        <w:spacing w:line="237" w:lineRule="auto" w:before="2"/>
        <w:ind w:left="980" w:right="233" w:hanging="721"/>
        <w:jc w:val="both"/>
        <w:rPr>
          <w:sz w:val="20"/>
        </w:rPr>
      </w:pPr>
      <w:r>
        <w:rPr>
          <w:sz w:val="20"/>
        </w:rPr>
        <w:t>Speck-Planche, A., V. V. Kleandrova, F. Luan, and M. N. Cordeiro. 2013c. Unified Multi-target Approach for the Rational in silico Design of Anti-bladder Cancer Agents. Anti-cancer agents in medicinal chemistry 13: 791-800.</w:t>
      </w:r>
    </w:p>
    <w:p>
      <w:pPr>
        <w:spacing w:before="1"/>
        <w:ind w:left="980" w:right="240" w:hanging="721"/>
        <w:jc w:val="both"/>
        <w:rPr>
          <w:sz w:val="20"/>
        </w:rPr>
      </w:pPr>
      <w:r>
        <w:rPr>
          <w:sz w:val="20"/>
        </w:rPr>
        <w:t>Stoffel, C. M., P. M. Crump, and L. </w:t>
      </w:r>
      <w:r>
        <w:rPr>
          <w:spacing w:val="-3"/>
          <w:sz w:val="20"/>
        </w:rPr>
        <w:t>E. </w:t>
      </w:r>
      <w:r>
        <w:rPr>
          <w:sz w:val="20"/>
        </w:rPr>
        <w:t>Armentano. 2015. Effect of dietary fatty acid supplements, varying  in fatty acid composition, on milk fat secretion in dairy cattle fed diets supplemented to less than 3% total fatty acids. J Dairy Sci 98:</w:t>
      </w:r>
      <w:r>
        <w:rPr>
          <w:spacing w:val="-21"/>
          <w:sz w:val="20"/>
        </w:rPr>
        <w:t> </w:t>
      </w:r>
      <w:r>
        <w:rPr>
          <w:sz w:val="20"/>
        </w:rPr>
        <w:t>431-442.</w:t>
      </w:r>
    </w:p>
    <w:p>
      <w:pPr>
        <w:spacing w:before="0"/>
        <w:ind w:left="980" w:right="247" w:hanging="721"/>
        <w:jc w:val="both"/>
        <w:rPr>
          <w:sz w:val="20"/>
        </w:rPr>
      </w:pPr>
      <w:r>
        <w:rPr>
          <w:sz w:val="20"/>
        </w:rPr>
        <w:t>Sudhamayee, K. G., B. Swathi, J. M. Reddy, and K. J. Reddy. 2004. Effect of different protein supplements on nutrient utilization in sheep. Indian Journal of Animal Nutrition 21: 34-35.</w:t>
      </w:r>
    </w:p>
    <w:p>
      <w:pPr>
        <w:spacing w:line="230" w:lineRule="exact" w:before="6"/>
        <w:ind w:left="980" w:right="242" w:hanging="721"/>
        <w:jc w:val="both"/>
        <w:rPr>
          <w:sz w:val="20"/>
        </w:rPr>
      </w:pPr>
      <w:r>
        <w:rPr>
          <w:sz w:val="20"/>
        </w:rPr>
        <w:t>Sun, P. et al. 2014. Lipid metabolism enzyme ACSVL3 supports glioblastoma stem cell maintenance and tumorigenicity. BMC cancer 14: 401.</w:t>
      </w:r>
    </w:p>
    <w:p>
      <w:pPr>
        <w:spacing w:before="0"/>
        <w:ind w:left="980" w:right="231" w:hanging="721"/>
        <w:jc w:val="both"/>
        <w:rPr>
          <w:sz w:val="20"/>
        </w:rPr>
      </w:pPr>
      <w:r>
        <w:rPr>
          <w:sz w:val="20"/>
        </w:rPr>
        <w:t>Tan, Z.-L. et al. 2002a. Effect of Dietary Structural to Nonstructural Carbohydrate Ratio on Rumen Degradability and Digestibility of Fiber Fractions of Wheat Straw in Sheep. Asian-Australasian Journal of Animal Sciences 15: 1591-1598.</w:t>
      </w:r>
    </w:p>
    <w:p>
      <w:pPr>
        <w:spacing w:line="237" w:lineRule="auto" w:before="2"/>
        <w:ind w:left="980" w:right="236" w:hanging="721"/>
        <w:jc w:val="both"/>
        <w:rPr>
          <w:sz w:val="20"/>
        </w:rPr>
      </w:pPr>
      <w:r>
        <w:rPr>
          <w:sz w:val="20"/>
        </w:rPr>
        <w:t>Tan, Z.-L. et al. 2002b. Effect of Dietary Structural to Nonstructural Carbohydrate Ratio on Rumen Degradability and Digestibility of Fiber Fractions of Wheat Straw in Sheep. Asian-Aust. J. Anim. Sci. 15: 1591-1598.</w:t>
      </w:r>
    </w:p>
    <w:p>
      <w:pPr>
        <w:spacing w:before="1"/>
        <w:ind w:left="980" w:right="237" w:hanging="721"/>
        <w:jc w:val="both"/>
        <w:rPr>
          <w:sz w:val="20"/>
        </w:rPr>
      </w:pPr>
      <w:r>
        <w:rPr>
          <w:sz w:val="20"/>
        </w:rPr>
        <w:t>Tang, S. X. et al. 2008. Effects of yeast culture and fibrolytic enzyme supplementation on in vitro fermentation characteristics of low-quality cereal straws. Journal of Animal Science 86: 1164- 1172.</w:t>
      </w:r>
    </w:p>
    <w:p>
      <w:pPr>
        <w:spacing w:before="0"/>
        <w:ind w:left="980" w:right="232" w:hanging="721"/>
        <w:jc w:val="both"/>
        <w:rPr>
          <w:sz w:val="20"/>
        </w:rPr>
      </w:pPr>
      <w:r>
        <w:rPr>
          <w:sz w:val="20"/>
        </w:rPr>
        <w:t>Tetko, I. V., and G. I. Poda. 2004. Application of ALOGPS 2.1 to predict log D distribution coefficient for Pfizer proprietary compounds. J Med Chem 47: 5601-5604.</w:t>
      </w:r>
    </w:p>
    <w:p>
      <w:pPr>
        <w:spacing w:line="237" w:lineRule="auto" w:before="2"/>
        <w:ind w:left="980" w:right="233" w:hanging="721"/>
        <w:jc w:val="both"/>
        <w:rPr>
          <w:sz w:val="20"/>
        </w:rPr>
      </w:pPr>
      <w:r>
        <w:rPr>
          <w:sz w:val="20"/>
        </w:rPr>
        <w:t>Tetko, I. V., V. Y. Tanchuk, T. N. Kasheva, and A. E. Villa. 2001. Internet software for the calculation of the lipophilicity and aqueous solubility of chemical compounds. J Chem Inf Comput Sci 41: 246- 252.</w:t>
      </w:r>
    </w:p>
    <w:p>
      <w:pPr>
        <w:spacing w:before="1"/>
        <w:ind w:left="980" w:right="246" w:hanging="721"/>
        <w:jc w:val="both"/>
        <w:rPr>
          <w:sz w:val="20"/>
        </w:rPr>
      </w:pPr>
      <w:r>
        <w:rPr>
          <w:sz w:val="20"/>
        </w:rPr>
        <w:t>Tjellström, H., M. Strawsine, J. Silva, </w:t>
      </w:r>
      <w:r>
        <w:rPr>
          <w:spacing w:val="-3"/>
          <w:sz w:val="20"/>
        </w:rPr>
        <w:t>E. </w:t>
      </w:r>
      <w:r>
        <w:rPr>
          <w:sz w:val="20"/>
        </w:rPr>
        <w:t>B. Cahoon, and J. B. Ohlrogge. 2013. Disruption of  plastid acyl:acyl carrier protein synthetases increases medium chain fatty acid accumulation in seeds of transgenic Arabidopsis. FEBS Letters 587:</w:t>
      </w:r>
      <w:r>
        <w:rPr>
          <w:spacing w:val="-32"/>
          <w:sz w:val="20"/>
        </w:rPr>
        <w:t> </w:t>
      </w:r>
      <w:r>
        <w:rPr>
          <w:sz w:val="20"/>
        </w:rPr>
        <w:t>936-942.</w:t>
      </w:r>
    </w:p>
    <w:p>
      <w:pPr>
        <w:spacing w:line="237" w:lineRule="auto" w:before="2"/>
        <w:ind w:left="980" w:right="237" w:hanging="721"/>
        <w:jc w:val="both"/>
        <w:rPr>
          <w:sz w:val="20"/>
        </w:rPr>
      </w:pPr>
      <w:r>
        <w:rPr>
          <w:sz w:val="20"/>
        </w:rPr>
        <w:t>Torok, V. A., N. J. Percy, P. J. Moate, and K. Ophel-Keller. 2014. Influence of dietary docosahexaenoic acid supplementation on the overall rumen microbiota of dairy cows and linkages with production parameters. Canadian journal of microbiology 60: 267-275.</w:t>
      </w:r>
    </w:p>
    <w:p>
      <w:pPr>
        <w:spacing w:before="1"/>
        <w:ind w:left="259" w:right="0" w:firstLine="0"/>
        <w:jc w:val="left"/>
        <w:rPr>
          <w:sz w:val="20"/>
        </w:rPr>
      </w:pPr>
      <w:r>
        <w:rPr>
          <w:sz w:val="20"/>
        </w:rPr>
        <w:t>Toropov, A. A., and E. Benfenati. 2007. SMILES in QSPR/QSAR Modeling: results and perspectives.</w:t>
      </w:r>
    </w:p>
    <w:p>
      <w:pPr>
        <w:spacing w:before="0"/>
        <w:ind w:left="980" w:right="0" w:firstLine="0"/>
        <w:jc w:val="left"/>
        <w:rPr>
          <w:sz w:val="20"/>
        </w:rPr>
      </w:pPr>
      <w:r>
        <w:rPr>
          <w:sz w:val="20"/>
        </w:rPr>
        <w:t>Current drug discovery technologies 4: 77-116.</w:t>
      </w:r>
    </w:p>
    <w:p>
      <w:pPr>
        <w:spacing w:before="0"/>
        <w:ind w:left="980" w:right="231" w:hanging="721"/>
        <w:jc w:val="both"/>
        <w:rPr>
          <w:sz w:val="20"/>
        </w:rPr>
      </w:pPr>
      <w:r>
        <w:rPr>
          <w:sz w:val="20"/>
        </w:rPr>
        <w:t>Tripathi, M. K., and A. S. Mishra. 2007. Glucosinolates in animal nutrition: A review. Animal Feed Science and Technology 132: 1-27.</w:t>
      </w:r>
    </w:p>
    <w:p>
      <w:pPr>
        <w:spacing w:line="230" w:lineRule="exact" w:before="6"/>
        <w:ind w:left="980" w:right="242" w:hanging="721"/>
        <w:jc w:val="both"/>
        <w:rPr>
          <w:sz w:val="20"/>
        </w:rPr>
      </w:pPr>
      <w:r>
        <w:rPr>
          <w:sz w:val="20"/>
        </w:rPr>
        <w:t>Ueda, K. et al. 2003. Effect of linseed oil supplementation on ruminal digestion in dairy cows fed diets with different forage:concentrate ratios. J Dairy Sci 86: 3999-4007.</w:t>
      </w:r>
    </w:p>
    <w:p>
      <w:pPr>
        <w:spacing w:before="0"/>
        <w:ind w:left="980" w:right="239" w:hanging="721"/>
        <w:jc w:val="both"/>
        <w:rPr>
          <w:sz w:val="20"/>
        </w:rPr>
      </w:pPr>
      <w:r>
        <w:rPr>
          <w:sz w:val="20"/>
        </w:rPr>
        <w:t>Ushida, K., and J. P. Jouany. 1996. Methane production associated with rumen-ciliated protozoa and its effect on protozoan activity. Letters in applied microbiology 23: 129-132.</w:t>
      </w:r>
    </w:p>
    <w:p>
      <w:pPr>
        <w:spacing w:after="0"/>
        <w:jc w:val="both"/>
        <w:rPr>
          <w:sz w:val="20"/>
        </w:rPr>
        <w:sectPr>
          <w:pgSz w:w="12240" w:h="15840"/>
          <w:pgMar w:header="684" w:footer="1184" w:top="1380" w:bottom="1380" w:left="1440" w:right="1460"/>
        </w:sectPr>
      </w:pPr>
    </w:p>
    <w:p>
      <w:pPr>
        <w:pStyle w:val="BodyText"/>
        <w:spacing w:before="11"/>
        <w:rPr>
          <w:sz w:val="14"/>
        </w:rPr>
      </w:pPr>
    </w:p>
    <w:p>
      <w:pPr>
        <w:spacing w:before="74"/>
        <w:ind w:left="980" w:right="237" w:hanging="721"/>
        <w:jc w:val="both"/>
        <w:rPr>
          <w:sz w:val="20"/>
        </w:rPr>
      </w:pPr>
      <w:r>
        <w:rPr>
          <w:sz w:val="20"/>
        </w:rPr>
        <w:t>Valentin, S. F., P. E. V. Williams, J. M. Forbes, and D. Sauvant. 1999. Comparison of the in vitro gas production technique and the nylon bag degradability technique to measure short- and long- term processes of degradation of maize silage in dairy cows. Animal Feed Science and Technology 78: 81-99.</w:t>
      </w:r>
    </w:p>
    <w:p>
      <w:pPr>
        <w:spacing w:line="237" w:lineRule="auto" w:before="2"/>
        <w:ind w:left="980" w:right="233" w:hanging="721"/>
        <w:jc w:val="both"/>
        <w:rPr>
          <w:sz w:val="20"/>
        </w:rPr>
      </w:pPr>
      <w:r>
        <w:rPr>
          <w:sz w:val="20"/>
        </w:rPr>
        <w:t>van de Vossenberg, J. L., and K. N. Joblin. 2003. Biohydrogenation of C18 unsaturated fatty acids to stearic acid by a strain of Butyrivibrio hungatei from the bovine rumen. Letters in applied microbiology 37: 424-428.</w:t>
      </w:r>
    </w:p>
    <w:p>
      <w:pPr>
        <w:spacing w:before="1"/>
        <w:ind w:left="980" w:right="241" w:hanging="721"/>
        <w:jc w:val="both"/>
        <w:rPr>
          <w:sz w:val="20"/>
        </w:rPr>
      </w:pPr>
      <w:r>
        <w:rPr>
          <w:sz w:val="20"/>
        </w:rPr>
        <w:t>van der Vusse, G. J., J. F. Glatz, H. C. Stam, and R. S. Reneman. 1992. Fatty acid homeostasis in the normoxic and ischemic heart.</w:t>
      </w:r>
    </w:p>
    <w:p>
      <w:pPr>
        <w:spacing w:before="0"/>
        <w:ind w:left="259" w:right="0" w:firstLine="0"/>
        <w:jc w:val="left"/>
        <w:rPr>
          <w:sz w:val="20"/>
        </w:rPr>
      </w:pPr>
      <w:r>
        <w:rPr>
          <w:sz w:val="20"/>
        </w:rPr>
        <w:t>Varga, G. A., and E. S. Kolver. 1997. Microbial and animal limitations to fiber digestion and utilization.</w:t>
      </w:r>
    </w:p>
    <w:p>
      <w:pPr>
        <w:spacing w:before="1"/>
        <w:ind w:left="980" w:right="0" w:firstLine="0"/>
        <w:jc w:val="left"/>
        <w:rPr>
          <w:sz w:val="20"/>
        </w:rPr>
      </w:pPr>
      <w:r>
        <w:rPr>
          <w:sz w:val="20"/>
        </w:rPr>
        <w:t>Journal of Nutrition 127: 819S-823S.</w:t>
      </w:r>
    </w:p>
    <w:p>
      <w:pPr>
        <w:spacing w:line="230" w:lineRule="exact" w:before="6"/>
        <w:ind w:left="980" w:right="231" w:hanging="721"/>
        <w:jc w:val="both"/>
        <w:rPr>
          <w:sz w:val="20"/>
        </w:rPr>
      </w:pPr>
      <w:r>
        <w:rPr>
          <w:sz w:val="20"/>
        </w:rPr>
        <w:t>Varnek, A., and I. I. Baskin. 2011. Chemoinformatics as a Theoretical Chemistry Discipline. Molecular Informatics 30: 20-32.</w:t>
      </w:r>
    </w:p>
    <w:p>
      <w:pPr>
        <w:spacing w:before="0"/>
        <w:ind w:left="980" w:right="251" w:hanging="721"/>
        <w:jc w:val="both"/>
        <w:rPr>
          <w:sz w:val="20"/>
        </w:rPr>
      </w:pPr>
      <w:r>
        <w:rPr>
          <w:sz w:val="20"/>
        </w:rPr>
        <w:t>Vartak, N. et al. 2014. The autodepalmitoylating activity of APT maintains the spatial organization of palmitoylated membrane proteins. Biophysical journal 106: 93-105.</w:t>
      </w:r>
    </w:p>
    <w:p>
      <w:pPr>
        <w:spacing w:before="0"/>
        <w:ind w:left="980" w:right="237" w:hanging="721"/>
        <w:jc w:val="both"/>
        <w:rPr>
          <w:sz w:val="20"/>
        </w:rPr>
      </w:pPr>
      <w:r>
        <w:rPr>
          <w:sz w:val="20"/>
        </w:rPr>
        <w:t>Vasta, V. et al. 2010. Bacterial and Protozoal Communities and Fatty Acid Profile in the Rumen of Sheep Fed a Diet Containing Added Tannins. Applied and Environmental Microbiology 76: 2549- 2555.</w:t>
      </w:r>
    </w:p>
    <w:p>
      <w:pPr>
        <w:spacing w:line="240" w:lineRule="auto" w:before="0"/>
        <w:ind w:left="980" w:right="243" w:hanging="721"/>
        <w:jc w:val="both"/>
        <w:rPr>
          <w:sz w:val="20"/>
        </w:rPr>
      </w:pPr>
      <w:r>
        <w:rPr>
          <w:sz w:val="20"/>
        </w:rPr>
        <w:t>Veldink, J. H. et al. 2007. Intake of polyunsaturated fatty acids and vitamin E reduces the risk of developing amyotrophic lateral sclerosis. Journal of Neurology, Neurosurgery &amp; Psychiatry 78: 367-371.</w:t>
      </w:r>
    </w:p>
    <w:p>
      <w:pPr>
        <w:spacing w:before="0"/>
        <w:ind w:left="980" w:right="246" w:hanging="721"/>
        <w:jc w:val="both"/>
        <w:rPr>
          <w:sz w:val="20"/>
        </w:rPr>
      </w:pPr>
      <w:r>
        <w:rPr>
          <w:sz w:val="20"/>
        </w:rPr>
        <w:t>Vidal, D., M. Thormann, and M. Pons. 2005. LINGO, an efficient holographic text based method to calculate biophysical properties and intermolecular similarities. J Chem Inf Model 45: 386-393.</w:t>
      </w:r>
    </w:p>
    <w:p>
      <w:pPr>
        <w:spacing w:before="0"/>
        <w:ind w:left="259" w:right="0" w:firstLine="0"/>
        <w:jc w:val="left"/>
        <w:rPr>
          <w:sz w:val="20"/>
        </w:rPr>
      </w:pPr>
      <w:r>
        <w:rPr>
          <w:sz w:val="20"/>
        </w:rPr>
        <w:t>von Eckardstein, A., and I. Ahrens. 2005. Atherosclerosis: Diet and Drugs. Springer.</w:t>
      </w:r>
    </w:p>
    <w:p>
      <w:pPr>
        <w:spacing w:line="230" w:lineRule="exact" w:before="6"/>
        <w:ind w:left="980" w:right="243" w:hanging="721"/>
        <w:jc w:val="both"/>
        <w:rPr>
          <w:sz w:val="20"/>
        </w:rPr>
      </w:pPr>
      <w:r>
        <w:rPr>
          <w:sz w:val="20"/>
        </w:rPr>
        <w:t>Walli, T. K. 2005a. Bypass protein technology and the impact of feeding bypass protein to dairy animals in the tropics: a review. The Indian Journal of Animal Sciences 75: 135-142.</w:t>
      </w:r>
    </w:p>
    <w:p>
      <w:pPr>
        <w:spacing w:before="0"/>
        <w:ind w:left="980" w:right="242" w:hanging="721"/>
        <w:jc w:val="both"/>
        <w:rPr>
          <w:sz w:val="20"/>
        </w:rPr>
      </w:pPr>
      <w:r>
        <w:rPr>
          <w:sz w:val="20"/>
        </w:rPr>
        <w:t>Walli, T. K. 2005b. Bypass protein technology and the impact of feeding bypass protein to dairy animals in the tropics: a review. Indian J. Anim. Sci. 75: 135-142.</w:t>
      </w:r>
    </w:p>
    <w:p>
      <w:pPr>
        <w:spacing w:before="0"/>
        <w:ind w:left="980" w:right="238" w:hanging="721"/>
        <w:jc w:val="both"/>
        <w:rPr>
          <w:sz w:val="20"/>
        </w:rPr>
      </w:pPr>
      <w:r>
        <w:rPr>
          <w:sz w:val="20"/>
        </w:rPr>
        <w:t>Wang, M., X. Z. Sun, S. X. Tang, Z. L. Tan, and D. Pacheco. 2013. Deriving fractional rate of degradation of logistic-exponential (LE) model to evaluate early in vitro fermentation. Animal 7: 920-929.</w:t>
      </w:r>
    </w:p>
    <w:p>
      <w:pPr>
        <w:spacing w:line="237" w:lineRule="auto" w:before="2"/>
        <w:ind w:left="980" w:right="238" w:hanging="721"/>
        <w:jc w:val="both"/>
        <w:rPr>
          <w:sz w:val="20"/>
        </w:rPr>
      </w:pPr>
      <w:r>
        <w:rPr>
          <w:sz w:val="20"/>
        </w:rPr>
        <w:t>Wang, M., S. X. Tang, and Z. L. Tan. 2011. Modeling in vitro gas production kinetics: Derivation of Logistic–Exponential (LE) equations and comparison of models. Animal Feed Science and Technology 165: 137-150.</w:t>
      </w:r>
    </w:p>
    <w:p>
      <w:pPr>
        <w:spacing w:before="1"/>
        <w:ind w:left="980" w:right="235" w:hanging="721"/>
        <w:jc w:val="both"/>
        <w:rPr>
          <w:sz w:val="20"/>
        </w:rPr>
      </w:pPr>
      <w:r>
        <w:rPr>
          <w:sz w:val="20"/>
        </w:rPr>
        <w:t>Wilde, P. F., and R. M. Dawson. 1966. The biohydrogenation of alpha-linolenic acid and oleic acid by rumen micro-organisms. Biochemical Journal 98: 469-475.</w:t>
      </w:r>
    </w:p>
    <w:p>
      <w:pPr>
        <w:spacing w:before="0"/>
        <w:ind w:left="980" w:right="244" w:hanging="721"/>
        <w:jc w:val="both"/>
        <w:rPr>
          <w:sz w:val="20"/>
        </w:rPr>
      </w:pPr>
      <w:r>
        <w:rPr>
          <w:sz w:val="20"/>
        </w:rPr>
        <w:t>Wulf, M., and K. H. Südekum. 2005. Effects of chemically treated soybeans and expeller rapeseed meal on in vivo and in situ crude fat and crude protein disappearance from the rumen. Animal Feed Science and Technology 118: 215-227.</w:t>
      </w:r>
    </w:p>
    <w:p>
      <w:pPr>
        <w:spacing w:line="240" w:lineRule="auto" w:before="0"/>
        <w:ind w:left="980" w:right="239" w:hanging="721"/>
        <w:jc w:val="both"/>
        <w:rPr>
          <w:sz w:val="20"/>
        </w:rPr>
      </w:pPr>
      <w:r>
        <w:rPr>
          <w:sz w:val="20"/>
        </w:rPr>
        <w:t>Yamada, D., J. Takeo, P. Koppensteiner, K. Wada, and M. Sekiguchi. 2014. Modulation of fear memory by dietary polyunsaturated fatty acids via cannabinoid receptors. Neuropsychopharmacology : official publication of the American College of Neuropsychopharmacology 39: 1852-1860.</w:t>
      </w:r>
    </w:p>
    <w:p>
      <w:pPr>
        <w:spacing w:before="0"/>
        <w:ind w:left="980" w:right="241" w:hanging="721"/>
        <w:jc w:val="both"/>
        <w:rPr>
          <w:sz w:val="20"/>
        </w:rPr>
      </w:pPr>
      <w:r>
        <w:rPr>
          <w:sz w:val="20"/>
        </w:rPr>
        <w:t>Yamashita, A., </w:t>
      </w:r>
      <w:r>
        <w:rPr>
          <w:spacing w:val="-3"/>
          <w:sz w:val="20"/>
        </w:rPr>
        <w:t>T. </w:t>
      </w:r>
      <w:r>
        <w:rPr>
          <w:sz w:val="20"/>
        </w:rPr>
        <w:t>Sugiura, and K. Waku. 1997. Acyltransferases and Transacylases Involved in Fatty Acid Remodeling of Phospholipids and Metabolism of Bioactive Lipids in Mammalian Cells. Journal  of Biochemistry 122:</w:t>
      </w:r>
      <w:r>
        <w:rPr>
          <w:spacing w:val="-11"/>
          <w:sz w:val="20"/>
        </w:rPr>
        <w:t> </w:t>
      </w:r>
      <w:r>
        <w:rPr>
          <w:sz w:val="20"/>
        </w:rPr>
        <w:t>1-16.</w:t>
      </w:r>
    </w:p>
    <w:p>
      <w:pPr>
        <w:spacing w:line="237" w:lineRule="auto" w:before="2"/>
        <w:ind w:left="980" w:right="238" w:hanging="721"/>
        <w:jc w:val="both"/>
        <w:rPr>
          <w:sz w:val="20"/>
        </w:rPr>
      </w:pPr>
      <w:r>
        <w:rPr>
          <w:sz w:val="20"/>
        </w:rPr>
        <w:t>Yuan, Z. Q. et al. 2010. Effects of dietary supplementation with alkyl polyglycoside, a  nonionic  surfactant, on nutrient digestion and ruminal fermentation in goats. Journal of Animal Science 88: 3984-3991.</w:t>
      </w:r>
    </w:p>
    <w:p>
      <w:pPr>
        <w:spacing w:before="1"/>
        <w:ind w:left="980" w:right="237" w:hanging="721"/>
        <w:jc w:val="both"/>
        <w:rPr>
          <w:sz w:val="20"/>
        </w:rPr>
      </w:pPr>
      <w:r>
        <w:rPr>
          <w:sz w:val="20"/>
        </w:rPr>
        <w:t>Zerbini, E., C. T. Krishan, X. V. A. Victor, and A. Sharma. 2002. Composition and in vitro gas production of whole stems and cell walls of different genotypes of pearl millet and sorghum. Animal Feed Science and Technology 98: 73-85.</w:t>
      </w:r>
    </w:p>
    <w:sectPr>
      <w:pgSz w:w="12240" w:h="15840"/>
      <w:pgMar w:header="684" w:footer="1184" w:top="1380" w:bottom="1380" w:left="1440" w:right="1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Calibri">
    <w:altName w:val="Calibri"/>
    <w:charset w:val="0"/>
    <w:family w:val="swiss"/>
    <w:pitch w:val="variable"/>
  </w:font>
  <w:font w:name="Tahoma">
    <w:altName w:val="Tahoma"/>
    <w:charset w:val="0"/>
    <w:family w:val="swiss"/>
    <w:pitch w:val="variable"/>
  </w:font>
  <w:font w:name="Cambria Math">
    <w:altName w:val="Cambria Math"/>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5pt;margin-top:651.624023pt;width:290.850pt;height:28.2pt;mso-position-horizontal-relative:page;mso-position-vertical-relative:page;z-index:-331216" type="#_x0000_t202" filled="false" stroked="false">
          <v:textbox inset="0,0,0,0">
            <w:txbxContent>
              <w:p>
                <w:pPr>
                  <w:spacing w:line="242" w:lineRule="auto" w:before="0"/>
                  <w:ind w:left="2195" w:right="-5" w:hanging="2176"/>
                  <w:jc w:val="left"/>
                  <w:rPr>
                    <w:b/>
                    <w:sz w:val="24"/>
                  </w:rPr>
                </w:pPr>
                <w:r>
                  <w:rPr>
                    <w:b/>
                    <w:sz w:val="24"/>
                  </w:rPr>
                  <w:t>El Cerrillo Piedras Blancas, Toluca, Estado de México Agosto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79993pt;margin-top:721.799927pt;width:20.1pt;height:14pt;mso-position-horizontal-relative:page;mso-position-vertical-relative:page;z-index:-33112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26001pt;margin-top:721.799927pt;width:22pt;height:14pt;mso-position-horizontal-relative:page;mso-position-vertical-relative:page;z-index:-329896" type="#_x0000_t202" filled="false" stroked="false">
          <v:textbox inset="0,0,0,0">
            <w:txbxContent>
              <w:p>
                <w:pPr>
                  <w:pStyle w:val="BodyText"/>
                  <w:spacing w:line="265" w:lineRule="exact"/>
                  <w:ind w:left="40" w:right="-18"/>
                  <w:rPr>
                    <w:rFonts w:ascii="Times New Roman"/>
                  </w:rPr>
                </w:pPr>
                <w:r>
                  <w:rPr/>
                  <w:fldChar w:fldCharType="begin"/>
                </w:r>
                <w:r>
                  <w:rPr>
                    <w:rFonts w:ascii="Times New Roman"/>
                  </w:rPr>
                  <w:instrText> PAGE </w:instrText>
                </w:r>
                <w:r>
                  <w:rPr/>
                  <w:fldChar w:fldCharType="separate"/>
                </w:r>
                <w:r>
                  <w:rPr/>
                  <w:t>121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900024pt;margin-top:721.799927pt;width:13.4pt;height:14pt;mso-position-horizontal-relative:page;mso-position-vertical-relative:page;z-index:-3310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26001pt;margin-top:721.799927pt;width:16pt;height:14pt;mso-position-horizontal-relative:page;mso-position-vertical-relative:page;z-index:-33107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26001pt;margin-top:721.799927pt;width:16pt;height:14pt;mso-position-horizontal-relative:page;mso-position-vertical-relative:page;z-index:-3309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83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6001pt;margin-top:721.799927pt;width:20pt;height:14pt;mso-position-horizontal-relative:page;mso-position-vertical-relative:page;z-index:-33095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26001pt;margin-top:721.799927pt;width:22pt;height:14pt;mso-position-horizontal-relative:page;mso-position-vertical-relative:page;z-index:-330928" type="#_x0000_t202" filled="false" stroked="false">
          <v:textbox inset="0,0,0,0">
            <w:txbxContent>
              <w:p>
                <w:pPr>
                  <w:pStyle w:val="BodyText"/>
                  <w:spacing w:line="265" w:lineRule="exact"/>
                  <w:ind w:left="40" w:right="-18"/>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02.110001pt;margin-top:106.537903pt;width:333.25pt;height:48.85pt;mso-position-horizontal-relative:page;mso-position-vertical-relative:page;z-index:-331240" type="#_x0000_t202" filled="false" stroked="false">
          <v:textbox inset="0,0,0,0">
            <w:txbxContent>
              <w:p>
                <w:pPr>
                  <w:spacing w:line="308" w:lineRule="exact" w:before="0"/>
                  <w:ind w:left="0" w:right="0" w:firstLine="0"/>
                  <w:jc w:val="center"/>
                  <w:rPr>
                    <w:b/>
                    <w:sz w:val="28"/>
                  </w:rPr>
                </w:pPr>
                <w:r>
                  <w:rPr>
                    <w:b/>
                    <w:sz w:val="28"/>
                  </w:rPr>
                  <w:t>UNIVERSIDAD AUTONÓMA DEL ESTADO DE MÉXICO</w:t>
                </w:r>
              </w:p>
              <w:p>
                <w:pPr>
                  <w:spacing w:before="3"/>
                  <w:ind w:left="69" w:right="0" w:firstLine="0"/>
                  <w:jc w:val="center"/>
                  <w:rPr>
                    <w:b/>
                    <w:sz w:val="28"/>
                  </w:rPr>
                </w:pPr>
                <w:r>
                  <w:rPr>
                    <w:b/>
                    <w:sz w:val="28"/>
                  </w:rPr>
                  <w:t>DOCTORADO EN CIENCIAS AGROPECUARIAS Y RECURSOS NATURALES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472"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448"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424"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400"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376"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352"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328"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304"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280"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256"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232"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208"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184"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160"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136"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112"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088"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064"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040"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016"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29992"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29968"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29944"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29920"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29872"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29848" type="#_x0000_t202" filled="false" stroked="false">
          <v:textbox inset="0,0,0,0">
            <w:txbxContent>
              <w:p>
                <w:pPr>
                  <w:spacing w:line="223" w:lineRule="exact" w:before="0"/>
                  <w:ind w:left="0" w:right="22" w:firstLine="0"/>
                  <w:jc w:val="right"/>
                  <w:rPr>
                    <w:rFonts w:ascii="Times New Roman" w:hAnsi="Times New Roman"/>
                    <w:b/>
                    <w:i/>
                    <w:sz w:val="20"/>
                  </w:rPr>
                </w:pPr>
                <w:r>
                  <w:rPr>
                    <w:rFonts w:ascii="Times New Roman" w:hAnsi="Times New Roman"/>
                    <w:b/>
                    <w:i/>
                    <w:color w:val="171717"/>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29824"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1192"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09.93pt;margin-top:39.148888pt;width:361.95pt;height:23.4pt;mso-position-horizontal-relative:page;mso-position-vertical-relative:page;z-index:-331168" type="#_x0000_t202" filled="false" stroked="false">
          <v:textbox inset="0,0,0,0">
            <w:txbxContent>
              <w:p>
                <w:pPr>
                  <w:spacing w:line="223" w:lineRule="exact" w:before="0"/>
                  <w:ind w:left="0" w:right="21"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1144"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1048"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1024"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1000"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904"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880"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856"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832"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808"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784"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760"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736"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712"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688"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664"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640"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616"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592"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568"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77.424004pt;margin-top:34.200001pt;width:456.45pt;height:34.85pt;mso-position-horizontal-relative:page;mso-position-vertical-relative:page;z-index:-330544" coordorigin="1548,684" coordsize="9129,697">
          <v:line style="position:absolute" from="1570,1337" to="9503,1337" stroked="true" strokeweight="2.16pt" strokecolor="#808080"/>
          <v:line style="position:absolute" from="9525,706" to="9525,1359" stroked="true" strokeweight="2.16pt" strokecolor="#808080"/>
          <v:line style="position:absolute" from="9546,1337" to="10655,1337" stroked="true" strokeweight="2.16pt" strokecolor="#808080"/>
          <w10:wrap type="none"/>
        </v:group>
      </w:pict>
    </w:r>
    <w:r>
      <w:rPr/>
      <w:pict>
        <v:shape style="position:absolute;margin-left:112.330002pt;margin-top:39.148888pt;width:359.55pt;height:23.4pt;mso-position-horizontal-relative:page;mso-position-vertical-relative:page;z-index:-330520" type="#_x0000_t202" filled="false" stroked="false">
          <v:textbox inset="0,0,0,0">
            <w:txbxContent>
              <w:p>
                <w:pPr>
                  <w:spacing w:line="223" w:lineRule="exact" w:before="0"/>
                  <w:ind w:left="0" w:right="27" w:firstLine="0"/>
                  <w:jc w:val="right"/>
                  <w:rPr>
                    <w:rFonts w:ascii="Times New Roman" w:hAnsi="Times New Roman"/>
                    <w:b/>
                    <w:i/>
                    <w:sz w:val="20"/>
                  </w:rPr>
                </w:pPr>
                <w:r>
                  <w:rPr>
                    <w:rFonts w:ascii="Times New Roman" w:hAnsi="Times New Roman"/>
                    <w:b/>
                    <w:i/>
                    <w:sz w:val="20"/>
                  </w:rPr>
                  <w:t>El efecto de los aceites de  oleaginosas en rumen en el sistema de fermentación in vitro</w:t>
                </w:r>
              </w:p>
              <w:p>
                <w:pPr>
                  <w:spacing w:line="228" w:lineRule="exact" w:before="0"/>
                  <w:ind w:left="0" w:right="18" w:firstLine="0"/>
                  <w:jc w:val="right"/>
                  <w:rPr>
                    <w:rFonts w:ascii="Times New Roman"/>
                    <w:b/>
                    <w:i/>
                    <w:sz w:val="20"/>
                  </w:rPr>
                </w:pPr>
                <w:r>
                  <w:rPr>
                    <w:rFonts w:ascii="Times New Roman"/>
                    <w:b/>
                    <w:i/>
                    <w:color w:val="171717"/>
                    <w:sz w:val="20"/>
                  </w:rPr>
                  <w:t>Yong Liu</w:t>
                </w:r>
              </w:p>
            </w:txbxContent>
          </v:textbox>
          <w10:wrap type="none"/>
        </v:shape>
      </w:pict>
    </w:r>
    <w:r>
      <w:rPr/>
      <w:pict>
        <v:shape style="position:absolute;margin-left:481.109985pt;margin-top:40.351078pt;width:44.6pt;height:20pt;mso-position-horizontal-relative:page;mso-position-vertical-relative:page;z-index:-330496" type="#_x0000_t202" filled="false" stroked="false">
          <v:textbox inset="0,0,0,0">
            <w:txbxContent>
              <w:p>
                <w:pPr>
                  <w:spacing w:line="392" w:lineRule="exact" w:before="0"/>
                  <w:ind w:left="20" w:right="-1" w:firstLine="0"/>
                  <w:jc w:val="left"/>
                  <w:rPr>
                    <w:b/>
                    <w:sz w:val="36"/>
                  </w:rPr>
                </w:pPr>
                <w:r>
                  <w:rPr>
                    <w:b/>
                    <w:sz w:val="36"/>
                  </w:rPr>
                  <w:t>2015</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bullet"/>
      <w:lvlText w:val=""/>
      <w:lvlJc w:val="left"/>
      <w:pPr>
        <w:ind w:left="1713" w:hanging="312"/>
      </w:pPr>
      <w:rPr>
        <w:rFonts w:hint="default" w:ascii="Symbol" w:hAnsi="Symbol" w:eastAsia="Symbol" w:cs="Symbol"/>
        <w:w w:val="115"/>
        <w:sz w:val="22"/>
        <w:szCs w:val="22"/>
      </w:rPr>
    </w:lvl>
    <w:lvl w:ilvl="1">
      <w:start w:val="1"/>
      <w:numFmt w:val="bullet"/>
      <w:lvlText w:val="•"/>
      <w:lvlJc w:val="left"/>
      <w:pPr>
        <w:ind w:left="1866" w:hanging="312"/>
      </w:pPr>
      <w:rPr>
        <w:rFonts w:hint="default"/>
      </w:rPr>
    </w:lvl>
    <w:lvl w:ilvl="2">
      <w:start w:val="1"/>
      <w:numFmt w:val="bullet"/>
      <w:lvlText w:val="•"/>
      <w:lvlJc w:val="left"/>
      <w:pPr>
        <w:ind w:left="2012" w:hanging="312"/>
      </w:pPr>
      <w:rPr>
        <w:rFonts w:hint="default"/>
      </w:rPr>
    </w:lvl>
    <w:lvl w:ilvl="3">
      <w:start w:val="1"/>
      <w:numFmt w:val="bullet"/>
      <w:lvlText w:val="•"/>
      <w:lvlJc w:val="left"/>
      <w:pPr>
        <w:ind w:left="2158" w:hanging="312"/>
      </w:pPr>
      <w:rPr>
        <w:rFonts w:hint="default"/>
      </w:rPr>
    </w:lvl>
    <w:lvl w:ilvl="4">
      <w:start w:val="1"/>
      <w:numFmt w:val="bullet"/>
      <w:lvlText w:val="•"/>
      <w:lvlJc w:val="left"/>
      <w:pPr>
        <w:ind w:left="2304" w:hanging="312"/>
      </w:pPr>
      <w:rPr>
        <w:rFonts w:hint="default"/>
      </w:rPr>
    </w:lvl>
    <w:lvl w:ilvl="5">
      <w:start w:val="1"/>
      <w:numFmt w:val="bullet"/>
      <w:lvlText w:val="•"/>
      <w:lvlJc w:val="left"/>
      <w:pPr>
        <w:ind w:left="2450" w:hanging="312"/>
      </w:pPr>
      <w:rPr>
        <w:rFonts w:hint="default"/>
      </w:rPr>
    </w:lvl>
    <w:lvl w:ilvl="6">
      <w:start w:val="1"/>
      <w:numFmt w:val="bullet"/>
      <w:lvlText w:val="•"/>
      <w:lvlJc w:val="left"/>
      <w:pPr>
        <w:ind w:left="2596" w:hanging="312"/>
      </w:pPr>
      <w:rPr>
        <w:rFonts w:hint="default"/>
      </w:rPr>
    </w:lvl>
    <w:lvl w:ilvl="7">
      <w:start w:val="1"/>
      <w:numFmt w:val="bullet"/>
      <w:lvlText w:val="•"/>
      <w:lvlJc w:val="left"/>
      <w:pPr>
        <w:ind w:left="2742" w:hanging="312"/>
      </w:pPr>
      <w:rPr>
        <w:rFonts w:hint="default"/>
      </w:rPr>
    </w:lvl>
    <w:lvl w:ilvl="8">
      <w:start w:val="1"/>
      <w:numFmt w:val="bullet"/>
      <w:lvlText w:val="•"/>
      <w:lvlJc w:val="left"/>
      <w:pPr>
        <w:ind w:left="2888" w:hanging="312"/>
      </w:pPr>
      <w:rPr>
        <w:rFonts w:hint="default"/>
      </w:rPr>
    </w:lvl>
  </w:abstractNum>
  <w:abstractNum w:abstractNumId="23">
    <w:multiLevelType w:val="hybridMultilevel"/>
    <w:lvl w:ilvl="0">
      <w:start w:val="1"/>
      <w:numFmt w:val="decimal"/>
      <w:lvlText w:val="%1."/>
      <w:lvlJc w:val="left"/>
      <w:pPr>
        <w:ind w:left="259" w:hanging="299"/>
        <w:jc w:val="left"/>
      </w:pPr>
      <w:rPr>
        <w:rFonts w:hint="default" w:ascii="Cambria" w:hAnsi="Cambria" w:eastAsia="Cambria" w:cs="Cambria"/>
        <w:b/>
        <w:bCs/>
        <w:spacing w:val="-18"/>
        <w:w w:val="100"/>
        <w:sz w:val="24"/>
        <w:szCs w:val="24"/>
      </w:rPr>
    </w:lvl>
    <w:lvl w:ilvl="1">
      <w:start w:val="1"/>
      <w:numFmt w:val="bullet"/>
      <w:lvlText w:val="•"/>
      <w:lvlJc w:val="left"/>
      <w:pPr>
        <w:ind w:left="1168" w:hanging="299"/>
      </w:pPr>
      <w:rPr>
        <w:rFonts w:hint="default"/>
      </w:rPr>
    </w:lvl>
    <w:lvl w:ilvl="2">
      <w:start w:val="1"/>
      <w:numFmt w:val="bullet"/>
      <w:lvlText w:val="•"/>
      <w:lvlJc w:val="left"/>
      <w:pPr>
        <w:ind w:left="2076" w:hanging="299"/>
      </w:pPr>
      <w:rPr>
        <w:rFonts w:hint="default"/>
      </w:rPr>
    </w:lvl>
    <w:lvl w:ilvl="3">
      <w:start w:val="1"/>
      <w:numFmt w:val="bullet"/>
      <w:lvlText w:val="•"/>
      <w:lvlJc w:val="left"/>
      <w:pPr>
        <w:ind w:left="2984" w:hanging="299"/>
      </w:pPr>
      <w:rPr>
        <w:rFonts w:hint="default"/>
      </w:rPr>
    </w:lvl>
    <w:lvl w:ilvl="4">
      <w:start w:val="1"/>
      <w:numFmt w:val="bullet"/>
      <w:lvlText w:val="•"/>
      <w:lvlJc w:val="left"/>
      <w:pPr>
        <w:ind w:left="3892" w:hanging="299"/>
      </w:pPr>
      <w:rPr>
        <w:rFonts w:hint="default"/>
      </w:rPr>
    </w:lvl>
    <w:lvl w:ilvl="5">
      <w:start w:val="1"/>
      <w:numFmt w:val="bullet"/>
      <w:lvlText w:val="•"/>
      <w:lvlJc w:val="left"/>
      <w:pPr>
        <w:ind w:left="4800" w:hanging="299"/>
      </w:pPr>
      <w:rPr>
        <w:rFonts w:hint="default"/>
      </w:rPr>
    </w:lvl>
    <w:lvl w:ilvl="6">
      <w:start w:val="1"/>
      <w:numFmt w:val="bullet"/>
      <w:lvlText w:val="•"/>
      <w:lvlJc w:val="left"/>
      <w:pPr>
        <w:ind w:left="5708" w:hanging="299"/>
      </w:pPr>
      <w:rPr>
        <w:rFonts w:hint="default"/>
      </w:rPr>
    </w:lvl>
    <w:lvl w:ilvl="7">
      <w:start w:val="1"/>
      <w:numFmt w:val="bullet"/>
      <w:lvlText w:val="•"/>
      <w:lvlJc w:val="left"/>
      <w:pPr>
        <w:ind w:left="6616" w:hanging="299"/>
      </w:pPr>
      <w:rPr>
        <w:rFonts w:hint="default"/>
      </w:rPr>
    </w:lvl>
    <w:lvl w:ilvl="8">
      <w:start w:val="1"/>
      <w:numFmt w:val="bullet"/>
      <w:lvlText w:val="•"/>
      <w:lvlJc w:val="left"/>
      <w:pPr>
        <w:ind w:left="7524" w:hanging="299"/>
      </w:pPr>
      <w:rPr>
        <w:rFonts w:hint="default"/>
      </w:rPr>
    </w:lvl>
  </w:abstractNum>
  <w:abstractNum w:abstractNumId="22">
    <w:multiLevelType w:val="hybridMultilevel"/>
    <w:lvl w:ilvl="0">
      <w:start w:val="5"/>
      <w:numFmt w:val="decimal"/>
      <w:lvlText w:val="%1"/>
      <w:lvlJc w:val="left"/>
      <w:pPr>
        <w:ind w:left="677" w:hanging="419"/>
        <w:jc w:val="left"/>
      </w:pPr>
      <w:rPr>
        <w:rFonts w:hint="default"/>
      </w:rPr>
    </w:lvl>
    <w:lvl w:ilvl="1">
      <w:start w:val="1"/>
      <w:numFmt w:val="decimal"/>
      <w:lvlText w:val="%1.%2."/>
      <w:lvlJc w:val="left"/>
      <w:pPr>
        <w:ind w:left="677" w:hanging="419"/>
        <w:jc w:val="left"/>
      </w:pPr>
      <w:rPr>
        <w:rFonts w:hint="default" w:ascii="Cambria" w:hAnsi="Cambria" w:eastAsia="Cambria" w:cs="Cambria"/>
        <w:color w:val="1F487C"/>
        <w:spacing w:val="-2"/>
        <w:w w:val="100"/>
        <w:sz w:val="24"/>
        <w:szCs w:val="24"/>
      </w:rPr>
    </w:lvl>
    <w:lvl w:ilvl="2">
      <w:start w:val="1"/>
      <w:numFmt w:val="bullet"/>
      <w:lvlText w:val="•"/>
      <w:lvlJc w:val="left"/>
      <w:pPr>
        <w:ind w:left="2412" w:hanging="419"/>
      </w:pPr>
      <w:rPr>
        <w:rFonts w:hint="default"/>
      </w:rPr>
    </w:lvl>
    <w:lvl w:ilvl="3">
      <w:start w:val="1"/>
      <w:numFmt w:val="bullet"/>
      <w:lvlText w:val="•"/>
      <w:lvlJc w:val="left"/>
      <w:pPr>
        <w:ind w:left="3278" w:hanging="419"/>
      </w:pPr>
      <w:rPr>
        <w:rFonts w:hint="default"/>
      </w:rPr>
    </w:lvl>
    <w:lvl w:ilvl="4">
      <w:start w:val="1"/>
      <w:numFmt w:val="bullet"/>
      <w:lvlText w:val="•"/>
      <w:lvlJc w:val="left"/>
      <w:pPr>
        <w:ind w:left="4144" w:hanging="419"/>
      </w:pPr>
      <w:rPr>
        <w:rFonts w:hint="default"/>
      </w:rPr>
    </w:lvl>
    <w:lvl w:ilvl="5">
      <w:start w:val="1"/>
      <w:numFmt w:val="bullet"/>
      <w:lvlText w:val="•"/>
      <w:lvlJc w:val="left"/>
      <w:pPr>
        <w:ind w:left="5010" w:hanging="419"/>
      </w:pPr>
      <w:rPr>
        <w:rFonts w:hint="default"/>
      </w:rPr>
    </w:lvl>
    <w:lvl w:ilvl="6">
      <w:start w:val="1"/>
      <w:numFmt w:val="bullet"/>
      <w:lvlText w:val="•"/>
      <w:lvlJc w:val="left"/>
      <w:pPr>
        <w:ind w:left="5876" w:hanging="419"/>
      </w:pPr>
      <w:rPr>
        <w:rFonts w:hint="default"/>
      </w:rPr>
    </w:lvl>
    <w:lvl w:ilvl="7">
      <w:start w:val="1"/>
      <w:numFmt w:val="bullet"/>
      <w:lvlText w:val="•"/>
      <w:lvlJc w:val="left"/>
      <w:pPr>
        <w:ind w:left="6742" w:hanging="419"/>
      </w:pPr>
      <w:rPr>
        <w:rFonts w:hint="default"/>
      </w:rPr>
    </w:lvl>
    <w:lvl w:ilvl="8">
      <w:start w:val="1"/>
      <w:numFmt w:val="bullet"/>
      <w:lvlText w:val="•"/>
      <w:lvlJc w:val="left"/>
      <w:pPr>
        <w:ind w:left="7608" w:hanging="419"/>
      </w:pPr>
      <w:rPr>
        <w:rFonts w:hint="default"/>
      </w:rPr>
    </w:lvl>
  </w:abstractNum>
  <w:abstractNum w:abstractNumId="21">
    <w:multiLevelType w:val="hybridMultilevel"/>
    <w:lvl w:ilvl="0">
      <w:start w:val="4"/>
      <w:numFmt w:val="decimal"/>
      <w:lvlText w:val="%1"/>
      <w:lvlJc w:val="left"/>
      <w:pPr>
        <w:ind w:left="676" w:hanging="418"/>
        <w:jc w:val="left"/>
      </w:pPr>
      <w:rPr>
        <w:rFonts w:hint="default"/>
      </w:rPr>
    </w:lvl>
    <w:lvl w:ilvl="1">
      <w:start w:val="1"/>
      <w:numFmt w:val="decimal"/>
      <w:lvlText w:val="%1.%2."/>
      <w:lvlJc w:val="left"/>
      <w:pPr>
        <w:ind w:left="676" w:hanging="418"/>
        <w:jc w:val="left"/>
      </w:pPr>
      <w:rPr>
        <w:rFonts w:hint="default" w:ascii="Cambria" w:hAnsi="Cambria" w:eastAsia="Cambria" w:cs="Cambria"/>
        <w:color w:val="233E5F"/>
        <w:spacing w:val="-2"/>
        <w:w w:val="99"/>
        <w:sz w:val="24"/>
        <w:szCs w:val="24"/>
      </w:rPr>
    </w:lvl>
    <w:lvl w:ilvl="2">
      <w:start w:val="1"/>
      <w:numFmt w:val="bullet"/>
      <w:lvlText w:val="•"/>
      <w:lvlJc w:val="left"/>
      <w:pPr>
        <w:ind w:left="2412" w:hanging="418"/>
      </w:pPr>
      <w:rPr>
        <w:rFonts w:hint="default"/>
      </w:rPr>
    </w:lvl>
    <w:lvl w:ilvl="3">
      <w:start w:val="1"/>
      <w:numFmt w:val="bullet"/>
      <w:lvlText w:val="•"/>
      <w:lvlJc w:val="left"/>
      <w:pPr>
        <w:ind w:left="3278" w:hanging="418"/>
      </w:pPr>
      <w:rPr>
        <w:rFonts w:hint="default"/>
      </w:rPr>
    </w:lvl>
    <w:lvl w:ilvl="4">
      <w:start w:val="1"/>
      <w:numFmt w:val="bullet"/>
      <w:lvlText w:val="•"/>
      <w:lvlJc w:val="left"/>
      <w:pPr>
        <w:ind w:left="4144" w:hanging="418"/>
      </w:pPr>
      <w:rPr>
        <w:rFonts w:hint="default"/>
      </w:rPr>
    </w:lvl>
    <w:lvl w:ilvl="5">
      <w:start w:val="1"/>
      <w:numFmt w:val="bullet"/>
      <w:lvlText w:val="•"/>
      <w:lvlJc w:val="left"/>
      <w:pPr>
        <w:ind w:left="5010" w:hanging="418"/>
      </w:pPr>
      <w:rPr>
        <w:rFonts w:hint="default"/>
      </w:rPr>
    </w:lvl>
    <w:lvl w:ilvl="6">
      <w:start w:val="1"/>
      <w:numFmt w:val="bullet"/>
      <w:lvlText w:val="•"/>
      <w:lvlJc w:val="left"/>
      <w:pPr>
        <w:ind w:left="5876" w:hanging="418"/>
      </w:pPr>
      <w:rPr>
        <w:rFonts w:hint="default"/>
      </w:rPr>
    </w:lvl>
    <w:lvl w:ilvl="7">
      <w:start w:val="1"/>
      <w:numFmt w:val="bullet"/>
      <w:lvlText w:val="•"/>
      <w:lvlJc w:val="left"/>
      <w:pPr>
        <w:ind w:left="6742" w:hanging="418"/>
      </w:pPr>
      <w:rPr>
        <w:rFonts w:hint="default"/>
      </w:rPr>
    </w:lvl>
    <w:lvl w:ilvl="8">
      <w:start w:val="1"/>
      <w:numFmt w:val="bullet"/>
      <w:lvlText w:val="•"/>
      <w:lvlJc w:val="left"/>
      <w:pPr>
        <w:ind w:left="7608" w:hanging="418"/>
      </w:pPr>
      <w:rPr>
        <w:rFonts w:hint="default"/>
      </w:rPr>
    </w:lvl>
  </w:abstractNum>
  <w:abstractNum w:abstractNumId="20">
    <w:multiLevelType w:val="hybridMultilevel"/>
    <w:lvl w:ilvl="0">
      <w:start w:val="3"/>
      <w:numFmt w:val="decimal"/>
      <w:lvlText w:val="%1"/>
      <w:lvlJc w:val="left"/>
      <w:pPr>
        <w:ind w:left="676" w:hanging="418"/>
        <w:jc w:val="left"/>
      </w:pPr>
      <w:rPr>
        <w:rFonts w:hint="default"/>
      </w:rPr>
    </w:lvl>
    <w:lvl w:ilvl="1">
      <w:start w:val="1"/>
      <w:numFmt w:val="decimal"/>
      <w:lvlText w:val="%1.%2."/>
      <w:lvlJc w:val="left"/>
      <w:pPr>
        <w:ind w:left="676" w:hanging="418"/>
        <w:jc w:val="left"/>
      </w:pPr>
      <w:rPr>
        <w:rFonts w:hint="default" w:ascii="Cambria" w:hAnsi="Cambria" w:eastAsia="Cambria" w:cs="Cambria"/>
        <w:color w:val="233E5F"/>
        <w:spacing w:val="-2"/>
        <w:w w:val="100"/>
        <w:sz w:val="24"/>
        <w:szCs w:val="24"/>
      </w:rPr>
    </w:lvl>
    <w:lvl w:ilvl="2">
      <w:start w:val="1"/>
      <w:numFmt w:val="bullet"/>
      <w:lvlText w:val="•"/>
      <w:lvlJc w:val="left"/>
      <w:pPr>
        <w:ind w:left="2412" w:hanging="418"/>
      </w:pPr>
      <w:rPr>
        <w:rFonts w:hint="default"/>
      </w:rPr>
    </w:lvl>
    <w:lvl w:ilvl="3">
      <w:start w:val="1"/>
      <w:numFmt w:val="bullet"/>
      <w:lvlText w:val="•"/>
      <w:lvlJc w:val="left"/>
      <w:pPr>
        <w:ind w:left="3278" w:hanging="418"/>
      </w:pPr>
      <w:rPr>
        <w:rFonts w:hint="default"/>
      </w:rPr>
    </w:lvl>
    <w:lvl w:ilvl="4">
      <w:start w:val="1"/>
      <w:numFmt w:val="bullet"/>
      <w:lvlText w:val="•"/>
      <w:lvlJc w:val="left"/>
      <w:pPr>
        <w:ind w:left="4144" w:hanging="418"/>
      </w:pPr>
      <w:rPr>
        <w:rFonts w:hint="default"/>
      </w:rPr>
    </w:lvl>
    <w:lvl w:ilvl="5">
      <w:start w:val="1"/>
      <w:numFmt w:val="bullet"/>
      <w:lvlText w:val="•"/>
      <w:lvlJc w:val="left"/>
      <w:pPr>
        <w:ind w:left="5010" w:hanging="418"/>
      </w:pPr>
      <w:rPr>
        <w:rFonts w:hint="default"/>
      </w:rPr>
    </w:lvl>
    <w:lvl w:ilvl="6">
      <w:start w:val="1"/>
      <w:numFmt w:val="bullet"/>
      <w:lvlText w:val="•"/>
      <w:lvlJc w:val="left"/>
      <w:pPr>
        <w:ind w:left="5876" w:hanging="418"/>
      </w:pPr>
      <w:rPr>
        <w:rFonts w:hint="default"/>
      </w:rPr>
    </w:lvl>
    <w:lvl w:ilvl="7">
      <w:start w:val="1"/>
      <w:numFmt w:val="bullet"/>
      <w:lvlText w:val="•"/>
      <w:lvlJc w:val="left"/>
      <w:pPr>
        <w:ind w:left="6742" w:hanging="418"/>
      </w:pPr>
      <w:rPr>
        <w:rFonts w:hint="default"/>
      </w:rPr>
    </w:lvl>
    <w:lvl w:ilvl="8">
      <w:start w:val="1"/>
      <w:numFmt w:val="bullet"/>
      <w:lvlText w:val="•"/>
      <w:lvlJc w:val="left"/>
      <w:pPr>
        <w:ind w:left="7608" w:hanging="418"/>
      </w:pPr>
      <w:rPr>
        <w:rFonts w:hint="default"/>
      </w:rPr>
    </w:lvl>
  </w:abstractNum>
  <w:abstractNum w:abstractNumId="19">
    <w:multiLevelType w:val="hybridMultilevel"/>
    <w:lvl w:ilvl="0">
      <w:start w:val="2"/>
      <w:numFmt w:val="decimal"/>
      <w:lvlText w:val="%1"/>
      <w:lvlJc w:val="left"/>
      <w:pPr>
        <w:ind w:left="677" w:hanging="419"/>
        <w:jc w:val="left"/>
      </w:pPr>
      <w:rPr>
        <w:rFonts w:hint="default"/>
      </w:rPr>
    </w:lvl>
    <w:lvl w:ilvl="1">
      <w:start w:val="1"/>
      <w:numFmt w:val="decimal"/>
      <w:lvlText w:val="%1.%2."/>
      <w:lvlJc w:val="left"/>
      <w:pPr>
        <w:ind w:left="677" w:hanging="419"/>
        <w:jc w:val="left"/>
      </w:pPr>
      <w:rPr>
        <w:rFonts w:hint="default"/>
        <w:spacing w:val="-2"/>
        <w:w w:val="100"/>
      </w:rPr>
    </w:lvl>
    <w:lvl w:ilvl="2">
      <w:start w:val="1"/>
      <w:numFmt w:val="bullet"/>
      <w:lvlText w:val="•"/>
      <w:lvlJc w:val="left"/>
      <w:pPr>
        <w:ind w:left="2412" w:hanging="419"/>
      </w:pPr>
      <w:rPr>
        <w:rFonts w:hint="default"/>
      </w:rPr>
    </w:lvl>
    <w:lvl w:ilvl="3">
      <w:start w:val="1"/>
      <w:numFmt w:val="bullet"/>
      <w:lvlText w:val="•"/>
      <w:lvlJc w:val="left"/>
      <w:pPr>
        <w:ind w:left="3278" w:hanging="419"/>
      </w:pPr>
      <w:rPr>
        <w:rFonts w:hint="default"/>
      </w:rPr>
    </w:lvl>
    <w:lvl w:ilvl="4">
      <w:start w:val="1"/>
      <w:numFmt w:val="bullet"/>
      <w:lvlText w:val="•"/>
      <w:lvlJc w:val="left"/>
      <w:pPr>
        <w:ind w:left="4144" w:hanging="419"/>
      </w:pPr>
      <w:rPr>
        <w:rFonts w:hint="default"/>
      </w:rPr>
    </w:lvl>
    <w:lvl w:ilvl="5">
      <w:start w:val="1"/>
      <w:numFmt w:val="bullet"/>
      <w:lvlText w:val="•"/>
      <w:lvlJc w:val="left"/>
      <w:pPr>
        <w:ind w:left="5010" w:hanging="419"/>
      </w:pPr>
      <w:rPr>
        <w:rFonts w:hint="default"/>
      </w:rPr>
    </w:lvl>
    <w:lvl w:ilvl="6">
      <w:start w:val="1"/>
      <w:numFmt w:val="bullet"/>
      <w:lvlText w:val="•"/>
      <w:lvlJc w:val="left"/>
      <w:pPr>
        <w:ind w:left="5876" w:hanging="419"/>
      </w:pPr>
      <w:rPr>
        <w:rFonts w:hint="default"/>
      </w:rPr>
    </w:lvl>
    <w:lvl w:ilvl="7">
      <w:start w:val="1"/>
      <w:numFmt w:val="bullet"/>
      <w:lvlText w:val="•"/>
      <w:lvlJc w:val="left"/>
      <w:pPr>
        <w:ind w:left="6742" w:hanging="419"/>
      </w:pPr>
      <w:rPr>
        <w:rFonts w:hint="default"/>
      </w:rPr>
    </w:lvl>
    <w:lvl w:ilvl="8">
      <w:start w:val="1"/>
      <w:numFmt w:val="bullet"/>
      <w:lvlText w:val="•"/>
      <w:lvlJc w:val="left"/>
      <w:pPr>
        <w:ind w:left="7608" w:hanging="419"/>
      </w:pPr>
      <w:rPr>
        <w:rFonts w:hint="default"/>
      </w:rPr>
    </w:lvl>
  </w:abstractNum>
  <w:abstractNum w:abstractNumId="18">
    <w:multiLevelType w:val="hybridMultilevel"/>
    <w:lvl w:ilvl="0">
      <w:start w:val="1"/>
      <w:numFmt w:val="bullet"/>
      <w:lvlText w:val=""/>
      <w:lvlJc w:val="left"/>
      <w:pPr>
        <w:ind w:left="259" w:hanging="284"/>
      </w:pPr>
      <w:rPr>
        <w:rFonts w:hint="default" w:ascii="Wingdings" w:hAnsi="Wingdings" w:eastAsia="Wingdings" w:cs="Wingdings"/>
        <w:w w:val="100"/>
        <w:sz w:val="22"/>
        <w:szCs w:val="22"/>
      </w:rPr>
    </w:lvl>
    <w:lvl w:ilvl="1">
      <w:start w:val="1"/>
      <w:numFmt w:val="bullet"/>
      <w:lvlText w:val="•"/>
      <w:lvlJc w:val="left"/>
      <w:pPr>
        <w:ind w:left="1168" w:hanging="284"/>
      </w:pPr>
      <w:rPr>
        <w:rFonts w:hint="default"/>
      </w:rPr>
    </w:lvl>
    <w:lvl w:ilvl="2">
      <w:start w:val="1"/>
      <w:numFmt w:val="bullet"/>
      <w:lvlText w:val="•"/>
      <w:lvlJc w:val="left"/>
      <w:pPr>
        <w:ind w:left="2076" w:hanging="284"/>
      </w:pPr>
      <w:rPr>
        <w:rFonts w:hint="default"/>
      </w:rPr>
    </w:lvl>
    <w:lvl w:ilvl="3">
      <w:start w:val="1"/>
      <w:numFmt w:val="bullet"/>
      <w:lvlText w:val="•"/>
      <w:lvlJc w:val="left"/>
      <w:pPr>
        <w:ind w:left="2984" w:hanging="284"/>
      </w:pPr>
      <w:rPr>
        <w:rFonts w:hint="default"/>
      </w:rPr>
    </w:lvl>
    <w:lvl w:ilvl="4">
      <w:start w:val="1"/>
      <w:numFmt w:val="bullet"/>
      <w:lvlText w:val="•"/>
      <w:lvlJc w:val="left"/>
      <w:pPr>
        <w:ind w:left="3892" w:hanging="284"/>
      </w:pPr>
      <w:rPr>
        <w:rFonts w:hint="default"/>
      </w:rPr>
    </w:lvl>
    <w:lvl w:ilvl="5">
      <w:start w:val="1"/>
      <w:numFmt w:val="bullet"/>
      <w:lvlText w:val="•"/>
      <w:lvlJc w:val="left"/>
      <w:pPr>
        <w:ind w:left="4800" w:hanging="284"/>
      </w:pPr>
      <w:rPr>
        <w:rFonts w:hint="default"/>
      </w:rPr>
    </w:lvl>
    <w:lvl w:ilvl="6">
      <w:start w:val="1"/>
      <w:numFmt w:val="bullet"/>
      <w:lvlText w:val="•"/>
      <w:lvlJc w:val="left"/>
      <w:pPr>
        <w:ind w:left="5708" w:hanging="284"/>
      </w:pPr>
      <w:rPr>
        <w:rFonts w:hint="default"/>
      </w:rPr>
    </w:lvl>
    <w:lvl w:ilvl="7">
      <w:start w:val="1"/>
      <w:numFmt w:val="bullet"/>
      <w:lvlText w:val="•"/>
      <w:lvlJc w:val="left"/>
      <w:pPr>
        <w:ind w:left="6616" w:hanging="284"/>
      </w:pPr>
      <w:rPr>
        <w:rFonts w:hint="default"/>
      </w:rPr>
    </w:lvl>
    <w:lvl w:ilvl="8">
      <w:start w:val="1"/>
      <w:numFmt w:val="bullet"/>
      <w:lvlText w:val="•"/>
      <w:lvlJc w:val="left"/>
      <w:pPr>
        <w:ind w:left="7524" w:hanging="284"/>
      </w:pPr>
      <w:rPr>
        <w:rFonts w:hint="default"/>
      </w:rPr>
    </w:lvl>
  </w:abstractNum>
  <w:abstractNum w:abstractNumId="16">
    <w:multiLevelType w:val="hybridMultilevel"/>
    <w:lvl w:ilvl="0">
      <w:start w:val="1"/>
      <w:numFmt w:val="decimal"/>
      <w:lvlText w:val="%1."/>
      <w:lvlJc w:val="left"/>
      <w:pPr>
        <w:ind w:left="504" w:hanging="245"/>
        <w:jc w:val="left"/>
      </w:pPr>
      <w:rPr>
        <w:rFonts w:hint="default"/>
        <w:b/>
        <w:bCs/>
        <w:w w:val="100"/>
      </w:rPr>
    </w:lvl>
    <w:lvl w:ilvl="1">
      <w:start w:val="1"/>
      <w:numFmt w:val="decimal"/>
      <w:lvlText w:val="%1.%2."/>
      <w:lvlJc w:val="left"/>
      <w:pPr>
        <w:ind w:left="931" w:hanging="389"/>
        <w:jc w:val="left"/>
      </w:pPr>
      <w:rPr>
        <w:rFonts w:hint="default"/>
        <w:i/>
        <w:w w:val="100"/>
      </w:rPr>
    </w:lvl>
    <w:lvl w:ilvl="2">
      <w:start w:val="1"/>
      <w:numFmt w:val="decimal"/>
      <w:lvlText w:val="%1.%2.%3."/>
      <w:lvlJc w:val="left"/>
      <w:pPr>
        <w:ind w:left="1099" w:hanging="389"/>
        <w:jc w:val="left"/>
      </w:pPr>
      <w:rPr>
        <w:rFonts w:hint="default" w:ascii="Times New Roman" w:hAnsi="Times New Roman" w:eastAsia="Times New Roman" w:cs="Times New Roman"/>
        <w:i/>
        <w:spacing w:val="-5"/>
        <w:w w:val="100"/>
        <w:sz w:val="22"/>
        <w:szCs w:val="22"/>
      </w:rPr>
    </w:lvl>
    <w:lvl w:ilvl="3">
      <w:start w:val="1"/>
      <w:numFmt w:val="bullet"/>
      <w:lvlText w:val="•"/>
      <w:lvlJc w:val="left"/>
      <w:pPr>
        <w:ind w:left="2130" w:hanging="389"/>
      </w:pPr>
      <w:rPr>
        <w:rFonts w:hint="default"/>
      </w:rPr>
    </w:lvl>
    <w:lvl w:ilvl="4">
      <w:start w:val="1"/>
      <w:numFmt w:val="bullet"/>
      <w:lvlText w:val="•"/>
      <w:lvlJc w:val="left"/>
      <w:pPr>
        <w:ind w:left="3160" w:hanging="389"/>
      </w:pPr>
      <w:rPr>
        <w:rFonts w:hint="default"/>
      </w:rPr>
    </w:lvl>
    <w:lvl w:ilvl="5">
      <w:start w:val="1"/>
      <w:numFmt w:val="bullet"/>
      <w:lvlText w:val="•"/>
      <w:lvlJc w:val="left"/>
      <w:pPr>
        <w:ind w:left="4190" w:hanging="389"/>
      </w:pPr>
      <w:rPr>
        <w:rFonts w:hint="default"/>
      </w:rPr>
    </w:lvl>
    <w:lvl w:ilvl="6">
      <w:start w:val="1"/>
      <w:numFmt w:val="bullet"/>
      <w:lvlText w:val="•"/>
      <w:lvlJc w:val="left"/>
      <w:pPr>
        <w:ind w:left="5220" w:hanging="389"/>
      </w:pPr>
      <w:rPr>
        <w:rFonts w:hint="default"/>
      </w:rPr>
    </w:lvl>
    <w:lvl w:ilvl="7">
      <w:start w:val="1"/>
      <w:numFmt w:val="bullet"/>
      <w:lvlText w:val="•"/>
      <w:lvlJc w:val="left"/>
      <w:pPr>
        <w:ind w:left="6250" w:hanging="389"/>
      </w:pPr>
      <w:rPr>
        <w:rFonts w:hint="default"/>
      </w:rPr>
    </w:lvl>
    <w:lvl w:ilvl="8">
      <w:start w:val="1"/>
      <w:numFmt w:val="bullet"/>
      <w:lvlText w:val="•"/>
      <w:lvlJc w:val="left"/>
      <w:pPr>
        <w:ind w:left="7280" w:hanging="389"/>
      </w:pPr>
      <w:rPr>
        <w:rFonts w:hint="default"/>
      </w:rPr>
    </w:lvl>
  </w:abstractNum>
  <w:abstractNum w:abstractNumId="15">
    <w:multiLevelType w:val="hybridMultilevel"/>
    <w:lvl w:ilvl="0">
      <w:start w:val="25"/>
      <w:numFmt w:val="upperLetter"/>
      <w:lvlText w:val="%1."/>
      <w:lvlJc w:val="left"/>
      <w:pPr>
        <w:ind w:left="1393" w:hanging="221"/>
        <w:jc w:val="left"/>
      </w:pPr>
      <w:rPr>
        <w:rFonts w:hint="default" w:ascii="Cambria" w:hAnsi="Cambria" w:eastAsia="Cambria" w:cs="Cambria"/>
        <w:spacing w:val="-2"/>
        <w:w w:val="100"/>
        <w:sz w:val="22"/>
        <w:szCs w:val="22"/>
      </w:rPr>
    </w:lvl>
    <w:lvl w:ilvl="1">
      <w:start w:val="1"/>
      <w:numFmt w:val="decimal"/>
      <w:lvlText w:val="%2."/>
      <w:lvlJc w:val="left"/>
      <w:pPr>
        <w:ind w:left="504" w:hanging="245"/>
        <w:jc w:val="left"/>
      </w:pPr>
      <w:rPr>
        <w:rFonts w:hint="default" w:ascii="Times New Roman" w:hAnsi="Times New Roman" w:eastAsia="Times New Roman" w:cs="Times New Roman"/>
        <w:b/>
        <w:bCs/>
        <w:w w:val="100"/>
        <w:sz w:val="24"/>
        <w:szCs w:val="24"/>
      </w:rPr>
    </w:lvl>
    <w:lvl w:ilvl="2">
      <w:start w:val="1"/>
      <w:numFmt w:val="decimal"/>
      <w:lvlText w:val="%2.%3."/>
      <w:lvlJc w:val="left"/>
      <w:pPr>
        <w:ind w:left="681" w:hanging="422"/>
        <w:jc w:val="left"/>
      </w:pPr>
      <w:rPr>
        <w:rFonts w:hint="default" w:ascii="Times New Roman" w:hAnsi="Times New Roman" w:eastAsia="Times New Roman" w:cs="Times New Roman"/>
        <w:b/>
        <w:bCs/>
        <w:i/>
        <w:w w:val="100"/>
        <w:sz w:val="24"/>
        <w:szCs w:val="24"/>
      </w:rPr>
    </w:lvl>
    <w:lvl w:ilvl="3">
      <w:start w:val="1"/>
      <w:numFmt w:val="bullet"/>
      <w:lvlText w:val="•"/>
      <w:lvlJc w:val="left"/>
      <w:pPr>
        <w:ind w:left="1400" w:hanging="422"/>
      </w:pPr>
      <w:rPr>
        <w:rFonts w:hint="default"/>
      </w:rPr>
    </w:lvl>
    <w:lvl w:ilvl="4">
      <w:start w:val="1"/>
      <w:numFmt w:val="bullet"/>
      <w:lvlText w:val="•"/>
      <w:lvlJc w:val="left"/>
      <w:pPr>
        <w:ind w:left="2534" w:hanging="422"/>
      </w:pPr>
      <w:rPr>
        <w:rFonts w:hint="default"/>
      </w:rPr>
    </w:lvl>
    <w:lvl w:ilvl="5">
      <w:start w:val="1"/>
      <w:numFmt w:val="bullet"/>
      <w:lvlText w:val="•"/>
      <w:lvlJc w:val="left"/>
      <w:pPr>
        <w:ind w:left="3668" w:hanging="422"/>
      </w:pPr>
      <w:rPr>
        <w:rFonts w:hint="default"/>
      </w:rPr>
    </w:lvl>
    <w:lvl w:ilvl="6">
      <w:start w:val="1"/>
      <w:numFmt w:val="bullet"/>
      <w:lvlText w:val="•"/>
      <w:lvlJc w:val="left"/>
      <w:pPr>
        <w:ind w:left="4802" w:hanging="422"/>
      </w:pPr>
      <w:rPr>
        <w:rFonts w:hint="default"/>
      </w:rPr>
    </w:lvl>
    <w:lvl w:ilvl="7">
      <w:start w:val="1"/>
      <w:numFmt w:val="bullet"/>
      <w:lvlText w:val="•"/>
      <w:lvlJc w:val="left"/>
      <w:pPr>
        <w:ind w:left="5937" w:hanging="422"/>
      </w:pPr>
      <w:rPr>
        <w:rFonts w:hint="default"/>
      </w:rPr>
    </w:lvl>
    <w:lvl w:ilvl="8">
      <w:start w:val="1"/>
      <w:numFmt w:val="bullet"/>
      <w:lvlText w:val="•"/>
      <w:lvlJc w:val="left"/>
      <w:pPr>
        <w:ind w:left="7071" w:hanging="422"/>
      </w:pPr>
      <w:rPr>
        <w:rFonts w:hint="default"/>
      </w:rPr>
    </w:lvl>
  </w:abstractNum>
  <w:abstractNum w:abstractNumId="14">
    <w:multiLevelType w:val="hybridMultilevel"/>
    <w:lvl w:ilvl="0">
      <w:start w:val="2"/>
      <w:numFmt w:val="decimal"/>
      <w:lvlText w:val="%1"/>
      <w:lvlJc w:val="left"/>
      <w:pPr>
        <w:ind w:left="711" w:hanging="452"/>
        <w:jc w:val="left"/>
      </w:pPr>
      <w:rPr>
        <w:rFonts w:hint="default"/>
      </w:rPr>
    </w:lvl>
    <w:lvl w:ilvl="1">
      <w:start w:val="1"/>
      <w:numFmt w:val="decimal"/>
      <w:lvlText w:val="%1.%2."/>
      <w:lvlJc w:val="left"/>
      <w:pPr>
        <w:ind w:left="711" w:hanging="452"/>
        <w:jc w:val="left"/>
      </w:pPr>
      <w:rPr>
        <w:rFonts w:hint="default"/>
        <w:b/>
        <w:bCs/>
        <w:spacing w:val="-3"/>
        <w:w w:val="100"/>
      </w:rPr>
    </w:lvl>
    <w:lvl w:ilvl="2">
      <w:start w:val="1"/>
      <w:numFmt w:val="decimal"/>
      <w:lvlText w:val="%1.%2.%3."/>
      <w:lvlJc w:val="left"/>
      <w:pPr>
        <w:ind w:left="831" w:hanging="572"/>
        <w:jc w:val="left"/>
      </w:pPr>
      <w:rPr>
        <w:rFonts w:hint="default" w:ascii="Cambria" w:hAnsi="Cambria" w:eastAsia="Cambria" w:cs="Cambria"/>
        <w:i/>
        <w:spacing w:val="-2"/>
        <w:w w:val="100"/>
        <w:sz w:val="24"/>
        <w:szCs w:val="24"/>
      </w:rPr>
    </w:lvl>
    <w:lvl w:ilvl="3">
      <w:start w:val="1"/>
      <w:numFmt w:val="bullet"/>
      <w:lvlText w:val="•"/>
      <w:lvlJc w:val="left"/>
      <w:pPr>
        <w:ind w:left="1937" w:hanging="572"/>
      </w:pPr>
      <w:rPr>
        <w:rFonts w:hint="default"/>
      </w:rPr>
    </w:lvl>
    <w:lvl w:ilvl="4">
      <w:start w:val="1"/>
      <w:numFmt w:val="bullet"/>
      <w:lvlText w:val="•"/>
      <w:lvlJc w:val="left"/>
      <w:pPr>
        <w:ind w:left="2995" w:hanging="572"/>
      </w:pPr>
      <w:rPr>
        <w:rFonts w:hint="default"/>
      </w:rPr>
    </w:lvl>
    <w:lvl w:ilvl="5">
      <w:start w:val="1"/>
      <w:numFmt w:val="bullet"/>
      <w:lvlText w:val="•"/>
      <w:lvlJc w:val="left"/>
      <w:pPr>
        <w:ind w:left="4052" w:hanging="572"/>
      </w:pPr>
      <w:rPr>
        <w:rFonts w:hint="default"/>
      </w:rPr>
    </w:lvl>
    <w:lvl w:ilvl="6">
      <w:start w:val="1"/>
      <w:numFmt w:val="bullet"/>
      <w:lvlText w:val="•"/>
      <w:lvlJc w:val="left"/>
      <w:pPr>
        <w:ind w:left="5110" w:hanging="572"/>
      </w:pPr>
      <w:rPr>
        <w:rFonts w:hint="default"/>
      </w:rPr>
    </w:lvl>
    <w:lvl w:ilvl="7">
      <w:start w:val="1"/>
      <w:numFmt w:val="bullet"/>
      <w:lvlText w:val="•"/>
      <w:lvlJc w:val="left"/>
      <w:pPr>
        <w:ind w:left="6167" w:hanging="572"/>
      </w:pPr>
      <w:rPr>
        <w:rFonts w:hint="default"/>
      </w:rPr>
    </w:lvl>
    <w:lvl w:ilvl="8">
      <w:start w:val="1"/>
      <w:numFmt w:val="bullet"/>
      <w:lvlText w:val="•"/>
      <w:lvlJc w:val="left"/>
      <w:pPr>
        <w:ind w:left="7225" w:hanging="572"/>
      </w:pPr>
      <w:rPr>
        <w:rFonts w:hint="default"/>
      </w:rPr>
    </w:lvl>
  </w:abstractNum>
  <w:abstractNum w:abstractNumId="13">
    <w:multiLevelType w:val="hybridMultilevel"/>
    <w:lvl w:ilvl="0">
      <w:start w:val="10"/>
      <w:numFmt w:val="lowerLetter"/>
      <w:lvlText w:val="%1"/>
      <w:lvlJc w:val="left"/>
      <w:pPr>
        <w:ind w:left="675" w:hanging="133"/>
        <w:jc w:val="right"/>
      </w:pPr>
      <w:rPr>
        <w:rFonts w:hint="default" w:ascii="Times New Roman" w:hAnsi="Times New Roman" w:eastAsia="Times New Roman" w:cs="Times New Roman"/>
        <w:w w:val="122"/>
        <w:position w:val="4"/>
        <w:sz w:val="13"/>
        <w:szCs w:val="13"/>
      </w:rPr>
    </w:lvl>
    <w:lvl w:ilvl="1">
      <w:start w:val="1"/>
      <w:numFmt w:val="bullet"/>
      <w:lvlText w:val="•"/>
      <w:lvlJc w:val="left"/>
      <w:pPr>
        <w:ind w:left="3420" w:hanging="133"/>
      </w:pPr>
      <w:rPr>
        <w:rFonts w:hint="default"/>
      </w:rPr>
    </w:lvl>
    <w:lvl w:ilvl="2">
      <w:start w:val="1"/>
      <w:numFmt w:val="bullet"/>
      <w:lvlText w:val="•"/>
      <w:lvlJc w:val="left"/>
      <w:pPr>
        <w:ind w:left="3017" w:hanging="133"/>
      </w:pPr>
      <w:rPr>
        <w:rFonts w:hint="default"/>
      </w:rPr>
    </w:lvl>
    <w:lvl w:ilvl="3">
      <w:start w:val="1"/>
      <w:numFmt w:val="bullet"/>
      <w:lvlText w:val="•"/>
      <w:lvlJc w:val="left"/>
      <w:pPr>
        <w:ind w:left="2615" w:hanging="133"/>
      </w:pPr>
      <w:rPr>
        <w:rFonts w:hint="default"/>
      </w:rPr>
    </w:lvl>
    <w:lvl w:ilvl="4">
      <w:start w:val="1"/>
      <w:numFmt w:val="bullet"/>
      <w:lvlText w:val="•"/>
      <w:lvlJc w:val="left"/>
      <w:pPr>
        <w:ind w:left="2213" w:hanging="133"/>
      </w:pPr>
      <w:rPr>
        <w:rFonts w:hint="default"/>
      </w:rPr>
    </w:lvl>
    <w:lvl w:ilvl="5">
      <w:start w:val="1"/>
      <w:numFmt w:val="bullet"/>
      <w:lvlText w:val="•"/>
      <w:lvlJc w:val="left"/>
      <w:pPr>
        <w:ind w:left="1810" w:hanging="133"/>
      </w:pPr>
      <w:rPr>
        <w:rFonts w:hint="default"/>
      </w:rPr>
    </w:lvl>
    <w:lvl w:ilvl="6">
      <w:start w:val="1"/>
      <w:numFmt w:val="bullet"/>
      <w:lvlText w:val="•"/>
      <w:lvlJc w:val="left"/>
      <w:pPr>
        <w:ind w:left="1408" w:hanging="133"/>
      </w:pPr>
      <w:rPr>
        <w:rFonts w:hint="default"/>
      </w:rPr>
    </w:lvl>
    <w:lvl w:ilvl="7">
      <w:start w:val="1"/>
      <w:numFmt w:val="bullet"/>
      <w:lvlText w:val="•"/>
      <w:lvlJc w:val="left"/>
      <w:pPr>
        <w:ind w:left="1006" w:hanging="133"/>
      </w:pPr>
      <w:rPr>
        <w:rFonts w:hint="default"/>
      </w:rPr>
    </w:lvl>
    <w:lvl w:ilvl="8">
      <w:start w:val="1"/>
      <w:numFmt w:val="bullet"/>
      <w:lvlText w:val="•"/>
      <w:lvlJc w:val="left"/>
      <w:pPr>
        <w:ind w:left="604" w:hanging="133"/>
      </w:pPr>
      <w:rPr>
        <w:rFonts w:hint="default"/>
      </w:rPr>
    </w:lvl>
  </w:abstractNum>
  <w:abstractNum w:abstractNumId="12">
    <w:multiLevelType w:val="hybridMultilevel"/>
    <w:lvl w:ilvl="0">
      <w:start w:val="2"/>
      <w:numFmt w:val="decimal"/>
      <w:lvlText w:val="%1"/>
      <w:lvlJc w:val="left"/>
      <w:pPr>
        <w:ind w:left="711" w:hanging="452"/>
        <w:jc w:val="left"/>
      </w:pPr>
      <w:rPr>
        <w:rFonts w:hint="default"/>
      </w:rPr>
    </w:lvl>
    <w:lvl w:ilvl="1">
      <w:start w:val="2"/>
      <w:numFmt w:val="decimal"/>
      <w:lvlText w:val="%1.%2."/>
      <w:lvlJc w:val="left"/>
      <w:pPr>
        <w:ind w:left="711" w:hanging="452"/>
        <w:jc w:val="left"/>
      </w:pPr>
      <w:rPr>
        <w:rFonts w:hint="default" w:ascii="Cambria" w:hAnsi="Cambria" w:eastAsia="Cambria" w:cs="Cambria"/>
        <w:b/>
        <w:bCs/>
        <w:spacing w:val="-3"/>
        <w:w w:val="100"/>
        <w:sz w:val="24"/>
        <w:szCs w:val="24"/>
      </w:rPr>
    </w:lvl>
    <w:lvl w:ilvl="2">
      <w:start w:val="1"/>
      <w:numFmt w:val="decimal"/>
      <w:lvlText w:val="%1.%2.%3."/>
      <w:lvlJc w:val="left"/>
      <w:pPr>
        <w:ind w:left="911" w:hanging="652"/>
        <w:jc w:val="left"/>
      </w:pPr>
      <w:rPr>
        <w:rFonts w:hint="default" w:ascii="Cambria" w:hAnsi="Cambria" w:eastAsia="Cambria" w:cs="Cambria"/>
        <w:b/>
        <w:bCs/>
        <w:spacing w:val="-3"/>
        <w:w w:val="100"/>
        <w:sz w:val="24"/>
        <w:szCs w:val="24"/>
      </w:rPr>
    </w:lvl>
    <w:lvl w:ilvl="3">
      <w:start w:val="1"/>
      <w:numFmt w:val="bullet"/>
      <w:lvlText w:val="•"/>
      <w:lvlJc w:val="left"/>
      <w:pPr>
        <w:ind w:left="2791" w:hanging="652"/>
      </w:pPr>
      <w:rPr>
        <w:rFonts w:hint="default"/>
      </w:rPr>
    </w:lvl>
    <w:lvl w:ilvl="4">
      <w:start w:val="1"/>
      <w:numFmt w:val="bullet"/>
      <w:lvlText w:val="•"/>
      <w:lvlJc w:val="left"/>
      <w:pPr>
        <w:ind w:left="3726" w:hanging="652"/>
      </w:pPr>
      <w:rPr>
        <w:rFonts w:hint="default"/>
      </w:rPr>
    </w:lvl>
    <w:lvl w:ilvl="5">
      <w:start w:val="1"/>
      <w:numFmt w:val="bullet"/>
      <w:lvlText w:val="•"/>
      <w:lvlJc w:val="left"/>
      <w:pPr>
        <w:ind w:left="4662" w:hanging="652"/>
      </w:pPr>
      <w:rPr>
        <w:rFonts w:hint="default"/>
      </w:rPr>
    </w:lvl>
    <w:lvl w:ilvl="6">
      <w:start w:val="1"/>
      <w:numFmt w:val="bullet"/>
      <w:lvlText w:val="•"/>
      <w:lvlJc w:val="left"/>
      <w:pPr>
        <w:ind w:left="5597" w:hanging="652"/>
      </w:pPr>
      <w:rPr>
        <w:rFonts w:hint="default"/>
      </w:rPr>
    </w:lvl>
    <w:lvl w:ilvl="7">
      <w:start w:val="1"/>
      <w:numFmt w:val="bullet"/>
      <w:lvlText w:val="•"/>
      <w:lvlJc w:val="left"/>
      <w:pPr>
        <w:ind w:left="6533" w:hanging="652"/>
      </w:pPr>
      <w:rPr>
        <w:rFonts w:hint="default"/>
      </w:rPr>
    </w:lvl>
    <w:lvl w:ilvl="8">
      <w:start w:val="1"/>
      <w:numFmt w:val="bullet"/>
      <w:lvlText w:val="•"/>
      <w:lvlJc w:val="left"/>
      <w:pPr>
        <w:ind w:left="7468" w:hanging="652"/>
      </w:pPr>
      <w:rPr>
        <w:rFonts w:hint="default"/>
      </w:rPr>
    </w:lvl>
  </w:abstractNum>
  <w:abstractNum w:abstractNumId="11">
    <w:multiLevelType w:val="hybridMultilevel"/>
    <w:lvl w:ilvl="0">
      <w:start w:val="2"/>
      <w:numFmt w:val="decimal"/>
      <w:lvlText w:val="%1."/>
      <w:lvlJc w:val="left"/>
      <w:pPr>
        <w:ind w:left="514" w:hanging="255"/>
        <w:jc w:val="left"/>
      </w:pPr>
      <w:rPr>
        <w:rFonts w:hint="default" w:ascii="Cambria" w:hAnsi="Cambria" w:eastAsia="Cambria" w:cs="Cambria"/>
        <w:b/>
        <w:bCs/>
        <w:spacing w:val="0"/>
        <w:w w:val="100"/>
        <w:sz w:val="24"/>
        <w:szCs w:val="24"/>
      </w:rPr>
    </w:lvl>
    <w:lvl w:ilvl="1">
      <w:start w:val="1"/>
      <w:numFmt w:val="decimal"/>
      <w:lvlText w:val="%1.%2."/>
      <w:lvlJc w:val="left"/>
      <w:pPr>
        <w:ind w:left="711" w:hanging="452"/>
        <w:jc w:val="left"/>
      </w:pPr>
      <w:rPr>
        <w:rFonts w:hint="default" w:ascii="Cambria" w:hAnsi="Cambria" w:eastAsia="Cambria" w:cs="Cambria"/>
        <w:b/>
        <w:bCs/>
        <w:spacing w:val="-3"/>
        <w:w w:val="100"/>
        <w:sz w:val="24"/>
        <w:szCs w:val="24"/>
      </w:rPr>
    </w:lvl>
    <w:lvl w:ilvl="2">
      <w:start w:val="1"/>
      <w:numFmt w:val="decimal"/>
      <w:lvlText w:val="%1.%2.%3."/>
      <w:lvlJc w:val="left"/>
      <w:pPr>
        <w:ind w:left="908" w:hanging="649"/>
        <w:jc w:val="left"/>
      </w:pPr>
      <w:rPr>
        <w:rFonts w:hint="default" w:ascii="Cambria" w:hAnsi="Cambria" w:eastAsia="Cambria" w:cs="Cambria"/>
        <w:b/>
        <w:bCs/>
        <w:spacing w:val="-3"/>
        <w:w w:val="100"/>
        <w:sz w:val="24"/>
        <w:szCs w:val="24"/>
      </w:rPr>
    </w:lvl>
    <w:lvl w:ilvl="3">
      <w:start w:val="1"/>
      <w:numFmt w:val="bullet"/>
      <w:lvlText w:val="•"/>
      <w:lvlJc w:val="left"/>
      <w:pPr>
        <w:ind w:left="1955" w:hanging="649"/>
      </w:pPr>
      <w:rPr>
        <w:rFonts w:hint="default"/>
      </w:rPr>
    </w:lvl>
    <w:lvl w:ilvl="4">
      <w:start w:val="1"/>
      <w:numFmt w:val="bullet"/>
      <w:lvlText w:val="•"/>
      <w:lvlJc w:val="left"/>
      <w:pPr>
        <w:ind w:left="3010" w:hanging="649"/>
      </w:pPr>
      <w:rPr>
        <w:rFonts w:hint="default"/>
      </w:rPr>
    </w:lvl>
    <w:lvl w:ilvl="5">
      <w:start w:val="1"/>
      <w:numFmt w:val="bullet"/>
      <w:lvlText w:val="•"/>
      <w:lvlJc w:val="left"/>
      <w:pPr>
        <w:ind w:left="4065" w:hanging="649"/>
      </w:pPr>
      <w:rPr>
        <w:rFonts w:hint="default"/>
      </w:rPr>
    </w:lvl>
    <w:lvl w:ilvl="6">
      <w:start w:val="1"/>
      <w:numFmt w:val="bullet"/>
      <w:lvlText w:val="•"/>
      <w:lvlJc w:val="left"/>
      <w:pPr>
        <w:ind w:left="5120" w:hanging="649"/>
      </w:pPr>
      <w:rPr>
        <w:rFonts w:hint="default"/>
      </w:rPr>
    </w:lvl>
    <w:lvl w:ilvl="7">
      <w:start w:val="1"/>
      <w:numFmt w:val="bullet"/>
      <w:lvlText w:val="•"/>
      <w:lvlJc w:val="left"/>
      <w:pPr>
        <w:ind w:left="6175" w:hanging="649"/>
      </w:pPr>
      <w:rPr>
        <w:rFonts w:hint="default"/>
      </w:rPr>
    </w:lvl>
    <w:lvl w:ilvl="8">
      <w:start w:val="1"/>
      <w:numFmt w:val="bullet"/>
      <w:lvlText w:val="•"/>
      <w:lvlJc w:val="left"/>
      <w:pPr>
        <w:ind w:left="7230" w:hanging="649"/>
      </w:pPr>
      <w:rPr>
        <w:rFonts w:hint="default"/>
      </w:rPr>
    </w:lvl>
  </w:abstractNum>
  <w:abstractNum w:abstractNumId="10">
    <w:multiLevelType w:val="hybridMultilevel"/>
    <w:lvl w:ilvl="0">
      <w:start w:val="1"/>
      <w:numFmt w:val="lowerLetter"/>
      <w:lvlText w:val="%1)"/>
      <w:lvlJc w:val="left"/>
      <w:pPr>
        <w:ind w:left="441" w:hanging="351"/>
        <w:jc w:val="left"/>
      </w:pPr>
      <w:rPr>
        <w:rFonts w:hint="default"/>
        <w:spacing w:val="0"/>
        <w:w w:val="100"/>
      </w:rPr>
    </w:lvl>
    <w:lvl w:ilvl="1">
      <w:start w:val="1"/>
      <w:numFmt w:val="bullet"/>
      <w:lvlText w:val="•"/>
      <w:lvlJc w:val="left"/>
      <w:pPr>
        <w:ind w:left="714" w:hanging="351"/>
      </w:pPr>
      <w:rPr>
        <w:rFonts w:hint="default"/>
      </w:rPr>
    </w:lvl>
    <w:lvl w:ilvl="2">
      <w:start w:val="1"/>
      <w:numFmt w:val="bullet"/>
      <w:lvlText w:val="•"/>
      <w:lvlJc w:val="left"/>
      <w:pPr>
        <w:ind w:left="989" w:hanging="351"/>
      </w:pPr>
      <w:rPr>
        <w:rFonts w:hint="default"/>
      </w:rPr>
    </w:lvl>
    <w:lvl w:ilvl="3">
      <w:start w:val="1"/>
      <w:numFmt w:val="bullet"/>
      <w:lvlText w:val="•"/>
      <w:lvlJc w:val="left"/>
      <w:pPr>
        <w:ind w:left="1264" w:hanging="351"/>
      </w:pPr>
      <w:rPr>
        <w:rFonts w:hint="default"/>
      </w:rPr>
    </w:lvl>
    <w:lvl w:ilvl="4">
      <w:start w:val="1"/>
      <w:numFmt w:val="bullet"/>
      <w:lvlText w:val="•"/>
      <w:lvlJc w:val="left"/>
      <w:pPr>
        <w:ind w:left="1539" w:hanging="351"/>
      </w:pPr>
      <w:rPr>
        <w:rFonts w:hint="default"/>
      </w:rPr>
    </w:lvl>
    <w:lvl w:ilvl="5">
      <w:start w:val="1"/>
      <w:numFmt w:val="bullet"/>
      <w:lvlText w:val="•"/>
      <w:lvlJc w:val="left"/>
      <w:pPr>
        <w:ind w:left="1814" w:hanging="351"/>
      </w:pPr>
      <w:rPr>
        <w:rFonts w:hint="default"/>
      </w:rPr>
    </w:lvl>
    <w:lvl w:ilvl="6">
      <w:start w:val="1"/>
      <w:numFmt w:val="bullet"/>
      <w:lvlText w:val="•"/>
      <w:lvlJc w:val="left"/>
      <w:pPr>
        <w:ind w:left="2088" w:hanging="351"/>
      </w:pPr>
      <w:rPr>
        <w:rFonts w:hint="default"/>
      </w:rPr>
    </w:lvl>
    <w:lvl w:ilvl="7">
      <w:start w:val="1"/>
      <w:numFmt w:val="bullet"/>
      <w:lvlText w:val="•"/>
      <w:lvlJc w:val="left"/>
      <w:pPr>
        <w:ind w:left="2363" w:hanging="351"/>
      </w:pPr>
      <w:rPr>
        <w:rFonts w:hint="default"/>
      </w:rPr>
    </w:lvl>
    <w:lvl w:ilvl="8">
      <w:start w:val="1"/>
      <w:numFmt w:val="bullet"/>
      <w:lvlText w:val="•"/>
      <w:lvlJc w:val="left"/>
      <w:pPr>
        <w:ind w:left="2638" w:hanging="351"/>
      </w:pPr>
      <w:rPr>
        <w:rFonts w:hint="default"/>
      </w:rPr>
    </w:lvl>
  </w:abstractNum>
  <w:abstractNum w:abstractNumId="9">
    <w:multiLevelType w:val="hybridMultilevel"/>
    <w:lvl w:ilvl="0">
      <w:start w:val="1"/>
      <w:numFmt w:val="decimal"/>
      <w:lvlText w:val="%1"/>
      <w:lvlJc w:val="left"/>
      <w:pPr>
        <w:ind w:left="259" w:hanging="486"/>
        <w:jc w:val="left"/>
      </w:pPr>
      <w:rPr>
        <w:rFonts w:hint="default"/>
      </w:rPr>
    </w:lvl>
    <w:lvl w:ilvl="1">
      <w:start w:val="2"/>
      <w:numFmt w:val="decimal"/>
      <w:lvlText w:val="%1.%2."/>
      <w:lvlJc w:val="left"/>
      <w:pPr>
        <w:ind w:left="259" w:hanging="486"/>
        <w:jc w:val="left"/>
      </w:pPr>
      <w:rPr>
        <w:rFonts w:hint="default" w:ascii="Cambria" w:hAnsi="Cambria" w:eastAsia="Cambria" w:cs="Cambria"/>
        <w:b/>
        <w:bCs/>
        <w:spacing w:val="-25"/>
        <w:w w:val="100"/>
        <w:sz w:val="24"/>
        <w:szCs w:val="24"/>
      </w:rPr>
    </w:lvl>
    <w:lvl w:ilvl="2">
      <w:start w:val="1"/>
      <w:numFmt w:val="bullet"/>
      <w:lvlText w:val="•"/>
      <w:lvlJc w:val="left"/>
      <w:pPr>
        <w:ind w:left="2076" w:hanging="486"/>
      </w:pPr>
      <w:rPr>
        <w:rFonts w:hint="default"/>
      </w:rPr>
    </w:lvl>
    <w:lvl w:ilvl="3">
      <w:start w:val="1"/>
      <w:numFmt w:val="bullet"/>
      <w:lvlText w:val="•"/>
      <w:lvlJc w:val="left"/>
      <w:pPr>
        <w:ind w:left="2984" w:hanging="486"/>
      </w:pPr>
      <w:rPr>
        <w:rFonts w:hint="default"/>
      </w:rPr>
    </w:lvl>
    <w:lvl w:ilvl="4">
      <w:start w:val="1"/>
      <w:numFmt w:val="bullet"/>
      <w:lvlText w:val="•"/>
      <w:lvlJc w:val="left"/>
      <w:pPr>
        <w:ind w:left="3892" w:hanging="486"/>
      </w:pPr>
      <w:rPr>
        <w:rFonts w:hint="default"/>
      </w:rPr>
    </w:lvl>
    <w:lvl w:ilvl="5">
      <w:start w:val="1"/>
      <w:numFmt w:val="bullet"/>
      <w:lvlText w:val="•"/>
      <w:lvlJc w:val="left"/>
      <w:pPr>
        <w:ind w:left="4800" w:hanging="486"/>
      </w:pPr>
      <w:rPr>
        <w:rFonts w:hint="default"/>
      </w:rPr>
    </w:lvl>
    <w:lvl w:ilvl="6">
      <w:start w:val="1"/>
      <w:numFmt w:val="bullet"/>
      <w:lvlText w:val="•"/>
      <w:lvlJc w:val="left"/>
      <w:pPr>
        <w:ind w:left="5708" w:hanging="486"/>
      </w:pPr>
      <w:rPr>
        <w:rFonts w:hint="default"/>
      </w:rPr>
    </w:lvl>
    <w:lvl w:ilvl="7">
      <w:start w:val="1"/>
      <w:numFmt w:val="bullet"/>
      <w:lvlText w:val="•"/>
      <w:lvlJc w:val="left"/>
      <w:pPr>
        <w:ind w:left="6616" w:hanging="486"/>
      </w:pPr>
      <w:rPr>
        <w:rFonts w:hint="default"/>
      </w:rPr>
    </w:lvl>
    <w:lvl w:ilvl="8">
      <w:start w:val="1"/>
      <w:numFmt w:val="bullet"/>
      <w:lvlText w:val="•"/>
      <w:lvlJc w:val="left"/>
      <w:pPr>
        <w:ind w:left="7524" w:hanging="486"/>
      </w:pPr>
      <w:rPr>
        <w:rFonts w:hint="default"/>
      </w:rPr>
    </w:lvl>
  </w:abstractNum>
  <w:abstractNum w:abstractNumId="8">
    <w:multiLevelType w:val="hybridMultilevel"/>
    <w:lvl w:ilvl="0">
      <w:start w:val="2"/>
      <w:numFmt w:val="decimal"/>
      <w:lvlText w:val="%1"/>
      <w:lvlJc w:val="left"/>
      <w:pPr>
        <w:ind w:left="893" w:hanging="351"/>
        <w:jc w:val="left"/>
      </w:pPr>
      <w:rPr>
        <w:rFonts w:hint="default"/>
      </w:rPr>
    </w:lvl>
    <w:lvl w:ilvl="1">
      <w:start w:val="3"/>
      <w:numFmt w:val="decimal"/>
      <w:lvlText w:val="%1.%2"/>
      <w:lvlJc w:val="left"/>
      <w:pPr>
        <w:ind w:left="893" w:hanging="351"/>
        <w:jc w:val="left"/>
      </w:pPr>
      <w:rPr>
        <w:rFonts w:hint="default" w:ascii="Cambria" w:hAnsi="Cambria" w:eastAsia="Cambria" w:cs="Cambria"/>
        <w:i/>
        <w:spacing w:val="-2"/>
        <w:w w:val="100"/>
        <w:sz w:val="24"/>
        <w:szCs w:val="24"/>
      </w:rPr>
    </w:lvl>
    <w:lvl w:ilvl="2">
      <w:start w:val="1"/>
      <w:numFmt w:val="bullet"/>
      <w:lvlText w:val="•"/>
      <w:lvlJc w:val="left"/>
      <w:pPr>
        <w:ind w:left="2588" w:hanging="351"/>
      </w:pPr>
      <w:rPr>
        <w:rFonts w:hint="default"/>
      </w:rPr>
    </w:lvl>
    <w:lvl w:ilvl="3">
      <w:start w:val="1"/>
      <w:numFmt w:val="bullet"/>
      <w:lvlText w:val="•"/>
      <w:lvlJc w:val="left"/>
      <w:pPr>
        <w:ind w:left="3432" w:hanging="351"/>
      </w:pPr>
      <w:rPr>
        <w:rFonts w:hint="default"/>
      </w:rPr>
    </w:lvl>
    <w:lvl w:ilvl="4">
      <w:start w:val="1"/>
      <w:numFmt w:val="bullet"/>
      <w:lvlText w:val="•"/>
      <w:lvlJc w:val="left"/>
      <w:pPr>
        <w:ind w:left="4276" w:hanging="351"/>
      </w:pPr>
      <w:rPr>
        <w:rFonts w:hint="default"/>
      </w:rPr>
    </w:lvl>
    <w:lvl w:ilvl="5">
      <w:start w:val="1"/>
      <w:numFmt w:val="bullet"/>
      <w:lvlText w:val="•"/>
      <w:lvlJc w:val="left"/>
      <w:pPr>
        <w:ind w:left="5120" w:hanging="351"/>
      </w:pPr>
      <w:rPr>
        <w:rFonts w:hint="default"/>
      </w:rPr>
    </w:lvl>
    <w:lvl w:ilvl="6">
      <w:start w:val="1"/>
      <w:numFmt w:val="bullet"/>
      <w:lvlText w:val="•"/>
      <w:lvlJc w:val="left"/>
      <w:pPr>
        <w:ind w:left="5964" w:hanging="351"/>
      </w:pPr>
      <w:rPr>
        <w:rFonts w:hint="default"/>
      </w:rPr>
    </w:lvl>
    <w:lvl w:ilvl="7">
      <w:start w:val="1"/>
      <w:numFmt w:val="bullet"/>
      <w:lvlText w:val="•"/>
      <w:lvlJc w:val="left"/>
      <w:pPr>
        <w:ind w:left="6808" w:hanging="351"/>
      </w:pPr>
      <w:rPr>
        <w:rFonts w:hint="default"/>
      </w:rPr>
    </w:lvl>
    <w:lvl w:ilvl="8">
      <w:start w:val="1"/>
      <w:numFmt w:val="bullet"/>
      <w:lvlText w:val="•"/>
      <w:lvlJc w:val="left"/>
      <w:pPr>
        <w:ind w:left="7652" w:hanging="351"/>
      </w:pPr>
      <w:rPr>
        <w:rFonts w:hint="default"/>
      </w:rPr>
    </w:lvl>
  </w:abstractNum>
  <w:abstractNum w:abstractNumId="7">
    <w:multiLevelType w:val="hybridMultilevel"/>
    <w:lvl w:ilvl="0">
      <w:start w:val="1"/>
      <w:numFmt w:val="decimal"/>
      <w:lvlText w:val="%1."/>
      <w:lvlJc w:val="left"/>
      <w:pPr>
        <w:ind w:left="514" w:hanging="255"/>
        <w:jc w:val="right"/>
      </w:pPr>
      <w:rPr>
        <w:rFonts w:hint="default"/>
        <w:b/>
        <w:bCs/>
        <w:spacing w:val="0"/>
        <w:w w:val="100"/>
      </w:rPr>
    </w:lvl>
    <w:lvl w:ilvl="1">
      <w:start w:val="1"/>
      <w:numFmt w:val="decimal"/>
      <w:lvlText w:val="%1.%2"/>
      <w:lvlJc w:val="left"/>
      <w:pPr>
        <w:ind w:left="259" w:hanging="433"/>
        <w:jc w:val="left"/>
      </w:pPr>
      <w:rPr>
        <w:rFonts w:hint="default" w:ascii="Cambria" w:hAnsi="Cambria" w:eastAsia="Cambria" w:cs="Cambria"/>
        <w:b/>
        <w:bCs/>
        <w:i/>
        <w:spacing w:val="-8"/>
        <w:w w:val="100"/>
        <w:sz w:val="24"/>
        <w:szCs w:val="24"/>
      </w:rPr>
    </w:lvl>
    <w:lvl w:ilvl="2">
      <w:start w:val="1"/>
      <w:numFmt w:val="decimal"/>
      <w:lvlText w:val="%1.%2.%3."/>
      <w:lvlJc w:val="left"/>
      <w:pPr>
        <w:ind w:left="1119" w:hanging="577"/>
        <w:jc w:val="left"/>
      </w:pPr>
      <w:rPr>
        <w:rFonts w:hint="default" w:ascii="Cambria" w:hAnsi="Cambria" w:eastAsia="Cambria" w:cs="Cambria"/>
        <w:i/>
        <w:spacing w:val="-2"/>
        <w:w w:val="100"/>
        <w:sz w:val="24"/>
        <w:szCs w:val="24"/>
      </w:rPr>
    </w:lvl>
    <w:lvl w:ilvl="3">
      <w:start w:val="1"/>
      <w:numFmt w:val="bullet"/>
      <w:lvlText w:val="•"/>
      <w:lvlJc w:val="left"/>
      <w:pPr>
        <w:ind w:left="2147" w:hanging="577"/>
      </w:pPr>
      <w:rPr>
        <w:rFonts w:hint="default"/>
      </w:rPr>
    </w:lvl>
    <w:lvl w:ilvl="4">
      <w:start w:val="1"/>
      <w:numFmt w:val="bullet"/>
      <w:lvlText w:val="•"/>
      <w:lvlJc w:val="left"/>
      <w:pPr>
        <w:ind w:left="3175" w:hanging="577"/>
      </w:pPr>
      <w:rPr>
        <w:rFonts w:hint="default"/>
      </w:rPr>
    </w:lvl>
    <w:lvl w:ilvl="5">
      <w:start w:val="1"/>
      <w:numFmt w:val="bullet"/>
      <w:lvlText w:val="•"/>
      <w:lvlJc w:val="left"/>
      <w:pPr>
        <w:ind w:left="4202" w:hanging="577"/>
      </w:pPr>
      <w:rPr>
        <w:rFonts w:hint="default"/>
      </w:rPr>
    </w:lvl>
    <w:lvl w:ilvl="6">
      <w:start w:val="1"/>
      <w:numFmt w:val="bullet"/>
      <w:lvlText w:val="•"/>
      <w:lvlJc w:val="left"/>
      <w:pPr>
        <w:ind w:left="5230" w:hanging="577"/>
      </w:pPr>
      <w:rPr>
        <w:rFonts w:hint="default"/>
      </w:rPr>
    </w:lvl>
    <w:lvl w:ilvl="7">
      <w:start w:val="1"/>
      <w:numFmt w:val="bullet"/>
      <w:lvlText w:val="•"/>
      <w:lvlJc w:val="left"/>
      <w:pPr>
        <w:ind w:left="6257" w:hanging="577"/>
      </w:pPr>
      <w:rPr>
        <w:rFonts w:hint="default"/>
      </w:rPr>
    </w:lvl>
    <w:lvl w:ilvl="8">
      <w:start w:val="1"/>
      <w:numFmt w:val="bullet"/>
      <w:lvlText w:val="•"/>
      <w:lvlJc w:val="left"/>
      <w:pPr>
        <w:ind w:left="7285" w:hanging="577"/>
      </w:pPr>
      <w:rPr>
        <w:rFonts w:hint="default"/>
      </w:rPr>
    </w:lvl>
  </w:abstractNum>
  <w:abstractNum w:abstractNumId="6">
    <w:multiLevelType w:val="hybridMultilevel"/>
    <w:lvl w:ilvl="0">
      <w:start w:val="1"/>
      <w:numFmt w:val="decimal"/>
      <w:lvlText w:val="%1)"/>
      <w:lvlJc w:val="left"/>
      <w:pPr>
        <w:ind w:left="980" w:hanging="346"/>
        <w:jc w:val="left"/>
      </w:pPr>
      <w:rPr>
        <w:rFonts w:hint="default" w:ascii="Cambria" w:hAnsi="Cambria" w:eastAsia="Cambria" w:cs="Cambria"/>
        <w:spacing w:val="-6"/>
        <w:w w:val="100"/>
        <w:sz w:val="24"/>
        <w:szCs w:val="24"/>
      </w:rPr>
    </w:lvl>
    <w:lvl w:ilvl="1">
      <w:start w:val="1"/>
      <w:numFmt w:val="bullet"/>
      <w:lvlText w:val="•"/>
      <w:lvlJc w:val="left"/>
      <w:pPr>
        <w:ind w:left="1816" w:hanging="346"/>
      </w:pPr>
      <w:rPr>
        <w:rFonts w:hint="default"/>
      </w:rPr>
    </w:lvl>
    <w:lvl w:ilvl="2">
      <w:start w:val="1"/>
      <w:numFmt w:val="bullet"/>
      <w:lvlText w:val="•"/>
      <w:lvlJc w:val="left"/>
      <w:pPr>
        <w:ind w:left="2652" w:hanging="346"/>
      </w:pPr>
      <w:rPr>
        <w:rFonts w:hint="default"/>
      </w:rPr>
    </w:lvl>
    <w:lvl w:ilvl="3">
      <w:start w:val="1"/>
      <w:numFmt w:val="bullet"/>
      <w:lvlText w:val="•"/>
      <w:lvlJc w:val="left"/>
      <w:pPr>
        <w:ind w:left="3488" w:hanging="346"/>
      </w:pPr>
      <w:rPr>
        <w:rFonts w:hint="default"/>
      </w:rPr>
    </w:lvl>
    <w:lvl w:ilvl="4">
      <w:start w:val="1"/>
      <w:numFmt w:val="bullet"/>
      <w:lvlText w:val="•"/>
      <w:lvlJc w:val="left"/>
      <w:pPr>
        <w:ind w:left="4324" w:hanging="346"/>
      </w:pPr>
      <w:rPr>
        <w:rFonts w:hint="default"/>
      </w:rPr>
    </w:lvl>
    <w:lvl w:ilvl="5">
      <w:start w:val="1"/>
      <w:numFmt w:val="bullet"/>
      <w:lvlText w:val="•"/>
      <w:lvlJc w:val="left"/>
      <w:pPr>
        <w:ind w:left="5160" w:hanging="346"/>
      </w:pPr>
      <w:rPr>
        <w:rFonts w:hint="default"/>
      </w:rPr>
    </w:lvl>
    <w:lvl w:ilvl="6">
      <w:start w:val="1"/>
      <w:numFmt w:val="bullet"/>
      <w:lvlText w:val="•"/>
      <w:lvlJc w:val="left"/>
      <w:pPr>
        <w:ind w:left="5996" w:hanging="346"/>
      </w:pPr>
      <w:rPr>
        <w:rFonts w:hint="default"/>
      </w:rPr>
    </w:lvl>
    <w:lvl w:ilvl="7">
      <w:start w:val="1"/>
      <w:numFmt w:val="bullet"/>
      <w:lvlText w:val="•"/>
      <w:lvlJc w:val="left"/>
      <w:pPr>
        <w:ind w:left="6832" w:hanging="346"/>
      </w:pPr>
      <w:rPr>
        <w:rFonts w:hint="default"/>
      </w:rPr>
    </w:lvl>
    <w:lvl w:ilvl="8">
      <w:start w:val="1"/>
      <w:numFmt w:val="bullet"/>
      <w:lvlText w:val="•"/>
      <w:lvlJc w:val="left"/>
      <w:pPr>
        <w:ind w:left="7668" w:hanging="346"/>
      </w:pPr>
      <w:rPr>
        <w:rFonts w:hint="default"/>
      </w:rPr>
    </w:lvl>
  </w:abstractNum>
  <w:abstractNum w:abstractNumId="5">
    <w:multiLevelType w:val="hybridMultilevel"/>
    <w:lvl w:ilvl="0">
      <w:start w:val="1"/>
      <w:numFmt w:val="bullet"/>
      <w:lvlText w:val=""/>
      <w:lvlJc w:val="left"/>
      <w:pPr>
        <w:ind w:left="246" w:hanging="204"/>
      </w:pPr>
      <w:rPr>
        <w:rFonts w:hint="default"/>
        <w:w w:val="103"/>
      </w:rPr>
    </w:lvl>
    <w:lvl w:ilvl="1">
      <w:start w:val="1"/>
      <w:numFmt w:val="bullet"/>
      <w:lvlText w:val=""/>
      <w:lvlJc w:val="left"/>
      <w:pPr>
        <w:ind w:left="504" w:hanging="349"/>
      </w:pPr>
      <w:rPr>
        <w:rFonts w:hint="default" w:ascii="Symbol" w:hAnsi="Symbol" w:eastAsia="Symbol" w:cs="Symbol"/>
        <w:w w:val="103"/>
        <w:sz w:val="27"/>
        <w:szCs w:val="27"/>
      </w:rPr>
    </w:lvl>
    <w:lvl w:ilvl="2">
      <w:start w:val="1"/>
      <w:numFmt w:val="bullet"/>
      <w:lvlText w:val=""/>
      <w:lvlJc w:val="left"/>
      <w:pPr>
        <w:ind w:left="892" w:hanging="372"/>
      </w:pPr>
      <w:rPr>
        <w:rFonts w:hint="default" w:ascii="Symbol" w:hAnsi="Symbol" w:eastAsia="Symbol" w:cs="Symbol"/>
        <w:w w:val="111"/>
        <w:sz w:val="27"/>
        <w:szCs w:val="27"/>
      </w:rPr>
    </w:lvl>
    <w:lvl w:ilvl="3">
      <w:start w:val="1"/>
      <w:numFmt w:val="bullet"/>
      <w:lvlText w:val="•"/>
      <w:lvlJc w:val="left"/>
      <w:pPr>
        <w:ind w:left="900" w:hanging="372"/>
      </w:pPr>
      <w:rPr>
        <w:rFonts w:hint="default"/>
      </w:rPr>
    </w:lvl>
    <w:lvl w:ilvl="4">
      <w:start w:val="1"/>
      <w:numFmt w:val="bullet"/>
      <w:lvlText w:val="•"/>
      <w:lvlJc w:val="left"/>
      <w:pPr>
        <w:ind w:left="352" w:hanging="372"/>
      </w:pPr>
      <w:rPr>
        <w:rFonts w:hint="default"/>
      </w:rPr>
    </w:lvl>
    <w:lvl w:ilvl="5">
      <w:start w:val="1"/>
      <w:numFmt w:val="bullet"/>
      <w:lvlText w:val="•"/>
      <w:lvlJc w:val="left"/>
      <w:pPr>
        <w:ind w:left="-196" w:hanging="372"/>
      </w:pPr>
      <w:rPr>
        <w:rFonts w:hint="default"/>
      </w:rPr>
    </w:lvl>
    <w:lvl w:ilvl="6">
      <w:start w:val="1"/>
      <w:numFmt w:val="bullet"/>
      <w:lvlText w:val="•"/>
      <w:lvlJc w:val="left"/>
      <w:pPr>
        <w:ind w:left="-743" w:hanging="372"/>
      </w:pPr>
      <w:rPr>
        <w:rFonts w:hint="default"/>
      </w:rPr>
    </w:lvl>
    <w:lvl w:ilvl="7">
      <w:start w:val="1"/>
      <w:numFmt w:val="bullet"/>
      <w:lvlText w:val="•"/>
      <w:lvlJc w:val="left"/>
      <w:pPr>
        <w:ind w:left="-1291" w:hanging="372"/>
      </w:pPr>
      <w:rPr>
        <w:rFonts w:hint="default"/>
      </w:rPr>
    </w:lvl>
    <w:lvl w:ilvl="8">
      <w:start w:val="1"/>
      <w:numFmt w:val="bullet"/>
      <w:lvlText w:val="•"/>
      <w:lvlJc w:val="left"/>
      <w:pPr>
        <w:ind w:left="-1838" w:hanging="372"/>
      </w:pPr>
      <w:rPr>
        <w:rFonts w:hint="default"/>
      </w:rPr>
    </w:lvl>
  </w:abstractNum>
  <w:abstractNum w:abstractNumId="4">
    <w:multiLevelType w:val="hybridMultilevel"/>
    <w:lvl w:ilvl="0">
      <w:start w:val="10"/>
      <w:numFmt w:val="lowerLetter"/>
      <w:lvlText w:val="%1"/>
      <w:lvlJc w:val="left"/>
      <w:pPr>
        <w:ind w:left="735" w:hanging="149"/>
        <w:jc w:val="right"/>
      </w:pPr>
      <w:rPr>
        <w:rFonts w:hint="default" w:ascii="Times New Roman" w:hAnsi="Times New Roman" w:eastAsia="Times New Roman" w:cs="Times New Roman"/>
        <w:w w:val="96"/>
        <w:position w:val="5"/>
        <w:sz w:val="17"/>
        <w:szCs w:val="17"/>
      </w:rPr>
    </w:lvl>
    <w:lvl w:ilvl="1">
      <w:start w:val="1"/>
      <w:numFmt w:val="bullet"/>
      <w:lvlText w:val="•"/>
      <w:lvlJc w:val="left"/>
      <w:pPr>
        <w:ind w:left="1360" w:hanging="149"/>
      </w:pPr>
      <w:rPr>
        <w:rFonts w:hint="default"/>
      </w:rPr>
    </w:lvl>
    <w:lvl w:ilvl="2">
      <w:start w:val="1"/>
      <w:numFmt w:val="bullet"/>
      <w:lvlText w:val="•"/>
      <w:lvlJc w:val="left"/>
      <w:pPr>
        <w:ind w:left="2040" w:hanging="149"/>
      </w:pPr>
      <w:rPr>
        <w:rFonts w:hint="default"/>
      </w:rPr>
    </w:lvl>
    <w:lvl w:ilvl="3">
      <w:start w:val="1"/>
      <w:numFmt w:val="bullet"/>
      <w:lvlText w:val="•"/>
      <w:lvlJc w:val="left"/>
      <w:pPr>
        <w:ind w:left="3880" w:hanging="149"/>
      </w:pPr>
      <w:rPr>
        <w:rFonts w:hint="default"/>
      </w:rPr>
    </w:lvl>
    <w:lvl w:ilvl="4">
      <w:start w:val="1"/>
      <w:numFmt w:val="bullet"/>
      <w:lvlText w:val="•"/>
      <w:lvlJc w:val="left"/>
      <w:pPr>
        <w:ind w:left="3960" w:hanging="149"/>
      </w:pPr>
      <w:rPr>
        <w:rFonts w:hint="default"/>
      </w:rPr>
    </w:lvl>
    <w:lvl w:ilvl="5">
      <w:start w:val="1"/>
      <w:numFmt w:val="bullet"/>
      <w:lvlText w:val="•"/>
      <w:lvlJc w:val="left"/>
      <w:pPr>
        <w:ind w:left="4940" w:hanging="149"/>
      </w:pPr>
      <w:rPr>
        <w:rFonts w:hint="default"/>
      </w:rPr>
    </w:lvl>
    <w:lvl w:ilvl="6">
      <w:start w:val="1"/>
      <w:numFmt w:val="bullet"/>
      <w:lvlText w:val="•"/>
      <w:lvlJc w:val="left"/>
      <w:pPr>
        <w:ind w:left="3449" w:hanging="149"/>
      </w:pPr>
      <w:rPr>
        <w:rFonts w:hint="default"/>
      </w:rPr>
    </w:lvl>
    <w:lvl w:ilvl="7">
      <w:start w:val="1"/>
      <w:numFmt w:val="bullet"/>
      <w:lvlText w:val="•"/>
      <w:lvlJc w:val="left"/>
      <w:pPr>
        <w:ind w:left="1958" w:hanging="149"/>
      </w:pPr>
      <w:rPr>
        <w:rFonts w:hint="default"/>
      </w:rPr>
    </w:lvl>
    <w:lvl w:ilvl="8">
      <w:start w:val="1"/>
      <w:numFmt w:val="bullet"/>
      <w:lvlText w:val="•"/>
      <w:lvlJc w:val="left"/>
      <w:pPr>
        <w:ind w:left="467" w:hanging="149"/>
      </w:pPr>
      <w:rPr>
        <w:rFonts w:hint="default"/>
      </w:rPr>
    </w:lvl>
  </w:abstractNum>
  <w:abstractNum w:abstractNumId="3">
    <w:multiLevelType w:val="hybridMultilevel"/>
    <w:lvl w:ilvl="0">
      <w:start w:val="1"/>
      <w:numFmt w:val="bullet"/>
      <w:lvlText w:val=""/>
      <w:lvlJc w:val="left"/>
      <w:pPr>
        <w:ind w:left="482" w:hanging="200"/>
      </w:pPr>
      <w:rPr>
        <w:rFonts w:hint="default" w:ascii="Symbol" w:hAnsi="Symbol" w:eastAsia="Symbol" w:cs="Symbol"/>
        <w:w w:val="93"/>
        <w:sz w:val="30"/>
        <w:szCs w:val="30"/>
      </w:rPr>
    </w:lvl>
    <w:lvl w:ilvl="1">
      <w:start w:val="1"/>
      <w:numFmt w:val="bullet"/>
      <w:lvlText w:val="•"/>
      <w:lvlJc w:val="left"/>
      <w:pPr>
        <w:ind w:left="604" w:hanging="200"/>
      </w:pPr>
      <w:rPr>
        <w:rFonts w:hint="default"/>
      </w:rPr>
    </w:lvl>
    <w:lvl w:ilvl="2">
      <w:start w:val="1"/>
      <w:numFmt w:val="bullet"/>
      <w:lvlText w:val="•"/>
      <w:lvlJc w:val="left"/>
      <w:pPr>
        <w:ind w:left="729" w:hanging="200"/>
      </w:pPr>
      <w:rPr>
        <w:rFonts w:hint="default"/>
      </w:rPr>
    </w:lvl>
    <w:lvl w:ilvl="3">
      <w:start w:val="1"/>
      <w:numFmt w:val="bullet"/>
      <w:lvlText w:val="•"/>
      <w:lvlJc w:val="left"/>
      <w:pPr>
        <w:ind w:left="853" w:hanging="200"/>
      </w:pPr>
      <w:rPr>
        <w:rFonts w:hint="default"/>
      </w:rPr>
    </w:lvl>
    <w:lvl w:ilvl="4">
      <w:start w:val="1"/>
      <w:numFmt w:val="bullet"/>
      <w:lvlText w:val="•"/>
      <w:lvlJc w:val="left"/>
      <w:pPr>
        <w:ind w:left="978" w:hanging="200"/>
      </w:pPr>
      <w:rPr>
        <w:rFonts w:hint="default"/>
      </w:rPr>
    </w:lvl>
    <w:lvl w:ilvl="5">
      <w:start w:val="1"/>
      <w:numFmt w:val="bullet"/>
      <w:lvlText w:val="•"/>
      <w:lvlJc w:val="left"/>
      <w:pPr>
        <w:ind w:left="1103" w:hanging="200"/>
      </w:pPr>
      <w:rPr>
        <w:rFonts w:hint="default"/>
      </w:rPr>
    </w:lvl>
    <w:lvl w:ilvl="6">
      <w:start w:val="1"/>
      <w:numFmt w:val="bullet"/>
      <w:lvlText w:val="•"/>
      <w:lvlJc w:val="left"/>
      <w:pPr>
        <w:ind w:left="1227" w:hanging="200"/>
      </w:pPr>
      <w:rPr>
        <w:rFonts w:hint="default"/>
      </w:rPr>
    </w:lvl>
    <w:lvl w:ilvl="7">
      <w:start w:val="1"/>
      <w:numFmt w:val="bullet"/>
      <w:lvlText w:val="•"/>
      <w:lvlJc w:val="left"/>
      <w:pPr>
        <w:ind w:left="1352" w:hanging="200"/>
      </w:pPr>
      <w:rPr>
        <w:rFonts w:hint="default"/>
      </w:rPr>
    </w:lvl>
    <w:lvl w:ilvl="8">
      <w:start w:val="1"/>
      <w:numFmt w:val="bullet"/>
      <w:lvlText w:val="•"/>
      <w:lvlJc w:val="left"/>
      <w:pPr>
        <w:ind w:left="1477" w:hanging="200"/>
      </w:pPr>
      <w:rPr>
        <w:rFonts w:hint="default"/>
      </w:rPr>
    </w:lvl>
  </w:abstractNum>
  <w:abstractNum w:abstractNumId="2">
    <w:multiLevelType w:val="hybridMultilevel"/>
    <w:lvl w:ilvl="0">
      <w:start w:val="1"/>
      <w:numFmt w:val="decimal"/>
      <w:lvlText w:val="%1"/>
      <w:lvlJc w:val="left"/>
      <w:pPr>
        <w:ind w:left="624" w:hanging="365"/>
        <w:jc w:val="left"/>
      </w:pPr>
      <w:rPr>
        <w:rFonts w:hint="default"/>
      </w:rPr>
    </w:lvl>
    <w:lvl w:ilvl="1">
      <w:start w:val="2"/>
      <w:numFmt w:val="decimal"/>
      <w:lvlText w:val="%1.%2"/>
      <w:lvlJc w:val="left"/>
      <w:pPr>
        <w:ind w:left="624" w:hanging="365"/>
        <w:jc w:val="left"/>
      </w:pPr>
      <w:rPr>
        <w:rFonts w:hint="default" w:ascii="Times New Roman" w:hAnsi="Times New Roman" w:eastAsia="Times New Roman" w:cs="Times New Roman"/>
        <w:b/>
        <w:bCs/>
        <w:w w:val="100"/>
        <w:sz w:val="24"/>
        <w:szCs w:val="24"/>
      </w:rPr>
    </w:lvl>
    <w:lvl w:ilvl="2">
      <w:start w:val="1"/>
      <w:numFmt w:val="lowerLetter"/>
      <w:lvlText w:val="%3."/>
      <w:lvlJc w:val="left"/>
      <w:pPr>
        <w:ind w:left="1940" w:hanging="216"/>
        <w:jc w:val="left"/>
      </w:pPr>
      <w:rPr>
        <w:rFonts w:hint="default" w:ascii="Cambria" w:hAnsi="Cambria" w:eastAsia="Cambria" w:cs="Cambria"/>
        <w:spacing w:val="-2"/>
        <w:w w:val="100"/>
        <w:sz w:val="24"/>
        <w:szCs w:val="24"/>
      </w:rPr>
    </w:lvl>
    <w:lvl w:ilvl="3">
      <w:start w:val="1"/>
      <w:numFmt w:val="bullet"/>
      <w:lvlText w:val="•"/>
      <w:lvlJc w:val="left"/>
      <w:pPr>
        <w:ind w:left="2935" w:hanging="216"/>
      </w:pPr>
      <w:rPr>
        <w:rFonts w:hint="default"/>
      </w:rPr>
    </w:lvl>
    <w:lvl w:ilvl="4">
      <w:start w:val="1"/>
      <w:numFmt w:val="bullet"/>
      <w:lvlText w:val="•"/>
      <w:lvlJc w:val="left"/>
      <w:pPr>
        <w:ind w:left="3850" w:hanging="216"/>
      </w:pPr>
      <w:rPr>
        <w:rFonts w:hint="default"/>
      </w:rPr>
    </w:lvl>
    <w:lvl w:ilvl="5">
      <w:start w:val="1"/>
      <w:numFmt w:val="bullet"/>
      <w:lvlText w:val="•"/>
      <w:lvlJc w:val="left"/>
      <w:pPr>
        <w:ind w:left="4765" w:hanging="216"/>
      </w:pPr>
      <w:rPr>
        <w:rFonts w:hint="default"/>
      </w:rPr>
    </w:lvl>
    <w:lvl w:ilvl="6">
      <w:start w:val="1"/>
      <w:numFmt w:val="bullet"/>
      <w:lvlText w:val="•"/>
      <w:lvlJc w:val="left"/>
      <w:pPr>
        <w:ind w:left="5680" w:hanging="216"/>
      </w:pPr>
      <w:rPr>
        <w:rFonts w:hint="default"/>
      </w:rPr>
    </w:lvl>
    <w:lvl w:ilvl="7">
      <w:start w:val="1"/>
      <w:numFmt w:val="bullet"/>
      <w:lvlText w:val="•"/>
      <w:lvlJc w:val="left"/>
      <w:pPr>
        <w:ind w:left="6595" w:hanging="216"/>
      </w:pPr>
      <w:rPr>
        <w:rFonts w:hint="default"/>
      </w:rPr>
    </w:lvl>
    <w:lvl w:ilvl="8">
      <w:start w:val="1"/>
      <w:numFmt w:val="bullet"/>
      <w:lvlText w:val="•"/>
      <w:lvlJc w:val="left"/>
      <w:pPr>
        <w:ind w:left="7510" w:hanging="216"/>
      </w:pPr>
      <w:rPr>
        <w:rFonts w:hint="default"/>
      </w:rPr>
    </w:lvl>
  </w:abstractNum>
  <w:abstractNum w:abstractNumId="1">
    <w:multiLevelType w:val="hybridMultilevel"/>
    <w:lvl w:ilvl="0">
      <w:start w:val="1"/>
      <w:numFmt w:val="decimal"/>
      <w:lvlText w:val="%1."/>
      <w:lvlJc w:val="left"/>
      <w:pPr>
        <w:ind w:left="259" w:hanging="346"/>
        <w:jc w:val="right"/>
      </w:pPr>
      <w:rPr>
        <w:rFonts w:hint="default" w:ascii="Cambria" w:hAnsi="Cambria" w:eastAsia="Cambria" w:cs="Cambria"/>
        <w:b/>
        <w:bCs/>
        <w:i/>
        <w:spacing w:val="-2"/>
        <w:w w:val="99"/>
        <w:sz w:val="28"/>
        <w:szCs w:val="28"/>
      </w:rPr>
    </w:lvl>
    <w:lvl w:ilvl="1">
      <w:start w:val="1"/>
      <w:numFmt w:val="decimal"/>
      <w:lvlText w:val="%1.%2."/>
      <w:lvlJc w:val="left"/>
      <w:pPr>
        <w:ind w:left="682" w:hanging="423"/>
        <w:jc w:val="left"/>
      </w:pPr>
      <w:rPr>
        <w:rFonts w:hint="default"/>
        <w:b/>
        <w:bCs/>
        <w:spacing w:val="-5"/>
        <w:w w:val="99"/>
      </w:rPr>
    </w:lvl>
    <w:lvl w:ilvl="2">
      <w:start w:val="1"/>
      <w:numFmt w:val="decimal"/>
      <w:lvlText w:val="%1.%2.%3."/>
      <w:lvlJc w:val="left"/>
      <w:pPr>
        <w:ind w:left="764" w:hanging="423"/>
        <w:jc w:val="left"/>
      </w:pPr>
      <w:rPr>
        <w:rFonts w:hint="default" w:ascii="Times New Roman" w:hAnsi="Times New Roman" w:eastAsia="Times New Roman" w:cs="Times New Roman"/>
        <w:b/>
        <w:bCs/>
        <w:spacing w:val="-5"/>
        <w:w w:val="100"/>
        <w:sz w:val="20"/>
        <w:szCs w:val="20"/>
      </w:rPr>
    </w:lvl>
    <w:lvl w:ilvl="3">
      <w:start w:val="1"/>
      <w:numFmt w:val="bullet"/>
      <w:lvlText w:val="•"/>
      <w:lvlJc w:val="left"/>
      <w:pPr>
        <w:ind w:left="760" w:hanging="423"/>
      </w:pPr>
      <w:rPr>
        <w:rFonts w:hint="default"/>
      </w:rPr>
    </w:lvl>
    <w:lvl w:ilvl="4">
      <w:start w:val="1"/>
      <w:numFmt w:val="bullet"/>
      <w:lvlText w:val="•"/>
      <w:lvlJc w:val="left"/>
      <w:pPr>
        <w:ind w:left="1985" w:hanging="423"/>
      </w:pPr>
      <w:rPr>
        <w:rFonts w:hint="default"/>
      </w:rPr>
    </w:lvl>
    <w:lvl w:ilvl="5">
      <w:start w:val="1"/>
      <w:numFmt w:val="bullet"/>
      <w:lvlText w:val="•"/>
      <w:lvlJc w:val="left"/>
      <w:pPr>
        <w:ind w:left="3211" w:hanging="423"/>
      </w:pPr>
      <w:rPr>
        <w:rFonts w:hint="default"/>
      </w:rPr>
    </w:lvl>
    <w:lvl w:ilvl="6">
      <w:start w:val="1"/>
      <w:numFmt w:val="bullet"/>
      <w:lvlText w:val="•"/>
      <w:lvlJc w:val="left"/>
      <w:pPr>
        <w:ind w:left="4437" w:hanging="423"/>
      </w:pPr>
      <w:rPr>
        <w:rFonts w:hint="default"/>
      </w:rPr>
    </w:lvl>
    <w:lvl w:ilvl="7">
      <w:start w:val="1"/>
      <w:numFmt w:val="bullet"/>
      <w:lvlText w:val="•"/>
      <w:lvlJc w:val="left"/>
      <w:pPr>
        <w:ind w:left="5662" w:hanging="423"/>
      </w:pPr>
      <w:rPr>
        <w:rFonts w:hint="default"/>
      </w:rPr>
    </w:lvl>
    <w:lvl w:ilvl="8">
      <w:start w:val="1"/>
      <w:numFmt w:val="bullet"/>
      <w:lvlText w:val="•"/>
      <w:lvlJc w:val="left"/>
      <w:pPr>
        <w:ind w:left="6888" w:hanging="423"/>
      </w:pPr>
      <w:rPr>
        <w:rFonts w:hint="default"/>
      </w:rPr>
    </w:lvl>
  </w:abstractNum>
  <w:abstractNum w:abstractNumId="0">
    <w:multiLevelType w:val="hybridMultilevel"/>
    <w:lvl w:ilvl="0">
      <w:start w:val="1"/>
      <w:numFmt w:val="decimal"/>
      <w:lvlText w:val="%1."/>
      <w:lvlJc w:val="left"/>
      <w:pPr>
        <w:ind w:left="500" w:hanging="423"/>
        <w:jc w:val="left"/>
      </w:pPr>
      <w:rPr>
        <w:rFonts w:hint="default" w:ascii="Times New Roman" w:hAnsi="Times New Roman" w:eastAsia="Times New Roman" w:cs="Times New Roman"/>
        <w:spacing w:val="-10"/>
        <w:w w:val="99"/>
        <w:sz w:val="24"/>
        <w:szCs w:val="24"/>
      </w:rPr>
    </w:lvl>
    <w:lvl w:ilvl="1">
      <w:start w:val="1"/>
      <w:numFmt w:val="decimal"/>
      <w:lvlText w:val="%1.%2."/>
      <w:lvlJc w:val="left"/>
      <w:pPr>
        <w:ind w:left="1162" w:hanging="422"/>
        <w:jc w:val="left"/>
      </w:pPr>
      <w:rPr>
        <w:rFonts w:hint="default"/>
        <w:w w:val="100"/>
      </w:rPr>
    </w:lvl>
    <w:lvl w:ilvl="2">
      <w:start w:val="1"/>
      <w:numFmt w:val="bullet"/>
      <w:lvlText w:val="•"/>
      <w:lvlJc w:val="left"/>
      <w:pPr>
        <w:ind w:left="1160" w:hanging="422"/>
      </w:pPr>
      <w:rPr>
        <w:rFonts w:hint="default"/>
      </w:rPr>
    </w:lvl>
    <w:lvl w:ilvl="3">
      <w:start w:val="1"/>
      <w:numFmt w:val="bullet"/>
      <w:lvlText w:val="•"/>
      <w:lvlJc w:val="left"/>
      <w:pPr>
        <w:ind w:left="2182" w:hanging="422"/>
      </w:pPr>
      <w:rPr>
        <w:rFonts w:hint="default"/>
      </w:rPr>
    </w:lvl>
    <w:lvl w:ilvl="4">
      <w:start w:val="1"/>
      <w:numFmt w:val="bullet"/>
      <w:lvlText w:val="•"/>
      <w:lvlJc w:val="left"/>
      <w:pPr>
        <w:ind w:left="3205" w:hanging="422"/>
      </w:pPr>
      <w:rPr>
        <w:rFonts w:hint="default"/>
      </w:rPr>
    </w:lvl>
    <w:lvl w:ilvl="5">
      <w:start w:val="1"/>
      <w:numFmt w:val="bullet"/>
      <w:lvlText w:val="•"/>
      <w:lvlJc w:val="left"/>
      <w:pPr>
        <w:ind w:left="4227" w:hanging="422"/>
      </w:pPr>
      <w:rPr>
        <w:rFonts w:hint="default"/>
      </w:rPr>
    </w:lvl>
    <w:lvl w:ilvl="6">
      <w:start w:val="1"/>
      <w:numFmt w:val="bullet"/>
      <w:lvlText w:val="•"/>
      <w:lvlJc w:val="left"/>
      <w:pPr>
        <w:ind w:left="5250" w:hanging="422"/>
      </w:pPr>
      <w:rPr>
        <w:rFonts w:hint="default"/>
      </w:rPr>
    </w:lvl>
    <w:lvl w:ilvl="7">
      <w:start w:val="1"/>
      <w:numFmt w:val="bullet"/>
      <w:lvlText w:val="•"/>
      <w:lvlJc w:val="left"/>
      <w:pPr>
        <w:ind w:left="6272" w:hanging="422"/>
      </w:pPr>
      <w:rPr>
        <w:rFonts w:hint="default"/>
      </w:rPr>
    </w:lvl>
    <w:lvl w:ilvl="8">
      <w:start w:val="1"/>
      <w:numFmt w:val="bullet"/>
      <w:lvlText w:val="•"/>
      <w:lvlJc w:val="left"/>
      <w:pPr>
        <w:ind w:left="7295" w:hanging="422"/>
      </w:pPr>
      <w:rPr>
        <w:rFonts w:hint="default"/>
      </w:rPr>
    </w:lvl>
  </w:abstractNum>
  <w:num w:numId="18">
    <w:abstractNumId w:val="17"/>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137"/>
      <w:ind w:left="259"/>
    </w:pPr>
    <w:rPr>
      <w:rFonts w:ascii="Times New Roman" w:hAnsi="Times New Roman" w:eastAsia="Times New Roman" w:cs="Times New Roman"/>
      <w:sz w:val="24"/>
      <w:szCs w:val="24"/>
    </w:rPr>
  </w:style>
  <w:style w:styleId="TOC2" w:type="paragraph">
    <w:name w:val="TOC 2"/>
    <w:basedOn w:val="Normal"/>
    <w:uiPriority w:val="1"/>
    <w:qFormat/>
    <w:pPr>
      <w:spacing w:before="137"/>
      <w:ind w:left="500"/>
    </w:pPr>
    <w:rPr>
      <w:rFonts w:ascii="Times New Roman" w:hAnsi="Times New Roman" w:eastAsia="Times New Roman" w:cs="Times New Roman"/>
      <w:sz w:val="24"/>
      <w:szCs w:val="24"/>
    </w:rPr>
  </w:style>
  <w:style w:styleId="TOC3" w:type="paragraph">
    <w:name w:val="TOC 3"/>
    <w:basedOn w:val="Normal"/>
    <w:uiPriority w:val="1"/>
    <w:qFormat/>
    <w:pPr>
      <w:spacing w:before="137"/>
      <w:ind w:left="1162" w:hanging="422"/>
    </w:pPr>
    <w:rPr>
      <w:rFonts w:ascii="Times New Roman" w:hAnsi="Times New Roman" w:eastAsia="Times New Roman" w:cs="Times New Roman"/>
      <w:sz w:val="24"/>
      <w:szCs w:val="24"/>
    </w:rPr>
  </w:style>
  <w:style w:styleId="TOC4" w:type="paragraph">
    <w:name w:val="TOC 4"/>
    <w:basedOn w:val="Normal"/>
    <w:uiPriority w:val="1"/>
    <w:qFormat/>
    <w:pPr>
      <w:spacing w:before="137"/>
      <w:ind w:left="740"/>
    </w:pPr>
    <w:rPr>
      <w:rFonts w:ascii="Times New Roman" w:hAnsi="Times New Roman" w:eastAsia="Times New Roman" w:cs="Times New Roman"/>
      <w:b/>
      <w:bCs/>
      <w:i/>
    </w:rPr>
  </w:style>
  <w:style w:styleId="BodyText" w:type="paragraph">
    <w:name w:val="Body Text"/>
    <w:basedOn w:val="Normal"/>
    <w:uiPriority w:val="1"/>
    <w:qFormat/>
    <w:pPr/>
    <w:rPr>
      <w:rFonts w:ascii="Cambria" w:hAnsi="Cambria" w:eastAsia="Cambria" w:cs="Cambria"/>
      <w:sz w:val="24"/>
      <w:szCs w:val="24"/>
    </w:rPr>
  </w:style>
  <w:style w:styleId="Heading1" w:type="paragraph">
    <w:name w:val="Heading 1"/>
    <w:basedOn w:val="Normal"/>
    <w:uiPriority w:val="1"/>
    <w:qFormat/>
    <w:pPr>
      <w:spacing w:before="57"/>
      <w:ind w:left="19"/>
      <w:jc w:val="center"/>
      <w:outlineLvl w:val="1"/>
    </w:pPr>
    <w:rPr>
      <w:rFonts w:ascii="Cambria" w:hAnsi="Cambria" w:eastAsia="Cambria" w:cs="Cambria"/>
      <w:b/>
      <w:bCs/>
      <w:sz w:val="32"/>
      <w:szCs w:val="32"/>
    </w:rPr>
  </w:style>
  <w:style w:styleId="Heading2" w:type="paragraph">
    <w:name w:val="Heading 2"/>
    <w:basedOn w:val="Normal"/>
    <w:uiPriority w:val="1"/>
    <w:qFormat/>
    <w:pPr>
      <w:spacing w:before="59"/>
      <w:ind w:left="259"/>
      <w:outlineLvl w:val="2"/>
    </w:pPr>
    <w:rPr>
      <w:rFonts w:ascii="Cambria" w:hAnsi="Cambria" w:eastAsia="Cambria" w:cs="Cambria"/>
      <w:b/>
      <w:bCs/>
      <w:i/>
      <w:sz w:val="28"/>
      <w:szCs w:val="28"/>
    </w:rPr>
  </w:style>
  <w:style w:styleId="Heading3" w:type="paragraph">
    <w:name w:val="Heading 3"/>
    <w:basedOn w:val="Normal"/>
    <w:uiPriority w:val="1"/>
    <w:qFormat/>
    <w:pPr>
      <w:ind w:left="682"/>
      <w:outlineLvl w:val="3"/>
    </w:pPr>
    <w:rPr>
      <w:rFonts w:ascii="Cambria" w:hAnsi="Cambria" w:eastAsia="Cambria" w:cs="Cambria"/>
      <w:b/>
      <w:bCs/>
      <w:sz w:val="24"/>
      <w:szCs w:val="24"/>
    </w:rPr>
  </w:style>
  <w:style w:styleId="Heading4" w:type="paragraph">
    <w:name w:val="Heading 4"/>
    <w:basedOn w:val="Normal"/>
    <w:uiPriority w:val="1"/>
    <w:qFormat/>
    <w:pPr>
      <w:ind w:left="681" w:hanging="422"/>
      <w:jc w:val="both"/>
      <w:outlineLvl w:val="4"/>
    </w:pPr>
    <w:rPr>
      <w:rFonts w:ascii="Cambria" w:hAnsi="Cambria" w:eastAsia="Cambria" w:cs="Cambria"/>
      <w:b/>
      <w:bCs/>
      <w:i/>
      <w:sz w:val="24"/>
      <w:szCs w:val="24"/>
    </w:rPr>
  </w:style>
  <w:style w:styleId="ListParagraph" w:type="paragraph">
    <w:name w:val="List Paragraph"/>
    <w:basedOn w:val="Normal"/>
    <w:uiPriority w:val="1"/>
    <w:qFormat/>
    <w:pPr>
      <w:ind w:left="259" w:hanging="422"/>
    </w:pPr>
    <w:rPr>
      <w:rFonts w:ascii="Cambria" w:hAnsi="Cambria" w:eastAsia="Cambria" w:cs="Cambria"/>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eader" Target="header2.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image" Target="media/image2.jpeg"/><Relationship Id="rId13" Type="http://schemas.openxmlformats.org/officeDocument/2006/relationships/image" Target="media/image3.jpeg"/><Relationship Id="rId14" Type="http://schemas.openxmlformats.org/officeDocument/2006/relationships/image" Target="media/image4.jpeg"/><Relationship Id="rId15" Type="http://schemas.openxmlformats.org/officeDocument/2006/relationships/image" Target="media/image5.jpe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hyperlink" Target="https://en.wikipedia.org/wiki/Myristoleic_acid" TargetMode="External"/><Relationship Id="rId19" Type="http://schemas.openxmlformats.org/officeDocument/2006/relationships/image" Target="media/image8.png"/><Relationship Id="rId20" Type="http://schemas.openxmlformats.org/officeDocument/2006/relationships/hyperlink" Target="https://en.wikipedia.org/wiki/Palmitoleic_acid" TargetMode="External"/><Relationship Id="rId21" Type="http://schemas.openxmlformats.org/officeDocument/2006/relationships/image" Target="media/image9.png"/><Relationship Id="rId22" Type="http://schemas.openxmlformats.org/officeDocument/2006/relationships/hyperlink" Target="https://en.wikipedia.org/wiki/Sapienic_acid" TargetMode="External"/><Relationship Id="rId23" Type="http://schemas.openxmlformats.org/officeDocument/2006/relationships/image" Target="media/image10.png"/><Relationship Id="rId24" Type="http://schemas.openxmlformats.org/officeDocument/2006/relationships/hyperlink" Target="https://en.wikipedia.org/wiki/Oleic_acid" TargetMode="External"/><Relationship Id="rId25" Type="http://schemas.openxmlformats.org/officeDocument/2006/relationships/image" Target="media/image11.png"/><Relationship Id="rId26" Type="http://schemas.openxmlformats.org/officeDocument/2006/relationships/hyperlink" Target="https://en.wikipedia.org/wiki/Omega-9_fatty_acid" TargetMode="External"/><Relationship Id="rId27" Type="http://schemas.openxmlformats.org/officeDocument/2006/relationships/hyperlink" Target="https://en.wikipedia.org/wiki/Elaidic_acid" TargetMode="External"/><Relationship Id="rId28" Type="http://schemas.openxmlformats.org/officeDocument/2006/relationships/image" Target="media/image12.png"/><Relationship Id="rId29" Type="http://schemas.openxmlformats.org/officeDocument/2006/relationships/hyperlink" Target="https://en.wikipedia.org/wiki/Vaccenic_acid" TargetMode="External"/><Relationship Id="rId30" Type="http://schemas.openxmlformats.org/officeDocument/2006/relationships/image" Target="media/image13.png"/><Relationship Id="rId31" Type="http://schemas.openxmlformats.org/officeDocument/2006/relationships/hyperlink" Target="https://en.wikipedia.org/wiki/Linoleic_acid" TargetMode="External"/><Relationship Id="rId32" Type="http://schemas.openxmlformats.org/officeDocument/2006/relationships/hyperlink" Target="https://en.wikipedia.org/wiki/Omega-6_fatty_acid" TargetMode="External"/><Relationship Id="rId33" Type="http://schemas.openxmlformats.org/officeDocument/2006/relationships/hyperlink" Target="https://en.wikipedia.org/wiki/Linoelaidic_acid" TargetMode="External"/><Relationship Id="rId34" Type="http://schemas.openxmlformats.org/officeDocument/2006/relationships/image" Target="media/image14.png"/><Relationship Id="rId35" Type="http://schemas.openxmlformats.org/officeDocument/2006/relationships/hyperlink" Target="https://en.wikipedia.org/wiki/Alpha-linolenic_acid" TargetMode="External"/><Relationship Id="rId36" Type="http://schemas.openxmlformats.org/officeDocument/2006/relationships/image" Target="media/image15.png"/><Relationship Id="rId37" Type="http://schemas.openxmlformats.org/officeDocument/2006/relationships/hyperlink" Target="https://en.wikipedia.org/wiki/Omega-3_fatty_acid" TargetMode="External"/><Relationship Id="rId38" Type="http://schemas.openxmlformats.org/officeDocument/2006/relationships/hyperlink" Target="https://en.wikipedia.org/wiki/Arachidonic_acid" TargetMode="External"/><Relationship Id="rId39" Type="http://schemas.openxmlformats.org/officeDocument/2006/relationships/image" Target="media/image16.png"/><Relationship Id="rId40" Type="http://schemas.openxmlformats.org/officeDocument/2006/relationships/hyperlink" Target="https://en.wikipedia.org/wiki/Eicosapentaenoic_acid" TargetMode="External"/><Relationship Id="rId41" Type="http://schemas.openxmlformats.org/officeDocument/2006/relationships/image" Target="media/image17.png"/><Relationship Id="rId42" Type="http://schemas.openxmlformats.org/officeDocument/2006/relationships/hyperlink" Target="https://en.wikipedia.org/wiki/Erucic_acid" TargetMode="External"/><Relationship Id="rId43" Type="http://schemas.openxmlformats.org/officeDocument/2006/relationships/image" Target="media/image18.png"/><Relationship Id="rId44" Type="http://schemas.openxmlformats.org/officeDocument/2006/relationships/hyperlink" Target="https://en.wikipedia.org/wiki/Docosahexaenoic_acid" TargetMode="External"/><Relationship Id="rId45" Type="http://schemas.openxmlformats.org/officeDocument/2006/relationships/image" Target="media/image19.png"/><Relationship Id="rId46" Type="http://schemas.openxmlformats.org/officeDocument/2006/relationships/hyperlink" Target="https://en.wikipedia.org/w/index.php?title=Hexadecatrienoic_acid&amp;amp;action=edit&amp;amp;redlink=1" TargetMode="External"/><Relationship Id="rId47" Type="http://schemas.openxmlformats.org/officeDocument/2006/relationships/image" Target="media/image20.png"/><Relationship Id="rId48" Type="http://schemas.openxmlformats.org/officeDocument/2006/relationships/hyperlink" Target="https://en.wikipedia.org/wiki/Stearidonic_acid" TargetMode="External"/><Relationship Id="rId49" Type="http://schemas.openxmlformats.org/officeDocument/2006/relationships/image" Target="media/image21.png"/><Relationship Id="rId50" Type="http://schemas.openxmlformats.org/officeDocument/2006/relationships/hyperlink" Target="https://en.wikipedia.org/w/index.php?title=Eicosatrienoic_acid&amp;amp;action=edit&amp;amp;redlink=1" TargetMode="External"/><Relationship Id="rId51" Type="http://schemas.openxmlformats.org/officeDocument/2006/relationships/image" Target="media/image22.png"/><Relationship Id="rId52" Type="http://schemas.openxmlformats.org/officeDocument/2006/relationships/image" Target="media/image23.png"/><Relationship Id="rId53" Type="http://schemas.openxmlformats.org/officeDocument/2006/relationships/hyperlink" Target="https://en.wikipedia.org/w/index.php?title=Heneicosapentaenoic_acid&amp;amp;action=edit&amp;amp;redlink=1" TargetMode="External"/><Relationship Id="rId54" Type="http://schemas.openxmlformats.org/officeDocument/2006/relationships/image" Target="media/image24.png"/><Relationship Id="rId55" Type="http://schemas.openxmlformats.org/officeDocument/2006/relationships/hyperlink" Target="https://en.wikipedia.org/wiki/Docosapentaenoic_acid" TargetMode="External"/><Relationship Id="rId56" Type="http://schemas.openxmlformats.org/officeDocument/2006/relationships/image" Target="media/image25.png"/><Relationship Id="rId57" Type="http://schemas.openxmlformats.org/officeDocument/2006/relationships/hyperlink" Target="https://en.wikipedia.org/w/index.php?title=Tetracosapentaenoic_acid&amp;amp;action=edit&amp;amp;redlink=1" TargetMode="External"/><Relationship Id="rId58" Type="http://schemas.openxmlformats.org/officeDocument/2006/relationships/image" Target="media/image26.png"/><Relationship Id="rId59" Type="http://schemas.openxmlformats.org/officeDocument/2006/relationships/hyperlink" Target="https://en.wikipedia.org/w/index.php?title=Tetracosahexaenoic_acid&amp;amp;action=edit&amp;amp;redlink=1" TargetMode="External"/><Relationship Id="rId60" Type="http://schemas.openxmlformats.org/officeDocument/2006/relationships/image" Target="media/image27.png"/><Relationship Id="rId61" Type="http://schemas.openxmlformats.org/officeDocument/2006/relationships/hyperlink" Target="http://www.ebi.ac.uk/chebi/)" TargetMode="External"/><Relationship Id="rId62" Type="http://schemas.openxmlformats.org/officeDocument/2006/relationships/image" Target="media/image28.png"/><Relationship Id="rId63" Type="http://schemas.openxmlformats.org/officeDocument/2006/relationships/header" Target="header3.xml"/><Relationship Id="rId64" Type="http://schemas.openxmlformats.org/officeDocument/2006/relationships/image" Target="media/image29.jpeg"/><Relationship Id="rId65" Type="http://schemas.openxmlformats.org/officeDocument/2006/relationships/image" Target="media/image30.jpeg"/><Relationship Id="rId66" Type="http://schemas.openxmlformats.org/officeDocument/2006/relationships/hyperlink" Target="http://www.ebi.ac.uk/chebi/" TargetMode="External"/><Relationship Id="rId67" Type="http://schemas.openxmlformats.org/officeDocument/2006/relationships/image" Target="media/image31.jpeg"/><Relationship Id="rId68" Type="http://schemas.openxmlformats.org/officeDocument/2006/relationships/image" Target="media/image32.jpeg"/><Relationship Id="rId69" Type="http://schemas.openxmlformats.org/officeDocument/2006/relationships/image" Target="media/image33.jpeg"/><Relationship Id="rId70" Type="http://schemas.openxmlformats.org/officeDocument/2006/relationships/image" Target="media/image34.jpeg"/><Relationship Id="rId71" Type="http://schemas.openxmlformats.org/officeDocument/2006/relationships/image" Target="media/image35.jpeg"/><Relationship Id="rId72" Type="http://schemas.openxmlformats.org/officeDocument/2006/relationships/image" Target="media/image36.png"/><Relationship Id="rId73" Type="http://schemas.openxmlformats.org/officeDocument/2006/relationships/image" Target="media/image37.png"/><Relationship Id="rId74" Type="http://schemas.openxmlformats.org/officeDocument/2006/relationships/image" Target="media/image38.png"/><Relationship Id="rId75" Type="http://schemas.openxmlformats.org/officeDocument/2006/relationships/image" Target="media/image39.png"/><Relationship Id="rId76" Type="http://schemas.openxmlformats.org/officeDocument/2006/relationships/image" Target="media/image40.jpeg"/><Relationship Id="rId77" Type="http://schemas.openxmlformats.org/officeDocument/2006/relationships/image" Target="media/image41.png"/><Relationship Id="rId78" Type="http://schemas.openxmlformats.org/officeDocument/2006/relationships/image" Target="media/image42.png"/><Relationship Id="rId79" Type="http://schemas.openxmlformats.org/officeDocument/2006/relationships/image" Target="media/image43.png"/><Relationship Id="rId80" Type="http://schemas.openxmlformats.org/officeDocument/2006/relationships/image" Target="media/image44.png"/><Relationship Id="rId81" Type="http://schemas.openxmlformats.org/officeDocument/2006/relationships/image" Target="media/image45.png"/><Relationship Id="rId82" Type="http://schemas.openxmlformats.org/officeDocument/2006/relationships/image" Target="media/image46.png"/><Relationship Id="rId83" Type="http://schemas.openxmlformats.org/officeDocument/2006/relationships/image" Target="media/image47.png"/><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png"/><Relationship Id="rId88" Type="http://schemas.openxmlformats.org/officeDocument/2006/relationships/image" Target="media/image52.png"/><Relationship Id="rId89" Type="http://schemas.openxmlformats.org/officeDocument/2006/relationships/image" Target="media/image53.png"/><Relationship Id="rId90" Type="http://schemas.openxmlformats.org/officeDocument/2006/relationships/image" Target="media/image54.png"/><Relationship Id="rId91" Type="http://schemas.openxmlformats.org/officeDocument/2006/relationships/image" Target="media/image55.jpeg"/><Relationship Id="rId92" Type="http://schemas.openxmlformats.org/officeDocument/2006/relationships/image" Target="media/image56.jpeg"/><Relationship Id="rId93" Type="http://schemas.openxmlformats.org/officeDocument/2006/relationships/image" Target="media/image57.jpeg"/><Relationship Id="rId94" Type="http://schemas.openxmlformats.org/officeDocument/2006/relationships/image" Target="media/image58.jpeg"/><Relationship Id="rId95" Type="http://schemas.openxmlformats.org/officeDocument/2006/relationships/image" Target="media/image59.jpeg"/><Relationship Id="rId96" Type="http://schemas.openxmlformats.org/officeDocument/2006/relationships/hyperlink" Target="https://mc.manuscriptcentral.com/aar" TargetMode="External"/><Relationship Id="rId97" Type="http://schemas.openxmlformats.org/officeDocument/2006/relationships/hyperlink" Target="http://sourcedb.cas.cn/sourcedb_isa_cas/yw/expert_e/200905/t20090501_49228.html" TargetMode="External"/><Relationship Id="rId98" Type="http://schemas.openxmlformats.org/officeDocument/2006/relationships/hyperlink" Target="mailto:gerarticulos@hotmail.com" TargetMode="External"/><Relationship Id="rId99" Type="http://schemas.openxmlformats.org/officeDocument/2006/relationships/hyperlink" Target="http://birding.about.com/od/Foods/a/Safflower-Seeds.htm" TargetMode="External"/><Relationship Id="rId100" Type="http://schemas.openxmlformats.org/officeDocument/2006/relationships/hyperlink" Target="http://www.webmd.com/vitamins-supplements/ingredientmono-96-safflower.aspx?activeingredientid=96&amp;amp;activeingredientname=safflower" TargetMode="External"/><Relationship Id="rId101" Type="http://schemas.openxmlformats.org/officeDocument/2006/relationships/footer" Target="footer5.xml"/><Relationship Id="rId102" Type="http://schemas.openxmlformats.org/officeDocument/2006/relationships/image" Target="media/image60.png"/><Relationship Id="rId103" Type="http://schemas.openxmlformats.org/officeDocument/2006/relationships/image" Target="media/image61.png"/><Relationship Id="rId104" Type="http://schemas.openxmlformats.org/officeDocument/2006/relationships/image" Target="media/image62.jpeg"/><Relationship Id="rId105" Type="http://schemas.openxmlformats.org/officeDocument/2006/relationships/image" Target="media/image63.jpeg"/><Relationship Id="rId106" Type="http://schemas.openxmlformats.org/officeDocument/2006/relationships/image" Target="media/image64.jpeg"/><Relationship Id="rId107" Type="http://schemas.openxmlformats.org/officeDocument/2006/relationships/image" Target="media/image65.jpeg"/><Relationship Id="rId108" Type="http://schemas.openxmlformats.org/officeDocument/2006/relationships/image" Target="media/image66.jpeg"/><Relationship Id="rId109" Type="http://schemas.openxmlformats.org/officeDocument/2006/relationships/image" Target="media/image67.jpeg"/><Relationship Id="rId110" Type="http://schemas.openxmlformats.org/officeDocument/2006/relationships/image" Target="media/image68.jpeg"/><Relationship Id="rId111" Type="http://schemas.openxmlformats.org/officeDocument/2006/relationships/image" Target="media/image69.jpeg"/><Relationship Id="rId112" Type="http://schemas.openxmlformats.org/officeDocument/2006/relationships/image" Target="media/image70.jpeg"/><Relationship Id="rId113" Type="http://schemas.openxmlformats.org/officeDocument/2006/relationships/image" Target="media/image71.jpeg"/><Relationship Id="rId114" Type="http://schemas.openxmlformats.org/officeDocument/2006/relationships/image" Target="media/image72.jpeg"/><Relationship Id="rId115" Type="http://schemas.openxmlformats.org/officeDocument/2006/relationships/footer" Target="footer6.xml"/><Relationship Id="rId116" Type="http://schemas.openxmlformats.org/officeDocument/2006/relationships/image" Target="media/image73.jpeg"/><Relationship Id="rId117" Type="http://schemas.openxmlformats.org/officeDocument/2006/relationships/footer" Target="footer7.xml"/><Relationship Id="rId118" Type="http://schemas.openxmlformats.org/officeDocument/2006/relationships/image" Target="media/image74.jpeg"/><Relationship Id="rId119" Type="http://schemas.openxmlformats.org/officeDocument/2006/relationships/image" Target="media/image75.jpeg"/><Relationship Id="rId120" Type="http://schemas.openxmlformats.org/officeDocument/2006/relationships/image" Target="media/image76.jpeg"/><Relationship Id="rId121" Type="http://schemas.openxmlformats.org/officeDocument/2006/relationships/image" Target="media/image77.jpeg"/><Relationship Id="rId122" Type="http://schemas.openxmlformats.org/officeDocument/2006/relationships/image" Target="media/image78.jpeg"/><Relationship Id="rId123" Type="http://schemas.openxmlformats.org/officeDocument/2006/relationships/header" Target="header4.xml"/><Relationship Id="rId124" Type="http://schemas.openxmlformats.org/officeDocument/2006/relationships/footer" Target="footer8.xml"/><Relationship Id="rId125" Type="http://schemas.openxmlformats.org/officeDocument/2006/relationships/image" Target="media/image79.jpeg"/><Relationship Id="rId126" Type="http://schemas.openxmlformats.org/officeDocument/2006/relationships/header" Target="header5.xml"/><Relationship Id="rId127" Type="http://schemas.openxmlformats.org/officeDocument/2006/relationships/footer" Target="footer9.xml"/><Relationship Id="rId128" Type="http://schemas.openxmlformats.org/officeDocument/2006/relationships/image" Target="media/image80.jpeg"/><Relationship Id="rId129" Type="http://schemas.openxmlformats.org/officeDocument/2006/relationships/header" Target="header6.xml"/><Relationship Id="rId130" Type="http://schemas.openxmlformats.org/officeDocument/2006/relationships/footer" Target="footer10.xml"/><Relationship Id="rId131" Type="http://schemas.openxmlformats.org/officeDocument/2006/relationships/image" Target="media/image81.jpeg"/><Relationship Id="rId132" Type="http://schemas.openxmlformats.org/officeDocument/2006/relationships/header" Target="header7.xml"/><Relationship Id="rId133" Type="http://schemas.openxmlformats.org/officeDocument/2006/relationships/footer" Target="footer11.xml"/><Relationship Id="rId134" Type="http://schemas.openxmlformats.org/officeDocument/2006/relationships/image" Target="media/image82.jpeg"/><Relationship Id="rId135" Type="http://schemas.openxmlformats.org/officeDocument/2006/relationships/header" Target="header8.xml"/><Relationship Id="rId136" Type="http://schemas.openxmlformats.org/officeDocument/2006/relationships/footer" Target="footer12.xml"/><Relationship Id="rId137" Type="http://schemas.openxmlformats.org/officeDocument/2006/relationships/image" Target="media/image83.jpeg"/><Relationship Id="rId138" Type="http://schemas.openxmlformats.org/officeDocument/2006/relationships/header" Target="header9.xml"/><Relationship Id="rId139" Type="http://schemas.openxmlformats.org/officeDocument/2006/relationships/footer" Target="footer13.xml"/><Relationship Id="rId140" Type="http://schemas.openxmlformats.org/officeDocument/2006/relationships/image" Target="media/image84.jpeg"/><Relationship Id="rId141" Type="http://schemas.openxmlformats.org/officeDocument/2006/relationships/header" Target="header10.xml"/><Relationship Id="rId142" Type="http://schemas.openxmlformats.org/officeDocument/2006/relationships/footer" Target="footer14.xml"/><Relationship Id="rId143" Type="http://schemas.openxmlformats.org/officeDocument/2006/relationships/image" Target="media/image85.jpeg"/><Relationship Id="rId144" Type="http://schemas.openxmlformats.org/officeDocument/2006/relationships/header" Target="header11.xml"/><Relationship Id="rId145" Type="http://schemas.openxmlformats.org/officeDocument/2006/relationships/footer" Target="footer15.xml"/><Relationship Id="rId146" Type="http://schemas.openxmlformats.org/officeDocument/2006/relationships/image" Target="media/image86.jpeg"/><Relationship Id="rId147" Type="http://schemas.openxmlformats.org/officeDocument/2006/relationships/header" Target="header12.xml"/><Relationship Id="rId148" Type="http://schemas.openxmlformats.org/officeDocument/2006/relationships/footer" Target="footer16.xml"/><Relationship Id="rId149" Type="http://schemas.openxmlformats.org/officeDocument/2006/relationships/image" Target="media/image87.jpeg"/><Relationship Id="rId150" Type="http://schemas.openxmlformats.org/officeDocument/2006/relationships/header" Target="header13.xml"/><Relationship Id="rId151" Type="http://schemas.openxmlformats.org/officeDocument/2006/relationships/footer" Target="footer17.xml"/><Relationship Id="rId152" Type="http://schemas.openxmlformats.org/officeDocument/2006/relationships/image" Target="media/image88.jpeg"/><Relationship Id="rId153" Type="http://schemas.openxmlformats.org/officeDocument/2006/relationships/header" Target="header14.xml"/><Relationship Id="rId154" Type="http://schemas.openxmlformats.org/officeDocument/2006/relationships/footer" Target="footer18.xml"/><Relationship Id="rId155" Type="http://schemas.openxmlformats.org/officeDocument/2006/relationships/image" Target="media/image89.jpeg"/><Relationship Id="rId156" Type="http://schemas.openxmlformats.org/officeDocument/2006/relationships/header" Target="header15.xml"/><Relationship Id="rId157" Type="http://schemas.openxmlformats.org/officeDocument/2006/relationships/footer" Target="footer19.xml"/><Relationship Id="rId158" Type="http://schemas.openxmlformats.org/officeDocument/2006/relationships/image" Target="media/image90.jpeg"/><Relationship Id="rId159" Type="http://schemas.openxmlformats.org/officeDocument/2006/relationships/header" Target="header16.xml"/><Relationship Id="rId160" Type="http://schemas.openxmlformats.org/officeDocument/2006/relationships/footer" Target="footer20.xml"/><Relationship Id="rId161" Type="http://schemas.openxmlformats.org/officeDocument/2006/relationships/image" Target="media/image91.jpeg"/><Relationship Id="rId162" Type="http://schemas.openxmlformats.org/officeDocument/2006/relationships/header" Target="header17.xml"/><Relationship Id="rId163" Type="http://schemas.openxmlformats.org/officeDocument/2006/relationships/footer" Target="footer21.xml"/><Relationship Id="rId164" Type="http://schemas.openxmlformats.org/officeDocument/2006/relationships/image" Target="media/image92.jpeg"/><Relationship Id="rId165" Type="http://schemas.openxmlformats.org/officeDocument/2006/relationships/header" Target="header18.xml"/><Relationship Id="rId166" Type="http://schemas.openxmlformats.org/officeDocument/2006/relationships/footer" Target="footer22.xml"/><Relationship Id="rId167" Type="http://schemas.openxmlformats.org/officeDocument/2006/relationships/header" Target="header19.xml"/><Relationship Id="rId168" Type="http://schemas.openxmlformats.org/officeDocument/2006/relationships/hyperlink" Target="http://en.wikipedia.org/wiki/Pilcrow" TargetMode="External"/><Relationship Id="rId169" Type="http://schemas.openxmlformats.org/officeDocument/2006/relationships/hyperlink" Target="http://www.sciencedirect.com/science/article/pii/S0223523413005527" TargetMode="External"/><Relationship Id="rId170" Type="http://schemas.openxmlformats.org/officeDocument/2006/relationships/hyperlink" Target="http://en.wikipedia.org/wiki/Delta_(letter)" TargetMode="External"/><Relationship Id="rId171" Type="http://schemas.openxmlformats.org/officeDocument/2006/relationships/hyperlink" Target="http://en.wikipedia.org/wiki/Phospholipid" TargetMode="External"/><Relationship Id="rId172" Type="http://schemas.openxmlformats.org/officeDocument/2006/relationships/hyperlink" Target="http://en.wikipedia.org/wiki/Glycolipid" TargetMode="External"/><Relationship Id="rId173" Type="http://schemas.openxmlformats.org/officeDocument/2006/relationships/hyperlink" Target="http://en.wikipedia.org/wiki/Sterol" TargetMode="External"/><Relationship Id="rId174" Type="http://schemas.openxmlformats.org/officeDocument/2006/relationships/hyperlink" Target="mailto:humberto.gonzalezdiaz@ehu.es" TargetMode="External"/><Relationship Id="rId175" Type="http://schemas.openxmlformats.org/officeDocument/2006/relationships/image" Target="media/image93.jpeg"/><Relationship Id="rId176" Type="http://schemas.openxmlformats.org/officeDocument/2006/relationships/image" Target="media/image94.jpeg"/><Relationship Id="rId177" Type="http://schemas.openxmlformats.org/officeDocument/2006/relationships/image" Target="media/image95.png"/><Relationship Id="rId178" Type="http://schemas.openxmlformats.org/officeDocument/2006/relationships/image" Target="media/image96.png"/><Relationship Id="rId179" Type="http://schemas.openxmlformats.org/officeDocument/2006/relationships/hyperlink" Target="http://dx.doi.org/10.6084/m9.figshare.1428561" TargetMode="External"/><Relationship Id="rId180" Type="http://schemas.openxmlformats.org/officeDocument/2006/relationships/image" Target="media/image97.png"/><Relationship Id="rId181" Type="http://schemas.openxmlformats.org/officeDocument/2006/relationships/image" Target="media/image98.png"/><Relationship Id="rId182" Type="http://schemas.openxmlformats.org/officeDocument/2006/relationships/image" Target="media/image99.png"/><Relationship Id="rId183" Type="http://schemas.openxmlformats.org/officeDocument/2006/relationships/image" Target="media/image100.png"/><Relationship Id="rId184" Type="http://schemas.openxmlformats.org/officeDocument/2006/relationships/image" Target="media/image101.png"/><Relationship Id="rId185" Type="http://schemas.openxmlformats.org/officeDocument/2006/relationships/image" Target="media/image102.png"/><Relationship Id="rId186" Type="http://schemas.openxmlformats.org/officeDocument/2006/relationships/image" Target="media/image103.png"/><Relationship Id="rId18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2017-05-23T01:37:38Z</dcterms:created>
  <dcterms:modified xsi:type="dcterms:W3CDTF">2017-05-23T01:37:38Z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