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shapetype id="_x0000_t202" o:spt="202" coordsize="21600,21600" path="m,l,21600r21600,l21600,xe">
            <v:stroke joinstyle="miter"/>
            <v:path gradientshapeok="t" o:connecttype="rect"/>
          </v:shapetype>
          <v:shape style="position:absolute;margin-left:288.359985pt;margin-top:746.039856pt;width:19pt;height:14.65pt;mso-position-horizontal-relative:page;mso-position-vertical-relative:page;z-index:-137992" type="#_x0000_t202" filled="false" stroked="false">
            <v:textbox inset="0,0,0,0">
              <w:txbxContent>
                <w:p>
                  <w:pPr>
                    <w:spacing w:before="4"/>
                    <w:ind w:left="3" w:right="0" w:firstLine="0"/>
                    <w:jc w:val="center"/>
                    <w:rPr>
                      <w:rFonts w:ascii="Calibri"/>
                      <w:sz w:val="21"/>
                    </w:rPr>
                  </w:pPr>
                  <w:r>
                    <w:rPr>
                      <w:rFonts w:ascii="Calibri"/>
                      <w:w w:val="102"/>
                      <w:sz w:val="21"/>
                    </w:rPr>
                    <w:t>1</w:t>
                  </w:r>
                </w:p>
              </w:txbxContent>
            </v:textbox>
            <w10:wrap type="none"/>
          </v:shape>
        </w:pict>
      </w:r>
    </w:p>
    <w:p>
      <w:pPr>
        <w:pStyle w:val="BodyText"/>
        <w:rPr>
          <w:rFonts w:ascii="Times New Roman"/>
          <w:sz w:val="20"/>
        </w:rPr>
      </w:pPr>
    </w:p>
    <w:p>
      <w:pPr>
        <w:pStyle w:val="BodyText"/>
        <w:rPr>
          <w:rFonts w:ascii="Times New Roman"/>
          <w:sz w:val="20"/>
        </w:rPr>
      </w:pPr>
    </w:p>
    <w:p>
      <w:pPr>
        <w:pStyle w:val="BodyText"/>
        <w:spacing w:before="1"/>
        <w:rPr>
          <w:rFonts w:ascii="Times New Roman"/>
          <w:sz w:val="16"/>
        </w:rPr>
      </w:pPr>
    </w:p>
    <w:p>
      <w:pPr>
        <w:pStyle w:val="Heading1"/>
        <w:spacing w:before="74"/>
        <w:ind w:left="2166" w:right="174"/>
        <w:jc w:val="center"/>
      </w:pPr>
      <w:r>
        <w:rPr/>
        <w:drawing>
          <wp:anchor distT="0" distB="0" distL="0" distR="0" allowOverlap="1" layoutInCell="1" locked="0" behindDoc="0" simplePos="0" relativeHeight="1048">
            <wp:simplePos x="0" y="0"/>
            <wp:positionH relativeFrom="page">
              <wp:posOffset>1071372</wp:posOffset>
            </wp:positionH>
            <wp:positionV relativeFrom="paragraph">
              <wp:posOffset>-332661</wp:posOffset>
            </wp:positionV>
            <wp:extent cx="1229867" cy="1114043"/>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229867" cy="1114043"/>
                    </a:xfrm>
                    <a:prstGeom prst="rect">
                      <a:avLst/>
                    </a:prstGeom>
                  </pic:spPr>
                </pic:pic>
              </a:graphicData>
            </a:graphic>
          </wp:anchor>
        </w:drawing>
      </w:r>
      <w:r>
        <w:rPr/>
        <w:t>UNIVERSIDAD AUTONÓMA DEL ESTADO DE  MÉXICO</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10"/>
        <w:rPr>
          <w:b/>
          <w:sz w:val="22"/>
        </w:rPr>
      </w:pPr>
    </w:p>
    <w:p>
      <w:pPr>
        <w:spacing w:line="364" w:lineRule="auto" w:before="0"/>
        <w:ind w:left="2166" w:right="111" w:firstLine="0"/>
        <w:jc w:val="center"/>
        <w:rPr>
          <w:b/>
          <w:sz w:val="23"/>
        </w:rPr>
      </w:pPr>
      <w:r>
        <w:rPr/>
        <w:pict>
          <v:line style="position:absolute;mso-position-horizontal-relative:page;mso-position-vertical-relative:paragraph;z-index:1072" from="138.23999pt,-16.453770pt" to="138.23999pt,477.106219pt" stroked="true" strokeweight="1.946772pt" strokecolor="#000000">
            <w10:wrap type="none"/>
          </v:line>
        </w:pict>
      </w:r>
      <w:r>
        <w:rPr/>
        <w:pict>
          <v:line style="position:absolute;mso-position-horizontal-relative:page;mso-position-vertical-relative:paragraph;z-index:1096" from="132.479996pt,-16.453770pt" to="132.479996pt,427.42622pt" stroked="true" strokeweight="1.946772pt" strokecolor="#000000">
            <w10:wrap type="none"/>
          </v:line>
        </w:pict>
      </w:r>
      <w:r>
        <w:rPr/>
        <w:pict>
          <v:line style="position:absolute;mso-position-horizontal-relative:page;mso-position-vertical-relative:paragraph;z-index:1120" from="126.599998pt,-17.89377pt" to="126.599998pt,402.70622pt" stroked="true" strokeweight="1.946772pt" strokecolor="#000000">
            <w10:wrap type="none"/>
          </v:line>
        </w:pict>
      </w:r>
      <w:r>
        <w:rPr>
          <w:b/>
          <w:sz w:val="23"/>
        </w:rPr>
        <w:t>DOCTORADO EN CIENCIAS AGROPECUARIAS Y RECURSOS NATURALES</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line="364" w:lineRule="auto" w:before="130"/>
        <w:ind w:left="2166" w:right="173" w:firstLine="0"/>
        <w:jc w:val="center"/>
        <w:rPr>
          <w:b/>
          <w:sz w:val="23"/>
        </w:rPr>
      </w:pPr>
      <w:r>
        <w:rPr>
          <w:b/>
          <w:sz w:val="23"/>
        </w:rPr>
        <w:t>EFECTO DEL EXTRACTO DE </w:t>
      </w:r>
      <w:r>
        <w:rPr>
          <w:b/>
          <w:i/>
          <w:sz w:val="23"/>
        </w:rPr>
        <w:t>Salix babylonica Y </w:t>
      </w:r>
      <w:r>
        <w:rPr>
          <w:b/>
          <w:sz w:val="23"/>
        </w:rPr>
        <w:t>ENZIMAS EXÓGENAS FIBROLITICAS SOBRE LA RESPUESTA PRODUCTIVA Y EL ESTADO INMUNOLÓGICO EN BORREGOS SUFFOLK.</w:t>
      </w:r>
    </w:p>
    <w:p>
      <w:pPr>
        <w:pStyle w:val="BodyText"/>
        <w:rPr>
          <w:b/>
          <w:sz w:val="22"/>
        </w:rPr>
      </w:pPr>
    </w:p>
    <w:p>
      <w:pPr>
        <w:pStyle w:val="BodyText"/>
        <w:rPr>
          <w:b/>
          <w:sz w:val="22"/>
        </w:rPr>
      </w:pPr>
    </w:p>
    <w:p>
      <w:pPr>
        <w:pStyle w:val="BodyText"/>
        <w:spacing w:before="6"/>
        <w:rPr>
          <w:b/>
          <w:sz w:val="25"/>
        </w:rPr>
      </w:pPr>
    </w:p>
    <w:p>
      <w:pPr>
        <w:spacing w:before="0"/>
        <w:ind w:left="2164" w:right="176" w:firstLine="0"/>
        <w:jc w:val="center"/>
        <w:rPr>
          <w:b/>
          <w:sz w:val="23"/>
        </w:rPr>
      </w:pPr>
      <w:r>
        <w:rPr>
          <w:b/>
          <w:sz w:val="23"/>
        </w:rPr>
        <w:t>TESIS</w:t>
      </w:r>
    </w:p>
    <w:p>
      <w:pPr>
        <w:pStyle w:val="BodyText"/>
        <w:spacing w:before="11"/>
        <w:rPr>
          <w:b/>
          <w:sz w:val="28"/>
        </w:rPr>
      </w:pPr>
    </w:p>
    <w:p>
      <w:pPr>
        <w:spacing w:line="364" w:lineRule="auto" w:before="0"/>
        <w:ind w:left="2166" w:right="176" w:firstLine="0"/>
        <w:jc w:val="center"/>
        <w:rPr>
          <w:b/>
          <w:sz w:val="23"/>
        </w:rPr>
      </w:pPr>
      <w:r>
        <w:rPr>
          <w:b/>
          <w:sz w:val="23"/>
        </w:rPr>
        <w:t>QUE PARA OBTENER EL GRADO DE DOCTORA EN CIENCIAS AGROPECUARIAS Y RECURSOS  NATURALES</w:t>
      </w:r>
    </w:p>
    <w:p>
      <w:pPr>
        <w:pStyle w:val="BodyText"/>
        <w:rPr>
          <w:b/>
          <w:sz w:val="22"/>
        </w:rPr>
      </w:pPr>
    </w:p>
    <w:p>
      <w:pPr>
        <w:pStyle w:val="BodyText"/>
        <w:rPr>
          <w:b/>
          <w:sz w:val="22"/>
        </w:rPr>
      </w:pPr>
    </w:p>
    <w:p>
      <w:pPr>
        <w:pStyle w:val="BodyText"/>
        <w:spacing w:before="6"/>
        <w:rPr>
          <w:b/>
          <w:sz w:val="25"/>
        </w:rPr>
      </w:pPr>
    </w:p>
    <w:p>
      <w:pPr>
        <w:spacing w:before="0"/>
        <w:ind w:left="2166" w:right="175" w:firstLine="0"/>
        <w:jc w:val="center"/>
        <w:rPr>
          <w:b/>
          <w:sz w:val="23"/>
        </w:rPr>
      </w:pPr>
      <w:r>
        <w:rPr>
          <w:b/>
          <w:sz w:val="23"/>
        </w:rPr>
        <w:t>PRESENTA</w:t>
      </w:r>
    </w:p>
    <w:p>
      <w:pPr>
        <w:pStyle w:val="BodyText"/>
        <w:spacing w:before="11"/>
        <w:rPr>
          <w:b/>
          <w:sz w:val="28"/>
        </w:rPr>
      </w:pPr>
    </w:p>
    <w:p>
      <w:pPr>
        <w:spacing w:before="0"/>
        <w:ind w:left="2166" w:right="175" w:firstLine="0"/>
        <w:jc w:val="center"/>
        <w:rPr>
          <w:b/>
          <w:sz w:val="23"/>
        </w:rPr>
      </w:pPr>
      <w:r>
        <w:rPr>
          <w:b/>
          <w:sz w:val="23"/>
        </w:rPr>
        <w:t>MVZ. M. en C. NALLELY RIVERO</w:t>
      </w:r>
      <w:r>
        <w:rPr>
          <w:b/>
          <w:spacing w:val="53"/>
          <w:sz w:val="23"/>
        </w:rPr>
        <w:t> </w:t>
      </w:r>
      <w:r>
        <w:rPr>
          <w:b/>
          <w:sz w:val="23"/>
        </w:rPr>
        <w:t>PEREZ</w:t>
      </w:r>
    </w:p>
    <w:p>
      <w:pPr>
        <w:pStyle w:val="BodyText"/>
        <w:rPr>
          <w:b/>
          <w:sz w:val="22"/>
        </w:rPr>
      </w:pPr>
    </w:p>
    <w:p>
      <w:pPr>
        <w:pStyle w:val="BodyText"/>
        <w:rPr>
          <w:b/>
          <w:sz w:val="22"/>
        </w:rPr>
      </w:pPr>
    </w:p>
    <w:p>
      <w:pPr>
        <w:pStyle w:val="BodyText"/>
        <w:rPr>
          <w:b/>
          <w:sz w:val="22"/>
        </w:rPr>
      </w:pPr>
    </w:p>
    <w:p>
      <w:pPr>
        <w:pStyle w:val="BodyText"/>
        <w:rPr>
          <w:b/>
          <w:sz w:val="22"/>
        </w:rPr>
      </w:pPr>
    </w:p>
    <w:p>
      <w:pPr>
        <w:spacing w:line="542" w:lineRule="auto" w:before="190"/>
        <w:ind w:left="2652" w:right="660" w:firstLine="0"/>
        <w:jc w:val="center"/>
        <w:rPr>
          <w:b/>
          <w:sz w:val="23"/>
        </w:rPr>
      </w:pPr>
      <w:r>
        <w:rPr>
          <w:b/>
          <w:sz w:val="23"/>
        </w:rPr>
        <w:t>El Cerrillo Piedras Blancas, Toluca, Estado de México Enero 2014</w:t>
      </w:r>
    </w:p>
    <w:p>
      <w:pPr>
        <w:spacing w:after="0" w:line="542" w:lineRule="auto"/>
        <w:jc w:val="center"/>
        <w:rPr>
          <w:sz w:val="23"/>
        </w:rPr>
        <w:sectPr>
          <w:footerReference w:type="default" r:id="rId5"/>
          <w:type w:val="continuous"/>
          <w:pgSz w:w="11900" w:h="16840"/>
          <w:pgMar w:footer="1674" w:top="1600" w:bottom="1860" w:left="1580" w:right="1100"/>
        </w:sectPr>
      </w:pPr>
    </w:p>
    <w:p>
      <w:pPr>
        <w:pStyle w:val="BodyText"/>
        <w:rPr>
          <w:b/>
          <w:sz w:val="20"/>
        </w:rPr>
      </w:pPr>
      <w:r>
        <w:rPr/>
        <w:pict>
          <v:shape style="position:absolute;margin-left:286.199982pt;margin-top:748.180237pt;width:23.3pt;height:16.25pt;mso-position-horizontal-relative:page;mso-position-vertical-relative:page;z-index:-137872" type="#_x0000_t202" filled="false" stroked="false">
            <v:textbox inset="0,0,0,0">
              <w:txbxContent>
                <w:p>
                  <w:pPr>
                    <w:spacing w:line="218" w:lineRule="exact" w:before="0"/>
                    <w:ind w:left="3" w:right="0" w:firstLine="0"/>
                    <w:jc w:val="center"/>
                    <w:rPr>
                      <w:rFonts w:ascii="Calibri"/>
                      <w:sz w:val="21"/>
                    </w:rPr>
                  </w:pPr>
                  <w:r>
                    <w:rPr>
                      <w:rFonts w:ascii="Calibri"/>
                      <w:w w:val="102"/>
                      <w:sz w:val="21"/>
                    </w:rPr>
                    <w:t>2</w:t>
                  </w:r>
                </w:p>
              </w:txbxContent>
            </v:textbox>
            <w10:wrap type="none"/>
          </v:shape>
        </w:pict>
      </w:r>
    </w:p>
    <w:p>
      <w:pPr>
        <w:pStyle w:val="BodyText"/>
        <w:rPr>
          <w:b/>
          <w:sz w:val="20"/>
        </w:rPr>
      </w:pPr>
    </w:p>
    <w:p>
      <w:pPr>
        <w:pStyle w:val="BodyText"/>
        <w:rPr>
          <w:b/>
          <w:sz w:val="20"/>
        </w:rPr>
      </w:pPr>
    </w:p>
    <w:p>
      <w:pPr>
        <w:pStyle w:val="BodyText"/>
        <w:spacing w:before="1"/>
        <w:rPr>
          <w:b/>
          <w:sz w:val="18"/>
        </w:rPr>
      </w:pPr>
    </w:p>
    <w:p>
      <w:pPr>
        <w:pStyle w:val="Heading1"/>
        <w:ind w:left="2383" w:right="385"/>
        <w:jc w:val="center"/>
      </w:pPr>
      <w:r>
        <w:rPr/>
        <w:drawing>
          <wp:anchor distT="0" distB="0" distL="0" distR="0" allowOverlap="1" layoutInCell="1" locked="0" behindDoc="0" simplePos="0" relativeHeight="1168">
            <wp:simplePos x="0" y="0"/>
            <wp:positionH relativeFrom="page">
              <wp:posOffset>1071372</wp:posOffset>
            </wp:positionH>
            <wp:positionV relativeFrom="paragraph">
              <wp:posOffset>-256207</wp:posOffset>
            </wp:positionV>
            <wp:extent cx="1245107" cy="1123188"/>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1245107" cy="1123188"/>
                    </a:xfrm>
                    <a:prstGeom prst="rect">
                      <a:avLst/>
                    </a:prstGeom>
                  </pic:spPr>
                </pic:pic>
              </a:graphicData>
            </a:graphic>
          </wp:anchor>
        </w:drawing>
      </w:r>
      <w:r>
        <w:rPr/>
        <w:t>UNIVERSIDAD AUTONÓMA DEL ESTADO DE  MÉXICO</w:t>
      </w:r>
    </w:p>
    <w:p>
      <w:pPr>
        <w:pStyle w:val="BodyText"/>
        <w:rPr>
          <w:b/>
          <w:sz w:val="22"/>
        </w:rPr>
      </w:pPr>
    </w:p>
    <w:p>
      <w:pPr>
        <w:pStyle w:val="BodyText"/>
        <w:rPr>
          <w:b/>
          <w:sz w:val="22"/>
        </w:rPr>
      </w:pPr>
    </w:p>
    <w:p>
      <w:pPr>
        <w:pStyle w:val="BodyText"/>
        <w:rPr>
          <w:b/>
          <w:sz w:val="22"/>
        </w:rPr>
      </w:pPr>
    </w:p>
    <w:p>
      <w:pPr>
        <w:pStyle w:val="BodyText"/>
        <w:spacing w:before="9"/>
        <w:rPr>
          <w:b/>
          <w:sz w:val="21"/>
        </w:rPr>
      </w:pPr>
    </w:p>
    <w:p>
      <w:pPr>
        <w:spacing w:line="364" w:lineRule="auto" w:before="0"/>
        <w:ind w:left="2391" w:right="385" w:firstLine="0"/>
        <w:jc w:val="center"/>
        <w:rPr>
          <w:b/>
          <w:sz w:val="23"/>
        </w:rPr>
      </w:pPr>
      <w:r>
        <w:rPr/>
        <w:pict>
          <v:line style="position:absolute;mso-position-horizontal-relative:page;mso-position-vertical-relative:paragraph;z-index:1192" from="126.599998pt,17.746233pt" to="126.599998pt,438.346224pt" stroked="true" strokeweight="1.946772pt" strokecolor="#000000">
            <w10:wrap type="none"/>
          </v:line>
        </w:pict>
      </w:r>
      <w:r>
        <w:rPr/>
        <w:pict>
          <v:line style="position:absolute;mso-position-horizontal-relative:page;mso-position-vertical-relative:paragraph;z-index:1216" from="132.479996pt,19.306232pt" to="132.479996pt,463.066223pt" stroked="true" strokeweight="1.946772pt" strokecolor="#000000">
            <w10:wrap type="none"/>
          </v:line>
        </w:pict>
      </w:r>
      <w:r>
        <w:rPr/>
        <w:pict>
          <v:line style="position:absolute;mso-position-horizontal-relative:page;mso-position-vertical-relative:paragraph;z-index:1240" from="138.23999pt,19.306232pt" to="138.23999pt,512.746221pt" stroked="true" strokeweight="1.946772pt" strokecolor="#000000">
            <w10:wrap type="none"/>
          </v:line>
        </w:pict>
      </w:r>
      <w:r>
        <w:rPr>
          <w:b/>
          <w:sz w:val="23"/>
        </w:rPr>
        <w:t>MAESTRÍA Y DOCTORADO EN CIENCIAS AGROPECUARIAS Y RECURSOS NATURALES</w:t>
      </w:r>
    </w:p>
    <w:p>
      <w:pPr>
        <w:pStyle w:val="BodyText"/>
        <w:rPr>
          <w:b/>
          <w:sz w:val="22"/>
        </w:rPr>
      </w:pPr>
    </w:p>
    <w:p>
      <w:pPr>
        <w:spacing w:line="364" w:lineRule="auto" w:before="155"/>
        <w:ind w:left="2383" w:right="385" w:firstLine="0"/>
        <w:jc w:val="center"/>
        <w:rPr>
          <w:b/>
          <w:sz w:val="23"/>
        </w:rPr>
      </w:pPr>
      <w:r>
        <w:rPr>
          <w:b/>
          <w:sz w:val="23"/>
        </w:rPr>
        <w:t>EFECTO DEL EXTRACTO DE </w:t>
      </w:r>
      <w:r>
        <w:rPr>
          <w:b/>
          <w:i/>
          <w:sz w:val="23"/>
        </w:rPr>
        <w:t>Salix babylonica Y </w:t>
      </w:r>
      <w:r>
        <w:rPr>
          <w:b/>
          <w:sz w:val="23"/>
        </w:rPr>
        <w:t>ENZIMAS EXÓGENAS FIBROLITICAS SOBRE LA RESPUESTA PRODUCTIVA Y EL ESTADO INMUNOLÓGICO EN BORREGOS SUFFOLK.</w:t>
      </w:r>
    </w:p>
    <w:p>
      <w:pPr>
        <w:pStyle w:val="BodyText"/>
        <w:rPr>
          <w:b/>
          <w:sz w:val="22"/>
        </w:rPr>
      </w:pPr>
    </w:p>
    <w:p>
      <w:pPr>
        <w:spacing w:before="155"/>
        <w:ind w:left="2383" w:right="385" w:firstLine="0"/>
        <w:jc w:val="center"/>
        <w:rPr>
          <w:b/>
          <w:sz w:val="23"/>
        </w:rPr>
      </w:pPr>
      <w:r>
        <w:rPr>
          <w:b/>
          <w:sz w:val="23"/>
        </w:rPr>
        <w:t>TESIS</w:t>
      </w:r>
    </w:p>
    <w:p>
      <w:pPr>
        <w:spacing w:line="367" w:lineRule="auto" w:before="136"/>
        <w:ind w:left="2381" w:right="385" w:firstLine="0"/>
        <w:jc w:val="center"/>
        <w:rPr>
          <w:b/>
          <w:sz w:val="23"/>
        </w:rPr>
      </w:pPr>
      <w:r>
        <w:rPr>
          <w:b/>
          <w:sz w:val="23"/>
        </w:rPr>
        <w:t>QUE PARA OBTENER EL GRADO DE DOCTORA EN CIENCIAS AGROPECUARIAS Y RECURSOS  NATURALES</w:t>
      </w:r>
    </w:p>
    <w:p>
      <w:pPr>
        <w:pStyle w:val="BodyText"/>
        <w:rPr>
          <w:b/>
          <w:sz w:val="22"/>
        </w:rPr>
      </w:pPr>
    </w:p>
    <w:p>
      <w:pPr>
        <w:pStyle w:val="BodyText"/>
        <w:rPr>
          <w:b/>
          <w:sz w:val="22"/>
        </w:rPr>
      </w:pPr>
    </w:p>
    <w:p>
      <w:pPr>
        <w:pStyle w:val="BodyText"/>
        <w:spacing w:before="8"/>
        <w:rPr>
          <w:b/>
          <w:sz w:val="31"/>
        </w:rPr>
      </w:pPr>
    </w:p>
    <w:p>
      <w:pPr>
        <w:spacing w:before="1"/>
        <w:ind w:left="2382" w:right="385" w:firstLine="0"/>
        <w:jc w:val="center"/>
        <w:rPr>
          <w:b/>
          <w:sz w:val="23"/>
        </w:rPr>
      </w:pPr>
      <w:r>
        <w:rPr>
          <w:b/>
          <w:sz w:val="23"/>
        </w:rPr>
        <w:t>PRESENTA</w:t>
      </w:r>
    </w:p>
    <w:p>
      <w:pPr>
        <w:spacing w:before="138"/>
        <w:ind w:left="2382" w:right="385" w:firstLine="0"/>
        <w:jc w:val="center"/>
        <w:rPr>
          <w:b/>
          <w:sz w:val="23"/>
        </w:rPr>
      </w:pPr>
      <w:r>
        <w:rPr>
          <w:b/>
          <w:sz w:val="23"/>
        </w:rPr>
        <w:t>MVZ. M en C. NALLELY RIVERO</w:t>
      </w:r>
      <w:r>
        <w:rPr>
          <w:b/>
          <w:spacing w:val="51"/>
          <w:sz w:val="23"/>
        </w:rPr>
        <w:t> </w:t>
      </w:r>
      <w:r>
        <w:rPr>
          <w:b/>
          <w:sz w:val="23"/>
        </w:rPr>
        <w:t>PEREZ</w:t>
      </w:r>
    </w:p>
    <w:p>
      <w:pPr>
        <w:pStyle w:val="BodyText"/>
        <w:rPr>
          <w:b/>
          <w:sz w:val="22"/>
        </w:rPr>
      </w:pPr>
    </w:p>
    <w:p>
      <w:pPr>
        <w:pStyle w:val="BodyText"/>
        <w:rPr>
          <w:b/>
          <w:sz w:val="22"/>
        </w:rPr>
      </w:pPr>
    </w:p>
    <w:p>
      <w:pPr>
        <w:pStyle w:val="BodyText"/>
        <w:rPr>
          <w:b/>
          <w:sz w:val="22"/>
        </w:rPr>
      </w:pPr>
    </w:p>
    <w:p>
      <w:pPr>
        <w:pStyle w:val="BodyText"/>
        <w:spacing w:before="7"/>
        <w:rPr>
          <w:b/>
          <w:sz w:val="21"/>
        </w:rPr>
      </w:pPr>
    </w:p>
    <w:p>
      <w:pPr>
        <w:spacing w:before="0"/>
        <w:ind w:left="2378" w:right="385" w:firstLine="0"/>
        <w:jc w:val="center"/>
        <w:rPr>
          <w:b/>
          <w:sz w:val="23"/>
        </w:rPr>
      </w:pPr>
      <w:r>
        <w:rPr>
          <w:b/>
          <w:sz w:val="23"/>
        </w:rPr>
        <w:t>COMITÉ DE TUTORES</w:t>
      </w:r>
    </w:p>
    <w:p>
      <w:pPr>
        <w:pStyle w:val="BodyText"/>
        <w:rPr>
          <w:b/>
          <w:sz w:val="22"/>
        </w:rPr>
      </w:pPr>
    </w:p>
    <w:p>
      <w:pPr>
        <w:pStyle w:val="BodyText"/>
        <w:rPr>
          <w:b/>
          <w:sz w:val="22"/>
        </w:rPr>
      </w:pPr>
    </w:p>
    <w:p>
      <w:pPr>
        <w:pStyle w:val="BodyText"/>
        <w:rPr>
          <w:b/>
          <w:sz w:val="22"/>
        </w:rPr>
      </w:pPr>
    </w:p>
    <w:p>
      <w:pPr>
        <w:pStyle w:val="BodyText"/>
        <w:spacing w:before="9"/>
        <w:rPr>
          <w:b/>
          <w:sz w:val="21"/>
        </w:rPr>
      </w:pPr>
    </w:p>
    <w:p>
      <w:pPr>
        <w:tabs>
          <w:tab w:pos="7825" w:val="left" w:leader="none"/>
          <w:tab w:pos="7991" w:val="left" w:leader="none"/>
        </w:tabs>
        <w:spacing w:line="561" w:lineRule="auto" w:before="0"/>
        <w:ind w:left="2291" w:right="103" w:firstLine="0"/>
        <w:jc w:val="left"/>
        <w:rPr>
          <w:b/>
          <w:sz w:val="21"/>
        </w:rPr>
      </w:pPr>
      <w:r>
        <w:rPr>
          <w:b/>
          <w:sz w:val="21"/>
        </w:rPr>
        <w:t>Dr. ABDEL- FATTAH ZEIDAN</w:t>
      </w:r>
      <w:r>
        <w:rPr>
          <w:b/>
          <w:spacing w:val="46"/>
          <w:sz w:val="21"/>
        </w:rPr>
        <w:t> </w:t>
      </w:r>
      <w:r>
        <w:rPr>
          <w:b/>
          <w:sz w:val="21"/>
        </w:rPr>
        <w:t>MOHAMED</w:t>
      </w:r>
      <w:r>
        <w:rPr>
          <w:b/>
          <w:spacing w:val="10"/>
          <w:sz w:val="21"/>
        </w:rPr>
        <w:t> </w:t>
      </w:r>
      <w:r>
        <w:rPr>
          <w:b/>
          <w:sz w:val="21"/>
        </w:rPr>
        <w:t>SALEM</w:t>
        <w:tab/>
        <w:t>Tutor</w:t>
      </w:r>
      <w:r>
        <w:rPr>
          <w:b/>
          <w:spacing w:val="28"/>
          <w:sz w:val="21"/>
        </w:rPr>
        <w:t> </w:t>
      </w:r>
      <w:r>
        <w:rPr>
          <w:b/>
          <w:sz w:val="21"/>
        </w:rPr>
        <w:t>Académico</w:t>
      </w:r>
      <w:r>
        <w:rPr>
          <w:b/>
          <w:w w:val="102"/>
          <w:sz w:val="21"/>
        </w:rPr>
        <w:t> </w:t>
      </w:r>
      <w:r>
        <w:rPr>
          <w:b/>
          <w:sz w:val="21"/>
        </w:rPr>
        <w:t>Dra. CLAUDIA GIOVANNA</w:t>
      </w:r>
      <w:r>
        <w:rPr>
          <w:b/>
          <w:spacing w:val="29"/>
          <w:sz w:val="21"/>
        </w:rPr>
        <w:t> </w:t>
      </w:r>
      <w:r>
        <w:rPr>
          <w:b/>
          <w:sz w:val="21"/>
        </w:rPr>
        <w:t>PEÑUELAS</w:t>
      </w:r>
      <w:r>
        <w:rPr>
          <w:b/>
          <w:spacing w:val="10"/>
          <w:sz w:val="21"/>
        </w:rPr>
        <w:t> </w:t>
      </w:r>
      <w:r>
        <w:rPr>
          <w:b/>
          <w:sz w:val="21"/>
        </w:rPr>
        <w:t>RIVAS</w:t>
        <w:tab/>
        <w:tab/>
        <w:t>Tutor</w:t>
      </w:r>
      <w:r>
        <w:rPr>
          <w:b/>
          <w:spacing w:val="21"/>
          <w:sz w:val="21"/>
        </w:rPr>
        <w:t> </w:t>
      </w:r>
      <w:r>
        <w:rPr>
          <w:b/>
          <w:sz w:val="21"/>
        </w:rPr>
        <w:t>Adjunto</w:t>
      </w:r>
      <w:r>
        <w:rPr>
          <w:b/>
          <w:w w:val="102"/>
          <w:sz w:val="21"/>
        </w:rPr>
        <w:t> </w:t>
      </w:r>
      <w:r>
        <w:rPr>
          <w:b/>
          <w:sz w:val="21"/>
        </w:rPr>
        <w:t>Dr. MANUEL</w:t>
      </w:r>
      <w:r>
        <w:rPr>
          <w:b/>
          <w:spacing w:val="23"/>
          <w:sz w:val="21"/>
        </w:rPr>
        <w:t> </w:t>
      </w:r>
      <w:r>
        <w:rPr>
          <w:b/>
          <w:sz w:val="21"/>
        </w:rPr>
        <w:t>GONZÁLEZ</w:t>
      </w:r>
      <w:r>
        <w:rPr>
          <w:b/>
          <w:spacing w:val="13"/>
          <w:sz w:val="21"/>
        </w:rPr>
        <w:t> </w:t>
      </w:r>
      <w:r>
        <w:rPr>
          <w:b/>
          <w:sz w:val="21"/>
        </w:rPr>
        <w:t>RONQUILLO</w:t>
        <w:tab/>
        <w:tab/>
        <w:t>Tutor</w:t>
      </w:r>
      <w:r>
        <w:rPr>
          <w:b/>
          <w:spacing w:val="21"/>
          <w:sz w:val="21"/>
        </w:rPr>
        <w:t> </w:t>
      </w:r>
      <w:r>
        <w:rPr>
          <w:b/>
          <w:sz w:val="21"/>
        </w:rPr>
        <w:t>Adjunto</w:t>
      </w:r>
    </w:p>
    <w:p>
      <w:pPr>
        <w:pStyle w:val="Heading1"/>
        <w:spacing w:before="3"/>
        <w:ind w:left="2183" w:right="103"/>
        <w:jc w:val="left"/>
      </w:pPr>
      <w:r>
        <w:rPr/>
        <w:t>El Cerrillo Piedras Blancas, Toluca, Estado de</w:t>
      </w:r>
      <w:r>
        <w:rPr>
          <w:spacing w:val="60"/>
        </w:rPr>
        <w:t> </w:t>
      </w:r>
      <w:r>
        <w:rPr/>
        <w:t>México.</w:t>
      </w:r>
    </w:p>
    <w:p>
      <w:pPr>
        <w:pStyle w:val="BodyText"/>
        <w:spacing w:before="8"/>
        <w:rPr>
          <w:b/>
        </w:rPr>
      </w:pPr>
    </w:p>
    <w:p>
      <w:pPr>
        <w:spacing w:before="0"/>
        <w:ind w:left="2379" w:right="385" w:firstLine="0"/>
        <w:jc w:val="center"/>
        <w:rPr>
          <w:b/>
          <w:sz w:val="23"/>
        </w:rPr>
      </w:pPr>
      <w:r>
        <w:rPr>
          <w:b/>
          <w:sz w:val="23"/>
        </w:rPr>
        <w:t>Enero 2014</w:t>
      </w:r>
    </w:p>
    <w:p>
      <w:pPr>
        <w:spacing w:after="0"/>
        <w:jc w:val="center"/>
        <w:rPr>
          <w:sz w:val="23"/>
        </w:rPr>
        <w:sectPr>
          <w:pgSz w:w="11900" w:h="16840"/>
          <w:pgMar w:header="0" w:footer="1674" w:top="1600" w:bottom="1860" w:left="1580" w:right="640"/>
        </w:sectPr>
      </w:pPr>
    </w:p>
    <w:p>
      <w:pPr>
        <w:pStyle w:val="BodyText"/>
        <w:rPr>
          <w:b/>
          <w:sz w:val="20"/>
        </w:rPr>
      </w:pPr>
    </w:p>
    <w:p>
      <w:pPr>
        <w:pStyle w:val="BodyText"/>
        <w:spacing w:before="5"/>
        <w:rPr>
          <w:b/>
          <w:sz w:val="16"/>
        </w:rPr>
      </w:pPr>
    </w:p>
    <w:p>
      <w:pPr>
        <w:pStyle w:val="Heading1"/>
        <w:spacing w:before="74"/>
        <w:ind w:left="301" w:right="291"/>
        <w:jc w:val="center"/>
      </w:pPr>
      <w:r>
        <w:rPr/>
        <w:t>ÍNDICE</w:t>
      </w:r>
    </w:p>
    <w:p>
      <w:pPr>
        <w:spacing w:after="0"/>
        <w:jc w:val="center"/>
        <w:sectPr>
          <w:footerReference w:type="default" r:id="rId8"/>
          <w:pgSz w:w="11900" w:h="16840"/>
          <w:pgMar w:footer="1679" w:header="0" w:top="1600" w:bottom="2241" w:left="1540" w:right="1540"/>
          <w:pgNumType w:start="1"/>
        </w:sectPr>
      </w:pPr>
    </w:p>
    <w:sdt>
      <w:sdtPr>
        <w:docPartObj>
          <w:docPartGallery w:val="Table of Contents"/>
          <w:docPartUnique/>
        </w:docPartObj>
      </w:sdtPr>
      <w:sdtEndPr/>
      <w:sdtContent>
        <w:p>
          <w:pPr>
            <w:pStyle w:val="TOC1"/>
            <w:tabs>
              <w:tab w:pos="8706" w:val="right" w:leader="dot"/>
            </w:tabs>
            <w:spacing w:before="824"/>
            <w:rPr>
              <w:rFonts w:ascii="Calibri"/>
            </w:rPr>
          </w:pPr>
          <w:hyperlink w:history="true" w:anchor="_TOC_250039">
            <w:r>
              <w:rPr/>
              <w:t>RESUMEN</w:t>
            </w:r>
            <w:r>
              <w:rPr>
                <w:rFonts w:ascii="Times New Roman"/>
              </w:rPr>
              <w:tab/>
            </w:r>
            <w:r>
              <w:rPr>
                <w:rFonts w:ascii="Calibri"/>
              </w:rPr>
              <w:t>iii</w:t>
            </w:r>
          </w:hyperlink>
        </w:p>
        <w:p>
          <w:pPr>
            <w:pStyle w:val="TOC1"/>
            <w:tabs>
              <w:tab w:pos="8706" w:val="right" w:leader="dot"/>
            </w:tabs>
            <w:spacing w:before="139"/>
            <w:rPr>
              <w:rFonts w:ascii="Calibri"/>
            </w:rPr>
          </w:pPr>
          <w:hyperlink w:history="true" w:anchor="_TOC_250038">
            <w:r>
              <w:rPr/>
              <w:t>ABSTRACT</w:t>
            </w:r>
            <w:r>
              <w:rPr>
                <w:rFonts w:ascii="Times New Roman"/>
              </w:rPr>
              <w:tab/>
            </w:r>
            <w:r>
              <w:rPr>
                <w:rFonts w:ascii="Calibri"/>
              </w:rPr>
              <w:t>v</w:t>
            </w:r>
          </w:hyperlink>
        </w:p>
        <w:p>
          <w:pPr>
            <w:pStyle w:val="TOC1"/>
            <w:tabs>
              <w:tab w:pos="8707" w:val="right" w:leader="dot"/>
            </w:tabs>
            <w:spacing w:before="144"/>
            <w:rPr>
              <w:rFonts w:ascii="Calibri" w:hAnsi="Calibri"/>
            </w:rPr>
          </w:pPr>
          <w:hyperlink w:history="true" w:anchor="_TOC_250037">
            <w:r>
              <w:rPr/>
              <w:t>I.-</w:t>
            </w:r>
            <w:r>
              <w:rPr>
                <w:spacing w:val="-1"/>
              </w:rPr>
              <w:t> </w:t>
            </w:r>
            <w:r>
              <w:rPr/>
              <w:t>INTRODUCCIÓN</w:t>
            </w:r>
            <w:r>
              <w:rPr>
                <w:rFonts w:ascii="Times New Roman" w:hAnsi="Times New Roman"/>
              </w:rPr>
              <w:tab/>
            </w:r>
            <w:r>
              <w:rPr>
                <w:rFonts w:ascii="Calibri" w:hAnsi="Calibri"/>
              </w:rPr>
              <w:t>1</w:t>
            </w:r>
          </w:hyperlink>
        </w:p>
        <w:p>
          <w:pPr>
            <w:pStyle w:val="TOC1"/>
            <w:tabs>
              <w:tab w:pos="8704" w:val="right" w:leader="dot"/>
            </w:tabs>
            <w:spacing w:before="139"/>
            <w:rPr>
              <w:rFonts w:ascii="Calibri" w:hAnsi="Calibri"/>
            </w:rPr>
          </w:pPr>
          <w:hyperlink w:history="true" w:anchor="_TOC_250036">
            <w:r>
              <w:rPr/>
              <w:t>II. REVISIÓN</w:t>
            </w:r>
            <w:r>
              <w:rPr>
                <w:spacing w:val="1"/>
              </w:rPr>
              <w:t> </w:t>
            </w:r>
            <w:r>
              <w:rPr/>
              <w:t>DE</w:t>
            </w:r>
            <w:r>
              <w:rPr>
                <w:spacing w:val="2"/>
              </w:rPr>
              <w:t> </w:t>
            </w:r>
            <w:r>
              <w:rPr/>
              <w:t>LITERATURA</w:t>
            </w:r>
            <w:r>
              <w:rPr>
                <w:rFonts w:ascii="Times New Roman" w:hAnsi="Times New Roman"/>
              </w:rPr>
              <w:tab/>
            </w:r>
            <w:r>
              <w:rPr>
                <w:rFonts w:ascii="Calibri" w:hAnsi="Calibri"/>
              </w:rPr>
              <w:t>3</w:t>
            </w:r>
          </w:hyperlink>
        </w:p>
        <w:p>
          <w:pPr>
            <w:pStyle w:val="TOC2"/>
            <w:numPr>
              <w:ilvl w:val="1"/>
              <w:numId w:val="1"/>
            </w:numPr>
            <w:tabs>
              <w:tab w:pos="750" w:val="left" w:leader="none"/>
              <w:tab w:pos="8708" w:val="right" w:leader="dot"/>
            </w:tabs>
            <w:spacing w:line="240" w:lineRule="auto" w:before="139" w:after="0"/>
            <w:ind w:left="749" w:right="0" w:hanging="417"/>
            <w:jc w:val="left"/>
            <w:rPr>
              <w:rFonts w:ascii="Calibri" w:hAnsi="Calibri"/>
            </w:rPr>
          </w:pPr>
          <w:hyperlink w:history="true" w:anchor="_TOC_250035">
            <w:r>
              <w:rPr/>
              <w:t>Arbóreas</w:t>
            </w:r>
            <w:r>
              <w:rPr>
                <w:spacing w:val="-1"/>
              </w:rPr>
              <w:t> </w:t>
            </w:r>
            <w:r>
              <w:rPr/>
              <w:t>forrajeras</w:t>
            </w:r>
            <w:r>
              <w:rPr>
                <w:rFonts w:ascii="Times New Roman" w:hAnsi="Times New Roman"/>
              </w:rPr>
              <w:tab/>
            </w:r>
            <w:r>
              <w:rPr>
                <w:rFonts w:ascii="Calibri" w:hAnsi="Calibri"/>
              </w:rPr>
              <w:t>3</w:t>
            </w:r>
          </w:hyperlink>
        </w:p>
        <w:p>
          <w:pPr>
            <w:pStyle w:val="TOC2"/>
            <w:numPr>
              <w:ilvl w:val="1"/>
              <w:numId w:val="1"/>
            </w:numPr>
            <w:tabs>
              <w:tab w:pos="750" w:val="left" w:leader="none"/>
              <w:tab w:pos="8704" w:val="right" w:leader="dot"/>
            </w:tabs>
            <w:spacing w:line="240" w:lineRule="auto" w:before="144" w:after="0"/>
            <w:ind w:left="749" w:right="0" w:hanging="417"/>
            <w:jc w:val="left"/>
            <w:rPr>
              <w:rFonts w:ascii="Calibri"/>
            </w:rPr>
          </w:pPr>
          <w:hyperlink w:history="true" w:anchor="_TOC_250034">
            <w:r>
              <w:rPr/>
              <w:t>Metabolitos</w:t>
            </w:r>
            <w:r>
              <w:rPr>
                <w:spacing w:val="-1"/>
              </w:rPr>
              <w:t> </w:t>
            </w:r>
            <w:r>
              <w:rPr/>
              <w:t>secundarios</w:t>
            </w:r>
            <w:r>
              <w:rPr>
                <w:rFonts w:ascii="Times New Roman"/>
              </w:rPr>
              <w:tab/>
            </w:r>
            <w:r>
              <w:rPr>
                <w:rFonts w:ascii="Calibri"/>
              </w:rPr>
              <w:t>4</w:t>
            </w:r>
          </w:hyperlink>
        </w:p>
        <w:p>
          <w:pPr>
            <w:pStyle w:val="TOC2"/>
            <w:numPr>
              <w:ilvl w:val="1"/>
              <w:numId w:val="1"/>
            </w:numPr>
            <w:tabs>
              <w:tab w:pos="750" w:val="left" w:leader="none"/>
              <w:tab w:pos="8704" w:val="right" w:leader="dot"/>
            </w:tabs>
            <w:spacing w:line="240" w:lineRule="auto" w:before="139" w:after="0"/>
            <w:ind w:left="749" w:right="0" w:hanging="417"/>
            <w:jc w:val="left"/>
            <w:rPr>
              <w:rFonts w:ascii="Calibri" w:hAnsi="Calibri"/>
            </w:rPr>
          </w:pPr>
          <w:hyperlink w:history="true" w:anchor="_TOC_250033">
            <w:r>
              <w:rPr/>
              <w:t>Adaptación a los metabolitos secundarios</w:t>
            </w:r>
            <w:r>
              <w:rPr>
                <w:spacing w:val="10"/>
              </w:rPr>
              <w:t> </w:t>
            </w:r>
            <w:r>
              <w:rPr/>
              <w:t>en</w:t>
            </w:r>
            <w:r>
              <w:rPr>
                <w:spacing w:val="-2"/>
              </w:rPr>
              <w:t> </w:t>
            </w:r>
            <w:r>
              <w:rPr/>
              <w:t>rumiantes</w:t>
            </w:r>
            <w:r>
              <w:rPr>
                <w:rFonts w:ascii="Times New Roman" w:hAnsi="Times New Roman"/>
              </w:rPr>
              <w:tab/>
            </w:r>
            <w:r>
              <w:rPr>
                <w:rFonts w:ascii="Calibri" w:hAnsi="Calibri"/>
              </w:rPr>
              <w:t>6</w:t>
            </w:r>
          </w:hyperlink>
        </w:p>
        <w:p>
          <w:pPr>
            <w:pStyle w:val="TOC2"/>
            <w:numPr>
              <w:ilvl w:val="1"/>
              <w:numId w:val="1"/>
            </w:numPr>
            <w:tabs>
              <w:tab w:pos="750" w:val="left" w:leader="none"/>
              <w:tab w:pos="8706" w:val="right" w:leader="dot"/>
            </w:tabs>
            <w:spacing w:line="240" w:lineRule="auto" w:before="142" w:after="0"/>
            <w:ind w:left="749" w:right="0" w:hanging="417"/>
            <w:jc w:val="left"/>
            <w:rPr>
              <w:rFonts w:ascii="Calibri" w:hAnsi="Calibri"/>
            </w:rPr>
          </w:pPr>
          <w:hyperlink w:history="true" w:anchor="_TOC_250032">
            <w:r>
              <w:rPr/>
              <w:t>La relación entre la respuesta productiva y el</w:t>
            </w:r>
            <w:r>
              <w:rPr>
                <w:spacing w:val="18"/>
              </w:rPr>
              <w:t> </w:t>
            </w:r>
            <w:r>
              <w:rPr/>
              <w:t>estado</w:t>
            </w:r>
            <w:r>
              <w:rPr>
                <w:spacing w:val="1"/>
              </w:rPr>
              <w:t> </w:t>
            </w:r>
            <w:r>
              <w:rPr/>
              <w:t>inmunológico</w:t>
            </w:r>
            <w:r>
              <w:rPr>
                <w:rFonts w:ascii="Times New Roman" w:hAnsi="Times New Roman"/>
              </w:rPr>
              <w:tab/>
            </w:r>
            <w:r>
              <w:rPr>
                <w:rFonts w:ascii="Calibri" w:hAnsi="Calibri"/>
              </w:rPr>
              <w:t>8</w:t>
            </w:r>
          </w:hyperlink>
        </w:p>
        <w:p>
          <w:pPr>
            <w:pStyle w:val="TOC2"/>
            <w:numPr>
              <w:ilvl w:val="1"/>
              <w:numId w:val="1"/>
            </w:numPr>
            <w:tabs>
              <w:tab w:pos="750" w:val="left" w:leader="none"/>
              <w:tab w:pos="8706" w:val="right" w:leader="dot"/>
            </w:tabs>
            <w:spacing w:line="240" w:lineRule="auto" w:before="142" w:after="0"/>
            <w:ind w:left="749" w:right="0" w:hanging="417"/>
            <w:jc w:val="left"/>
            <w:rPr>
              <w:rFonts w:ascii="Calibri"/>
            </w:rPr>
          </w:pPr>
          <w:hyperlink w:history="true" w:anchor="_TOC_250031">
            <w:r>
              <w:rPr/>
              <w:t>Efecto de los metabolitos secundarios sobre la</w:t>
            </w:r>
            <w:r>
              <w:rPr>
                <w:spacing w:val="19"/>
              </w:rPr>
              <w:t> </w:t>
            </w:r>
            <w:r>
              <w:rPr/>
              <w:t>respuesta</w:t>
            </w:r>
            <w:r>
              <w:rPr>
                <w:spacing w:val="5"/>
              </w:rPr>
              <w:t> </w:t>
            </w:r>
            <w:r>
              <w:rPr/>
              <w:t>productiva</w:t>
            </w:r>
            <w:r>
              <w:rPr>
                <w:rFonts w:ascii="Times New Roman"/>
              </w:rPr>
              <w:tab/>
            </w:r>
            <w:r>
              <w:rPr>
                <w:rFonts w:ascii="Calibri"/>
              </w:rPr>
              <w:t>10</w:t>
            </w:r>
          </w:hyperlink>
        </w:p>
        <w:p>
          <w:pPr>
            <w:pStyle w:val="TOC2"/>
            <w:numPr>
              <w:ilvl w:val="1"/>
              <w:numId w:val="1"/>
            </w:numPr>
            <w:tabs>
              <w:tab w:pos="750" w:val="left" w:leader="none"/>
            </w:tabs>
            <w:spacing w:line="240" w:lineRule="auto" w:before="142" w:after="0"/>
            <w:ind w:left="749" w:right="0" w:hanging="417"/>
            <w:jc w:val="left"/>
            <w:rPr>
              <w:rFonts w:ascii="Calibri"/>
            </w:rPr>
          </w:pPr>
          <w:r>
            <w:rPr/>
            <w:t>Efecto de los metabolitos secundarios sobre el estado de saludde los animales </w:t>
          </w:r>
          <w:r>
            <w:rPr>
              <w:rFonts w:ascii="Calibri"/>
            </w:rPr>
            <w:t>...  </w:t>
          </w:r>
          <w:r>
            <w:rPr>
              <w:rFonts w:ascii="Calibri"/>
              <w:spacing w:val="13"/>
            </w:rPr>
            <w:t> </w:t>
          </w:r>
          <w:r>
            <w:rPr>
              <w:rFonts w:ascii="Calibri"/>
            </w:rPr>
            <w:t>16</w:t>
          </w:r>
        </w:p>
        <w:p>
          <w:pPr>
            <w:pStyle w:val="TOC2"/>
            <w:numPr>
              <w:ilvl w:val="1"/>
              <w:numId w:val="1"/>
            </w:numPr>
            <w:tabs>
              <w:tab w:pos="750" w:val="left" w:leader="none"/>
              <w:tab w:pos="8706" w:val="right" w:leader="dot"/>
            </w:tabs>
            <w:spacing w:line="240" w:lineRule="auto" w:before="139" w:after="0"/>
            <w:ind w:left="749" w:right="0" w:hanging="417"/>
            <w:jc w:val="left"/>
            <w:rPr>
              <w:rFonts w:ascii="Calibri"/>
            </w:rPr>
          </w:pPr>
          <w:hyperlink w:history="true" w:anchor="_TOC_250030">
            <w:r>
              <w:rPr/>
              <w:t>Efecto de los metabolitos secundarios sobre la</w:t>
            </w:r>
            <w:r>
              <w:rPr>
                <w:spacing w:val="15"/>
              </w:rPr>
              <w:t> </w:t>
            </w:r>
            <w:r>
              <w:rPr/>
              <w:t>respuesta</w:t>
            </w:r>
            <w:r>
              <w:rPr>
                <w:spacing w:val="2"/>
              </w:rPr>
              <w:t> </w:t>
            </w:r>
            <w:r>
              <w:rPr/>
              <w:t>inmune</w:t>
            </w:r>
            <w:r>
              <w:rPr>
                <w:rFonts w:ascii="Times New Roman"/>
              </w:rPr>
              <w:tab/>
            </w:r>
            <w:r>
              <w:rPr>
                <w:rFonts w:ascii="Calibri"/>
              </w:rPr>
              <w:t>19</w:t>
            </w:r>
          </w:hyperlink>
        </w:p>
        <w:p>
          <w:pPr>
            <w:pStyle w:val="TOC2"/>
            <w:numPr>
              <w:ilvl w:val="1"/>
              <w:numId w:val="1"/>
            </w:numPr>
            <w:tabs>
              <w:tab w:pos="750" w:val="left" w:leader="none"/>
              <w:tab w:pos="8705" w:val="right" w:leader="dot"/>
            </w:tabs>
            <w:spacing w:line="240" w:lineRule="auto" w:before="144" w:after="0"/>
            <w:ind w:left="749" w:right="0" w:hanging="417"/>
            <w:jc w:val="left"/>
            <w:rPr>
              <w:rFonts w:ascii="Calibri" w:hAnsi="Calibri"/>
            </w:rPr>
          </w:pPr>
          <w:hyperlink w:history="true" w:anchor="_TOC_250029">
            <w:r>
              <w:rPr/>
              <w:t>Uso de enzimas exógenas en la alimentación</w:t>
            </w:r>
            <w:r>
              <w:rPr>
                <w:spacing w:val="13"/>
              </w:rPr>
              <w:t> </w:t>
            </w:r>
            <w:r>
              <w:rPr/>
              <w:t>de</w:t>
            </w:r>
            <w:r>
              <w:rPr>
                <w:spacing w:val="1"/>
              </w:rPr>
              <w:t> </w:t>
            </w:r>
            <w:r>
              <w:rPr/>
              <w:t>rumiantes</w:t>
            </w:r>
            <w:r>
              <w:rPr>
                <w:rFonts w:ascii="Times New Roman" w:hAnsi="Times New Roman"/>
              </w:rPr>
              <w:tab/>
            </w:r>
            <w:r>
              <w:rPr>
                <w:rFonts w:ascii="Calibri" w:hAnsi="Calibri"/>
              </w:rPr>
              <w:t>21</w:t>
            </w:r>
          </w:hyperlink>
        </w:p>
        <w:p>
          <w:pPr>
            <w:pStyle w:val="TOC1"/>
            <w:tabs>
              <w:tab w:pos="8707" w:val="right" w:leader="dot"/>
            </w:tabs>
            <w:spacing w:before="139"/>
            <w:rPr>
              <w:rFonts w:ascii="Calibri" w:hAnsi="Calibri"/>
            </w:rPr>
          </w:pPr>
          <w:hyperlink w:history="true" w:anchor="_TOC_250028">
            <w:r>
              <w:rPr/>
              <w:t>III.-</w:t>
            </w:r>
            <w:r>
              <w:rPr>
                <w:spacing w:val="4"/>
              </w:rPr>
              <w:t> </w:t>
            </w:r>
            <w:r>
              <w:rPr/>
              <w:t>JUSTIFICACIÓN</w:t>
            </w:r>
            <w:r>
              <w:rPr>
                <w:rFonts w:ascii="Times New Roman" w:hAnsi="Times New Roman"/>
              </w:rPr>
              <w:tab/>
            </w:r>
            <w:r>
              <w:rPr>
                <w:rFonts w:ascii="Calibri" w:hAnsi="Calibri"/>
              </w:rPr>
              <w:t>28</w:t>
            </w:r>
          </w:hyperlink>
        </w:p>
        <w:p>
          <w:pPr>
            <w:pStyle w:val="TOC1"/>
            <w:tabs>
              <w:tab w:pos="8706" w:val="right" w:leader="dot"/>
            </w:tabs>
            <w:rPr>
              <w:rFonts w:ascii="Calibri" w:hAnsi="Calibri"/>
            </w:rPr>
          </w:pPr>
          <w:hyperlink w:history="true" w:anchor="_TOC_250027">
            <w:r>
              <w:rPr/>
              <w:t>IV.-</w:t>
            </w:r>
            <w:r>
              <w:rPr>
                <w:spacing w:val="-1"/>
              </w:rPr>
              <w:t> </w:t>
            </w:r>
            <w:r>
              <w:rPr/>
              <w:t>HIPÓTESIS</w:t>
            </w:r>
            <w:r>
              <w:rPr>
                <w:rFonts w:ascii="Times New Roman" w:hAnsi="Times New Roman"/>
              </w:rPr>
              <w:tab/>
            </w:r>
            <w:r>
              <w:rPr>
                <w:rFonts w:ascii="Calibri" w:hAnsi="Calibri"/>
              </w:rPr>
              <w:t>29</w:t>
            </w:r>
          </w:hyperlink>
        </w:p>
        <w:p>
          <w:pPr>
            <w:pStyle w:val="TOC1"/>
            <w:tabs>
              <w:tab w:pos="8706" w:val="right" w:leader="dot"/>
            </w:tabs>
            <w:rPr>
              <w:rFonts w:ascii="Calibri"/>
            </w:rPr>
          </w:pPr>
          <w:hyperlink w:history="true" w:anchor="_TOC_250026">
            <w:r>
              <w:rPr/>
              <w:t>V.-OBJETIVOS</w:t>
            </w:r>
            <w:r>
              <w:rPr>
                <w:rFonts w:ascii="Times New Roman"/>
              </w:rPr>
              <w:tab/>
            </w:r>
            <w:r>
              <w:rPr>
                <w:rFonts w:ascii="Calibri"/>
              </w:rPr>
              <w:t>30</w:t>
            </w:r>
          </w:hyperlink>
        </w:p>
        <w:p>
          <w:pPr>
            <w:pStyle w:val="TOC2"/>
            <w:numPr>
              <w:ilvl w:val="1"/>
              <w:numId w:val="2"/>
            </w:numPr>
            <w:tabs>
              <w:tab w:pos="750" w:val="left" w:leader="none"/>
              <w:tab w:pos="8707" w:val="right" w:leader="dot"/>
            </w:tabs>
            <w:spacing w:line="240" w:lineRule="auto" w:before="139" w:after="0"/>
            <w:ind w:left="749" w:right="0" w:hanging="417"/>
            <w:jc w:val="left"/>
            <w:rPr>
              <w:rFonts w:ascii="Calibri"/>
            </w:rPr>
          </w:pPr>
          <w:hyperlink w:history="true" w:anchor="_TOC_250025">
            <w:r>
              <w:rPr/>
              <w:t>GENERAL</w:t>
            </w:r>
            <w:r>
              <w:rPr>
                <w:rFonts w:ascii="Times New Roman"/>
              </w:rPr>
              <w:tab/>
            </w:r>
            <w:r>
              <w:rPr>
                <w:rFonts w:ascii="Calibri"/>
              </w:rPr>
              <w:t>30</w:t>
            </w:r>
          </w:hyperlink>
        </w:p>
        <w:p>
          <w:pPr>
            <w:pStyle w:val="TOC2"/>
            <w:numPr>
              <w:ilvl w:val="1"/>
              <w:numId w:val="2"/>
            </w:numPr>
            <w:tabs>
              <w:tab w:pos="750" w:val="left" w:leader="none"/>
              <w:tab w:pos="8707" w:val="right" w:leader="dot"/>
            </w:tabs>
            <w:spacing w:line="240" w:lineRule="auto" w:before="142" w:after="0"/>
            <w:ind w:left="749" w:right="0" w:hanging="417"/>
            <w:jc w:val="left"/>
            <w:rPr>
              <w:rFonts w:ascii="Calibri" w:hAnsi="Calibri"/>
            </w:rPr>
          </w:pPr>
          <w:hyperlink w:history="true" w:anchor="_TOC_250024">
            <w:r>
              <w:rPr/>
              <w:t>ESPECÍFICOS</w:t>
            </w:r>
            <w:r>
              <w:rPr>
                <w:rFonts w:ascii="Times New Roman" w:hAnsi="Times New Roman"/>
              </w:rPr>
              <w:tab/>
            </w:r>
            <w:r>
              <w:rPr>
                <w:rFonts w:ascii="Calibri" w:hAnsi="Calibri"/>
              </w:rPr>
              <w:t>30</w:t>
            </w:r>
          </w:hyperlink>
        </w:p>
        <w:p>
          <w:pPr>
            <w:pStyle w:val="TOC1"/>
            <w:numPr>
              <w:ilvl w:val="0"/>
              <w:numId w:val="3"/>
            </w:numPr>
            <w:tabs>
              <w:tab w:pos="438" w:val="left" w:leader="none"/>
              <w:tab w:pos="8704" w:val="right" w:leader="dot"/>
            </w:tabs>
            <w:spacing w:line="240" w:lineRule="auto" w:before="142" w:after="0"/>
            <w:ind w:left="437" w:right="0" w:hanging="321"/>
            <w:jc w:val="left"/>
            <w:rPr>
              <w:rFonts w:ascii="Calibri" w:hAnsi="Calibri"/>
            </w:rPr>
          </w:pPr>
          <w:hyperlink w:history="true" w:anchor="_TOC_250023">
            <w:r>
              <w:rPr/>
              <w:t>MATERIALES</w:t>
            </w:r>
            <w:r>
              <w:rPr>
                <w:spacing w:val="2"/>
              </w:rPr>
              <w:t> </w:t>
            </w:r>
            <w:r>
              <w:rPr/>
              <w:t>Y</w:t>
            </w:r>
            <w:r>
              <w:rPr>
                <w:spacing w:val="-1"/>
              </w:rPr>
              <w:t> </w:t>
            </w:r>
            <w:r>
              <w:rPr/>
              <w:t>MÉTODOS</w:t>
            </w:r>
            <w:r>
              <w:rPr>
                <w:rFonts w:ascii="Times New Roman" w:hAnsi="Times New Roman"/>
              </w:rPr>
              <w:tab/>
            </w:r>
            <w:r>
              <w:rPr>
                <w:rFonts w:ascii="Calibri" w:hAnsi="Calibri"/>
              </w:rPr>
              <w:t>31</w:t>
            </w:r>
          </w:hyperlink>
        </w:p>
        <w:p>
          <w:pPr>
            <w:pStyle w:val="TOC1"/>
            <w:tabs>
              <w:tab w:pos="8707" w:val="right" w:leader="dot"/>
            </w:tabs>
            <w:rPr>
              <w:rFonts w:ascii="Calibri"/>
            </w:rPr>
          </w:pPr>
          <w:hyperlink w:history="true" w:anchor="_TOC_250022">
            <w:r>
              <w:rPr/>
              <w:t>6.1.</w:t>
            </w:r>
            <w:r>
              <w:rPr>
                <w:spacing w:val="-1"/>
              </w:rPr>
              <w:t> </w:t>
            </w:r>
            <w:r>
              <w:rPr/>
              <w:t>Experimento</w:t>
            </w:r>
            <w:r>
              <w:rPr>
                <w:spacing w:val="-1"/>
              </w:rPr>
              <w:t> </w:t>
            </w:r>
            <w:r>
              <w:rPr/>
              <w:t>1</w:t>
            </w:r>
            <w:r>
              <w:rPr>
                <w:rFonts w:ascii="Times New Roman"/>
              </w:rPr>
              <w:tab/>
            </w:r>
            <w:r>
              <w:rPr>
                <w:rFonts w:ascii="Calibri"/>
              </w:rPr>
              <w:t>31</w:t>
            </w:r>
          </w:hyperlink>
        </w:p>
        <w:p>
          <w:pPr>
            <w:pStyle w:val="TOC2"/>
            <w:numPr>
              <w:ilvl w:val="1"/>
              <w:numId w:val="4"/>
            </w:numPr>
            <w:tabs>
              <w:tab w:pos="750" w:val="left" w:leader="none"/>
              <w:tab w:pos="8707" w:val="right" w:leader="dot"/>
            </w:tabs>
            <w:spacing w:line="240" w:lineRule="auto" w:before="142" w:after="0"/>
            <w:ind w:left="749" w:right="0" w:hanging="417"/>
            <w:jc w:val="left"/>
            <w:rPr>
              <w:rFonts w:ascii="Calibri"/>
            </w:rPr>
          </w:pPr>
          <w:hyperlink w:history="true" w:anchor="_TOC_250021">
            <w:r>
              <w:rPr/>
              <w:t>1.Animales</w:t>
            </w:r>
            <w:r>
              <w:rPr>
                <w:rFonts w:ascii="Times New Roman"/>
              </w:rPr>
              <w:tab/>
            </w:r>
            <w:r>
              <w:rPr>
                <w:rFonts w:ascii="Calibri"/>
              </w:rPr>
              <w:t>31</w:t>
            </w:r>
          </w:hyperlink>
        </w:p>
        <w:p>
          <w:pPr>
            <w:pStyle w:val="TOC2"/>
            <w:numPr>
              <w:ilvl w:val="2"/>
              <w:numId w:val="4"/>
            </w:numPr>
            <w:tabs>
              <w:tab w:pos="928" w:val="left" w:leader="none"/>
              <w:tab w:pos="8704" w:val="right" w:leader="dot"/>
            </w:tabs>
            <w:spacing w:line="240" w:lineRule="auto" w:before="142" w:after="0"/>
            <w:ind w:left="927" w:right="0" w:hanging="595"/>
            <w:jc w:val="left"/>
            <w:rPr>
              <w:rFonts w:ascii="Calibri"/>
            </w:rPr>
          </w:pPr>
          <w:hyperlink w:history="true" w:anchor="_TOC_250020">
            <w:r>
              <w:rPr/>
              <w:t>Grupos</w:t>
            </w:r>
            <w:r>
              <w:rPr>
                <w:spacing w:val="2"/>
              </w:rPr>
              <w:t> </w:t>
            </w:r>
            <w:r>
              <w:rPr/>
              <w:t>experimentales</w:t>
            </w:r>
            <w:r>
              <w:rPr>
                <w:rFonts w:ascii="Times New Roman"/>
              </w:rPr>
              <w:tab/>
            </w:r>
            <w:r>
              <w:rPr>
                <w:rFonts w:ascii="Calibri"/>
              </w:rPr>
              <w:t>32</w:t>
            </w:r>
          </w:hyperlink>
        </w:p>
        <w:p>
          <w:pPr>
            <w:pStyle w:val="TOC2"/>
            <w:numPr>
              <w:ilvl w:val="2"/>
              <w:numId w:val="4"/>
            </w:numPr>
            <w:tabs>
              <w:tab w:pos="928" w:val="left" w:leader="none"/>
              <w:tab w:pos="8704" w:val="right" w:leader="dot"/>
            </w:tabs>
            <w:spacing w:line="240" w:lineRule="auto" w:before="139" w:after="0"/>
            <w:ind w:left="927" w:right="0" w:hanging="595"/>
            <w:jc w:val="left"/>
            <w:rPr>
              <w:rFonts w:ascii="Calibri" w:hAnsi="Calibri"/>
            </w:rPr>
          </w:pPr>
          <w:hyperlink w:history="true" w:anchor="_TOC_250019">
            <w:r>
              <w:rPr/>
              <w:t>Preparación</w:t>
            </w:r>
            <w:r>
              <w:rPr>
                <w:spacing w:val="2"/>
              </w:rPr>
              <w:t> </w:t>
            </w:r>
            <w:r>
              <w:rPr/>
              <w:t>del</w:t>
            </w:r>
            <w:r>
              <w:rPr>
                <w:spacing w:val="1"/>
              </w:rPr>
              <w:t> </w:t>
            </w:r>
            <w:r>
              <w:rPr/>
              <w:t>extracto</w:t>
            </w:r>
            <w:r>
              <w:rPr>
                <w:rFonts w:ascii="Times New Roman" w:hAnsi="Times New Roman"/>
              </w:rPr>
              <w:tab/>
            </w:r>
            <w:r>
              <w:rPr>
                <w:rFonts w:ascii="Calibri" w:hAnsi="Calibri"/>
              </w:rPr>
              <w:t>32</w:t>
            </w:r>
          </w:hyperlink>
        </w:p>
        <w:p>
          <w:pPr>
            <w:pStyle w:val="TOC2"/>
            <w:numPr>
              <w:ilvl w:val="1"/>
              <w:numId w:val="5"/>
            </w:numPr>
            <w:tabs>
              <w:tab w:pos="750" w:val="left" w:leader="none"/>
              <w:tab w:pos="8705" w:val="right" w:leader="dot"/>
            </w:tabs>
            <w:spacing w:line="240" w:lineRule="auto" w:before="144" w:after="0"/>
            <w:ind w:left="749" w:right="0" w:hanging="417"/>
            <w:jc w:val="left"/>
            <w:rPr>
              <w:rFonts w:ascii="Calibri" w:hAnsi="Calibri"/>
            </w:rPr>
          </w:pPr>
          <w:hyperlink w:history="true" w:anchor="_TOC_250018">
            <w:r>
              <w:rPr/>
              <w:t>4. Determinación de metabolitos secundarios en</w:t>
            </w:r>
            <w:r>
              <w:rPr>
                <w:spacing w:val="12"/>
              </w:rPr>
              <w:t> </w:t>
            </w:r>
            <w:r>
              <w:rPr/>
              <w:t>el</w:t>
            </w:r>
            <w:r>
              <w:rPr>
                <w:spacing w:val="3"/>
              </w:rPr>
              <w:t> </w:t>
            </w:r>
            <w:r>
              <w:rPr/>
              <w:t>extracto</w:t>
            </w:r>
            <w:r>
              <w:rPr>
                <w:rFonts w:ascii="Times New Roman" w:hAnsi="Times New Roman"/>
              </w:rPr>
              <w:tab/>
            </w:r>
            <w:r>
              <w:rPr>
                <w:rFonts w:ascii="Calibri" w:hAnsi="Calibri"/>
              </w:rPr>
              <w:t>33</w:t>
            </w:r>
          </w:hyperlink>
        </w:p>
        <w:p>
          <w:pPr>
            <w:pStyle w:val="TOC2"/>
            <w:numPr>
              <w:ilvl w:val="2"/>
              <w:numId w:val="5"/>
            </w:numPr>
            <w:tabs>
              <w:tab w:pos="928" w:val="left" w:leader="none"/>
              <w:tab w:pos="8707" w:val="right" w:leader="dot"/>
            </w:tabs>
            <w:spacing w:line="240" w:lineRule="auto" w:before="139" w:after="0"/>
            <w:ind w:left="927" w:right="0" w:hanging="595"/>
            <w:jc w:val="left"/>
            <w:rPr>
              <w:rFonts w:ascii="Calibri"/>
            </w:rPr>
          </w:pPr>
          <w:hyperlink w:history="true" w:anchor="_TOC_250017">
            <w:r>
              <w:rPr/>
              <w:t>Muestreo</w:t>
            </w:r>
            <w:r>
              <w:rPr>
                <w:rFonts w:ascii="Times New Roman"/>
              </w:rPr>
              <w:tab/>
            </w:r>
            <w:r>
              <w:rPr>
                <w:rFonts w:ascii="Calibri"/>
              </w:rPr>
              <w:t>33</w:t>
            </w:r>
          </w:hyperlink>
        </w:p>
        <w:p>
          <w:pPr>
            <w:pStyle w:val="TOC3"/>
            <w:numPr>
              <w:ilvl w:val="3"/>
              <w:numId w:val="5"/>
            </w:numPr>
            <w:tabs>
              <w:tab w:pos="1316" w:val="left" w:leader="none"/>
              <w:tab w:pos="8704" w:val="right" w:leader="dot"/>
            </w:tabs>
            <w:spacing w:line="240" w:lineRule="auto" w:before="142" w:after="0"/>
            <w:ind w:left="1315" w:right="0" w:hanging="772"/>
            <w:jc w:val="left"/>
            <w:rPr>
              <w:rFonts w:ascii="Calibri"/>
            </w:rPr>
          </w:pPr>
          <w:r>
            <w:rPr/>
            <w:t>Pesaje</w:t>
          </w:r>
          <w:r>
            <w:rPr>
              <w:spacing w:val="-1"/>
            </w:rPr>
            <w:t> </w:t>
          </w:r>
          <w:r>
            <w:rPr/>
            <w:t>de</w:t>
          </w:r>
          <w:r>
            <w:rPr>
              <w:spacing w:val="-1"/>
            </w:rPr>
            <w:t> </w:t>
          </w:r>
          <w:r>
            <w:rPr/>
            <w:t>animales</w:t>
          </w:r>
          <w:r>
            <w:rPr>
              <w:rFonts w:ascii="Times New Roman"/>
            </w:rPr>
            <w:tab/>
          </w:r>
          <w:r>
            <w:rPr>
              <w:rFonts w:ascii="Calibri"/>
            </w:rPr>
            <w:t>33</w:t>
          </w:r>
        </w:p>
        <w:p>
          <w:pPr>
            <w:pStyle w:val="TOC3"/>
            <w:numPr>
              <w:ilvl w:val="3"/>
              <w:numId w:val="5"/>
            </w:numPr>
            <w:tabs>
              <w:tab w:pos="1316" w:val="left" w:leader="none"/>
              <w:tab w:pos="8704" w:val="right" w:leader="dot"/>
            </w:tabs>
            <w:spacing w:line="240" w:lineRule="auto" w:before="142" w:after="0"/>
            <w:ind w:left="1315" w:right="0" w:hanging="772"/>
            <w:jc w:val="left"/>
            <w:rPr>
              <w:rFonts w:ascii="Calibri"/>
            </w:rPr>
          </w:pPr>
          <w:r>
            <w:rPr/>
            <w:t>Colecta</w:t>
          </w:r>
          <w:r>
            <w:rPr>
              <w:spacing w:val="2"/>
            </w:rPr>
            <w:t> </w:t>
          </w:r>
          <w:r>
            <w:rPr/>
            <w:t>de</w:t>
          </w:r>
          <w:r>
            <w:rPr>
              <w:spacing w:val="-3"/>
            </w:rPr>
            <w:t> </w:t>
          </w:r>
          <w:r>
            <w:rPr/>
            <w:t>muestras</w:t>
          </w:r>
          <w:r>
            <w:rPr>
              <w:rFonts w:ascii="Times New Roman"/>
            </w:rPr>
            <w:tab/>
          </w:r>
          <w:r>
            <w:rPr>
              <w:rFonts w:ascii="Calibri"/>
            </w:rPr>
            <w:t>33</w:t>
          </w:r>
        </w:p>
        <w:p>
          <w:pPr>
            <w:pStyle w:val="TOC2"/>
            <w:numPr>
              <w:ilvl w:val="2"/>
              <w:numId w:val="5"/>
            </w:numPr>
            <w:tabs>
              <w:tab w:pos="928" w:val="left" w:leader="none"/>
              <w:tab w:pos="8704" w:val="right" w:leader="dot"/>
            </w:tabs>
            <w:spacing w:line="240" w:lineRule="auto" w:before="139" w:after="0"/>
            <w:ind w:left="927" w:right="0" w:hanging="595"/>
            <w:jc w:val="left"/>
            <w:rPr>
              <w:rFonts w:ascii="Calibri" w:hAnsi="Calibri"/>
            </w:rPr>
          </w:pPr>
          <w:hyperlink w:history="true" w:anchor="_TOC_250016">
            <w:r>
              <w:rPr/>
              <w:t>Análisis de</w:t>
            </w:r>
            <w:r>
              <w:rPr>
                <w:spacing w:val="-1"/>
              </w:rPr>
              <w:t> </w:t>
            </w:r>
            <w:r>
              <w:rPr/>
              <w:t>las</w:t>
            </w:r>
            <w:r>
              <w:rPr>
                <w:spacing w:val="-1"/>
              </w:rPr>
              <w:t> </w:t>
            </w:r>
            <w:r>
              <w:rPr/>
              <w:t>muestras</w:t>
            </w:r>
            <w:r>
              <w:rPr>
                <w:rFonts w:ascii="Times New Roman" w:hAnsi="Times New Roman"/>
              </w:rPr>
              <w:tab/>
            </w:r>
            <w:r>
              <w:rPr>
                <w:rFonts w:ascii="Calibri" w:hAnsi="Calibri"/>
              </w:rPr>
              <w:t>34</w:t>
            </w:r>
          </w:hyperlink>
        </w:p>
        <w:p>
          <w:pPr>
            <w:pStyle w:val="TOC3"/>
            <w:numPr>
              <w:ilvl w:val="3"/>
              <w:numId w:val="5"/>
            </w:numPr>
            <w:tabs>
              <w:tab w:pos="1316" w:val="left" w:leader="none"/>
              <w:tab w:pos="8705" w:val="right" w:leader="dot"/>
            </w:tabs>
            <w:spacing w:line="240" w:lineRule="auto" w:before="142" w:after="0"/>
            <w:ind w:left="1315" w:right="0" w:hanging="772"/>
            <w:jc w:val="left"/>
            <w:rPr>
              <w:rFonts w:ascii="Calibri" w:hAnsi="Calibri"/>
            </w:rPr>
          </w:pPr>
          <w:r>
            <w:rPr/>
            <w:t>Bioquímica</w:t>
          </w:r>
          <w:r>
            <w:rPr>
              <w:spacing w:val="-1"/>
            </w:rPr>
            <w:t> </w:t>
          </w:r>
          <w:r>
            <w:rPr/>
            <w:t>sanguínea</w:t>
          </w:r>
          <w:r>
            <w:rPr>
              <w:rFonts w:ascii="Times New Roman" w:hAnsi="Times New Roman"/>
            </w:rPr>
            <w:tab/>
          </w:r>
          <w:r>
            <w:rPr>
              <w:rFonts w:ascii="Calibri" w:hAnsi="Calibri"/>
            </w:rPr>
            <w:t>34</w:t>
          </w:r>
        </w:p>
        <w:p>
          <w:pPr>
            <w:pStyle w:val="TOC3"/>
            <w:numPr>
              <w:ilvl w:val="3"/>
              <w:numId w:val="5"/>
            </w:numPr>
            <w:tabs>
              <w:tab w:pos="1316" w:val="left" w:leader="none"/>
              <w:tab w:pos="8705" w:val="right" w:leader="dot"/>
            </w:tabs>
            <w:spacing w:line="240" w:lineRule="auto" w:before="142" w:after="0"/>
            <w:ind w:left="1315" w:right="0" w:hanging="772"/>
            <w:jc w:val="left"/>
            <w:rPr>
              <w:rFonts w:ascii="Calibri"/>
            </w:rPr>
          </w:pPr>
          <w:r>
            <w:rPr/>
            <w:t>Hemograma</w:t>
          </w:r>
          <w:r>
            <w:rPr>
              <w:spacing w:val="-3"/>
            </w:rPr>
            <w:t> </w:t>
          </w:r>
          <w:r>
            <w:rPr/>
            <w:t>Completo</w:t>
          </w:r>
          <w:r>
            <w:rPr>
              <w:rFonts w:ascii="Times New Roman"/>
            </w:rPr>
            <w:tab/>
          </w:r>
          <w:r>
            <w:rPr>
              <w:rFonts w:ascii="Calibri"/>
            </w:rPr>
            <w:t>34</w:t>
          </w:r>
        </w:p>
        <w:p>
          <w:pPr>
            <w:pStyle w:val="TOC3"/>
            <w:numPr>
              <w:ilvl w:val="3"/>
              <w:numId w:val="5"/>
            </w:numPr>
            <w:tabs>
              <w:tab w:pos="1319" w:val="left" w:leader="none"/>
              <w:tab w:pos="8707" w:val="right" w:leader="dot"/>
            </w:tabs>
            <w:spacing w:line="240" w:lineRule="auto" w:before="494" w:after="0"/>
            <w:ind w:left="1318" w:right="0" w:hanging="775"/>
            <w:jc w:val="left"/>
            <w:rPr>
              <w:rFonts w:ascii="Calibri" w:hAnsi="Calibri"/>
            </w:rPr>
          </w:pPr>
          <w:r>
            <w:rPr/>
            <w:t>Inmunofenotipo por citometría</w:t>
          </w:r>
          <w:r>
            <w:rPr>
              <w:spacing w:val="7"/>
            </w:rPr>
            <w:t> </w:t>
          </w:r>
          <w:r>
            <w:rPr/>
            <w:t>de</w:t>
          </w:r>
          <w:r>
            <w:rPr>
              <w:spacing w:val="-3"/>
            </w:rPr>
            <w:t> </w:t>
          </w:r>
          <w:r>
            <w:rPr/>
            <w:t>flujo</w:t>
          </w:r>
          <w:r>
            <w:rPr>
              <w:rFonts w:ascii="Times New Roman" w:hAnsi="Times New Roman"/>
            </w:rPr>
            <w:tab/>
          </w:r>
          <w:r>
            <w:rPr>
              <w:rFonts w:ascii="Calibri" w:hAnsi="Calibri"/>
            </w:rPr>
            <w:t>35</w:t>
          </w:r>
        </w:p>
        <w:p>
          <w:pPr>
            <w:pStyle w:val="TOC2"/>
            <w:numPr>
              <w:ilvl w:val="2"/>
              <w:numId w:val="5"/>
            </w:numPr>
            <w:tabs>
              <w:tab w:pos="928" w:val="left" w:leader="none"/>
              <w:tab w:pos="8708" w:val="right" w:leader="dot"/>
            </w:tabs>
            <w:spacing w:line="240" w:lineRule="auto" w:before="142" w:after="0"/>
            <w:ind w:left="927" w:right="0" w:hanging="595"/>
            <w:jc w:val="left"/>
            <w:rPr>
              <w:rFonts w:ascii="Calibri" w:hAnsi="Calibri"/>
            </w:rPr>
          </w:pPr>
          <w:hyperlink w:history="true" w:anchor="_TOC_250015">
            <w:r>
              <w:rPr/>
              <w:t>Análisis</w:t>
            </w:r>
            <w:r>
              <w:rPr>
                <w:spacing w:val="-1"/>
              </w:rPr>
              <w:t> </w:t>
            </w:r>
            <w:r>
              <w:rPr/>
              <w:t>estadístico</w:t>
            </w:r>
            <w:r>
              <w:rPr>
                <w:rFonts w:ascii="Times New Roman" w:hAnsi="Times New Roman"/>
              </w:rPr>
              <w:tab/>
            </w:r>
            <w:r>
              <w:rPr>
                <w:rFonts w:ascii="Calibri" w:hAnsi="Calibri"/>
              </w:rPr>
              <w:t>36</w:t>
            </w:r>
          </w:hyperlink>
        </w:p>
        <w:p>
          <w:pPr>
            <w:pStyle w:val="TOC1"/>
            <w:numPr>
              <w:ilvl w:val="1"/>
              <w:numId w:val="5"/>
            </w:numPr>
            <w:tabs>
              <w:tab w:pos="534" w:val="left" w:leader="none"/>
              <w:tab w:pos="8707" w:val="right" w:leader="dot"/>
            </w:tabs>
            <w:spacing w:line="240" w:lineRule="auto" w:before="142" w:after="0"/>
            <w:ind w:left="533" w:right="0" w:hanging="417"/>
            <w:jc w:val="left"/>
            <w:rPr>
              <w:rFonts w:ascii="Calibri"/>
            </w:rPr>
          </w:pPr>
          <w:hyperlink w:history="true" w:anchor="_TOC_250014">
            <w:r>
              <w:rPr/>
              <w:t>Experimento</w:t>
            </w:r>
            <w:r>
              <w:rPr>
                <w:spacing w:val="-1"/>
              </w:rPr>
              <w:t> </w:t>
            </w:r>
            <w:r>
              <w:rPr/>
              <w:t>2</w:t>
            </w:r>
            <w:r>
              <w:rPr>
                <w:rFonts w:ascii="Times New Roman"/>
              </w:rPr>
              <w:tab/>
            </w:r>
            <w:r>
              <w:rPr>
                <w:rFonts w:ascii="Calibri"/>
              </w:rPr>
              <w:t>36</w:t>
            </w:r>
          </w:hyperlink>
        </w:p>
        <w:p>
          <w:pPr>
            <w:pStyle w:val="TOC2"/>
            <w:numPr>
              <w:ilvl w:val="2"/>
              <w:numId w:val="6"/>
            </w:numPr>
            <w:tabs>
              <w:tab w:pos="928" w:val="left" w:leader="none"/>
              <w:tab w:pos="8707" w:val="right" w:leader="dot"/>
            </w:tabs>
            <w:spacing w:line="240" w:lineRule="auto" w:before="139" w:after="0"/>
            <w:ind w:left="927" w:right="0" w:hanging="595"/>
            <w:jc w:val="left"/>
            <w:rPr>
              <w:rFonts w:ascii="Calibri"/>
            </w:rPr>
          </w:pPr>
          <w:hyperlink w:history="true" w:anchor="_TOC_250013">
            <w:r>
              <w:rPr/>
              <w:t>Animales</w:t>
            </w:r>
            <w:r>
              <w:rPr>
                <w:rFonts w:ascii="Times New Roman"/>
              </w:rPr>
              <w:tab/>
            </w:r>
            <w:r>
              <w:rPr>
                <w:rFonts w:ascii="Calibri"/>
              </w:rPr>
              <w:t>36</w:t>
            </w:r>
          </w:hyperlink>
        </w:p>
        <w:p>
          <w:pPr>
            <w:pStyle w:val="TOC2"/>
            <w:numPr>
              <w:ilvl w:val="2"/>
              <w:numId w:val="6"/>
            </w:numPr>
            <w:tabs>
              <w:tab w:pos="928" w:val="left" w:leader="none"/>
              <w:tab w:pos="8704" w:val="right" w:leader="dot"/>
            </w:tabs>
            <w:spacing w:line="240" w:lineRule="auto" w:before="144" w:after="0"/>
            <w:ind w:left="927" w:right="0" w:hanging="595"/>
            <w:jc w:val="left"/>
            <w:rPr>
              <w:rFonts w:ascii="Calibri"/>
            </w:rPr>
          </w:pPr>
          <w:hyperlink w:history="true" w:anchor="_TOC_250012">
            <w:r>
              <w:rPr/>
              <w:t>Grupos</w:t>
            </w:r>
            <w:r>
              <w:rPr>
                <w:spacing w:val="2"/>
              </w:rPr>
              <w:t> </w:t>
            </w:r>
            <w:r>
              <w:rPr/>
              <w:t>experimentales</w:t>
            </w:r>
            <w:r>
              <w:rPr>
                <w:rFonts w:ascii="Times New Roman"/>
              </w:rPr>
              <w:tab/>
            </w:r>
            <w:r>
              <w:rPr>
                <w:rFonts w:ascii="Calibri"/>
              </w:rPr>
              <w:t>37</w:t>
            </w:r>
          </w:hyperlink>
        </w:p>
        <w:p>
          <w:pPr>
            <w:pStyle w:val="TOC2"/>
            <w:numPr>
              <w:ilvl w:val="2"/>
              <w:numId w:val="6"/>
            </w:numPr>
            <w:tabs>
              <w:tab w:pos="928" w:val="left" w:leader="none"/>
              <w:tab w:pos="8704" w:val="right" w:leader="dot"/>
            </w:tabs>
            <w:spacing w:line="240" w:lineRule="auto" w:before="139" w:after="0"/>
            <w:ind w:left="927" w:right="0" w:hanging="595"/>
            <w:jc w:val="left"/>
            <w:rPr>
              <w:rFonts w:ascii="Calibri" w:hAnsi="Calibri"/>
            </w:rPr>
          </w:pPr>
          <w:hyperlink w:history="true" w:anchor="_TOC_250011">
            <w:r>
              <w:rPr/>
              <w:t>Preparación</w:t>
            </w:r>
            <w:r>
              <w:rPr>
                <w:spacing w:val="2"/>
              </w:rPr>
              <w:t> </w:t>
            </w:r>
            <w:r>
              <w:rPr/>
              <w:t>del</w:t>
            </w:r>
            <w:r>
              <w:rPr>
                <w:spacing w:val="1"/>
              </w:rPr>
              <w:t> </w:t>
            </w:r>
            <w:r>
              <w:rPr/>
              <w:t>extracto</w:t>
            </w:r>
            <w:r>
              <w:rPr>
                <w:rFonts w:ascii="Times New Roman" w:hAnsi="Times New Roman"/>
              </w:rPr>
              <w:tab/>
            </w:r>
            <w:r>
              <w:rPr>
                <w:rFonts w:ascii="Calibri" w:hAnsi="Calibri"/>
              </w:rPr>
              <w:t>37</w:t>
            </w:r>
          </w:hyperlink>
        </w:p>
        <w:p>
          <w:pPr>
            <w:pStyle w:val="TOC2"/>
            <w:numPr>
              <w:ilvl w:val="2"/>
              <w:numId w:val="6"/>
            </w:numPr>
            <w:tabs>
              <w:tab w:pos="928" w:val="left" w:leader="none"/>
              <w:tab w:pos="8705" w:val="right" w:leader="dot"/>
            </w:tabs>
            <w:spacing w:line="240" w:lineRule="auto" w:before="144" w:after="0"/>
            <w:ind w:left="927" w:right="0" w:hanging="595"/>
            <w:jc w:val="left"/>
            <w:rPr>
              <w:rFonts w:ascii="Calibri" w:hAnsi="Calibri"/>
            </w:rPr>
          </w:pPr>
          <w:hyperlink w:history="true" w:anchor="_TOC_250010">
            <w:r>
              <w:rPr/>
              <w:t>Determinación de metabolitos secundarios en</w:t>
            </w:r>
            <w:r>
              <w:rPr>
                <w:spacing w:val="5"/>
              </w:rPr>
              <w:t> </w:t>
            </w:r>
            <w:r>
              <w:rPr/>
              <w:t>el</w:t>
            </w:r>
            <w:r>
              <w:rPr>
                <w:spacing w:val="3"/>
              </w:rPr>
              <w:t> </w:t>
            </w:r>
            <w:r>
              <w:rPr/>
              <w:t>extracto</w:t>
            </w:r>
            <w:r>
              <w:rPr>
                <w:rFonts w:ascii="Times New Roman" w:hAnsi="Times New Roman"/>
              </w:rPr>
              <w:tab/>
            </w:r>
            <w:r>
              <w:rPr>
                <w:rFonts w:ascii="Calibri" w:hAnsi="Calibri"/>
              </w:rPr>
              <w:t>38</w:t>
            </w:r>
          </w:hyperlink>
        </w:p>
        <w:p>
          <w:pPr>
            <w:pStyle w:val="TOC2"/>
            <w:numPr>
              <w:ilvl w:val="2"/>
              <w:numId w:val="6"/>
            </w:numPr>
            <w:tabs>
              <w:tab w:pos="928" w:val="left" w:leader="none"/>
              <w:tab w:pos="8707" w:val="right" w:leader="dot"/>
            </w:tabs>
            <w:spacing w:line="240" w:lineRule="auto" w:before="139" w:after="0"/>
            <w:ind w:left="927" w:right="0" w:hanging="595"/>
            <w:jc w:val="left"/>
            <w:rPr>
              <w:rFonts w:ascii="Calibri"/>
            </w:rPr>
          </w:pPr>
          <w:hyperlink w:history="true" w:anchor="_TOC_250009">
            <w:r>
              <w:rPr/>
              <w:t>Muestreo</w:t>
            </w:r>
            <w:r>
              <w:rPr>
                <w:rFonts w:ascii="Times New Roman"/>
              </w:rPr>
              <w:tab/>
            </w:r>
            <w:r>
              <w:rPr>
                <w:rFonts w:ascii="Calibri"/>
              </w:rPr>
              <w:t>38</w:t>
            </w:r>
          </w:hyperlink>
        </w:p>
        <w:p>
          <w:pPr>
            <w:pStyle w:val="TOC3"/>
            <w:numPr>
              <w:ilvl w:val="3"/>
              <w:numId w:val="6"/>
            </w:numPr>
            <w:tabs>
              <w:tab w:pos="1316" w:val="left" w:leader="none"/>
              <w:tab w:pos="8704" w:val="right" w:leader="dot"/>
            </w:tabs>
            <w:spacing w:line="240" w:lineRule="auto" w:before="142" w:after="0"/>
            <w:ind w:left="1315" w:right="0" w:hanging="772"/>
            <w:jc w:val="left"/>
            <w:rPr>
              <w:rFonts w:ascii="Calibri"/>
            </w:rPr>
          </w:pPr>
          <w:r>
            <w:rPr/>
            <w:t>Colecta</w:t>
          </w:r>
          <w:r>
            <w:rPr>
              <w:spacing w:val="2"/>
            </w:rPr>
            <w:t> </w:t>
          </w:r>
          <w:r>
            <w:rPr/>
            <w:t>de</w:t>
          </w:r>
          <w:r>
            <w:rPr>
              <w:spacing w:val="-3"/>
            </w:rPr>
            <w:t> </w:t>
          </w:r>
          <w:r>
            <w:rPr/>
            <w:t>muestras</w:t>
          </w:r>
          <w:r>
            <w:rPr>
              <w:rFonts w:ascii="Times New Roman"/>
            </w:rPr>
            <w:tab/>
          </w:r>
          <w:r>
            <w:rPr>
              <w:rFonts w:ascii="Calibri"/>
            </w:rPr>
            <w:t>38</w:t>
          </w:r>
        </w:p>
        <w:p>
          <w:pPr>
            <w:pStyle w:val="TOC2"/>
            <w:numPr>
              <w:ilvl w:val="2"/>
              <w:numId w:val="6"/>
            </w:numPr>
            <w:tabs>
              <w:tab w:pos="928" w:val="left" w:leader="none"/>
              <w:tab w:pos="8704" w:val="right" w:leader="dot"/>
            </w:tabs>
            <w:spacing w:line="240" w:lineRule="auto" w:before="142" w:after="0"/>
            <w:ind w:left="927" w:right="0" w:hanging="595"/>
            <w:jc w:val="left"/>
            <w:rPr>
              <w:rFonts w:ascii="Calibri" w:hAnsi="Calibri"/>
            </w:rPr>
          </w:pPr>
          <w:hyperlink w:history="true" w:anchor="_TOC_250008">
            <w:r>
              <w:rPr/>
              <w:t>Análisis de</w:t>
            </w:r>
            <w:r>
              <w:rPr>
                <w:spacing w:val="-1"/>
              </w:rPr>
              <w:t> </w:t>
            </w:r>
            <w:r>
              <w:rPr/>
              <w:t>las</w:t>
            </w:r>
            <w:r>
              <w:rPr>
                <w:spacing w:val="-1"/>
              </w:rPr>
              <w:t> </w:t>
            </w:r>
            <w:r>
              <w:rPr/>
              <w:t>muestras</w:t>
            </w:r>
            <w:r>
              <w:rPr>
                <w:rFonts w:ascii="Times New Roman" w:hAnsi="Times New Roman"/>
              </w:rPr>
              <w:tab/>
            </w:r>
            <w:r>
              <w:rPr>
                <w:rFonts w:ascii="Calibri" w:hAnsi="Calibri"/>
              </w:rPr>
              <w:t>39</w:t>
            </w:r>
          </w:hyperlink>
        </w:p>
        <w:p>
          <w:pPr>
            <w:pStyle w:val="TOC3"/>
            <w:numPr>
              <w:ilvl w:val="3"/>
              <w:numId w:val="6"/>
            </w:numPr>
            <w:tabs>
              <w:tab w:pos="1316" w:val="left" w:leader="none"/>
              <w:tab w:pos="8705" w:val="right" w:leader="dot"/>
            </w:tabs>
            <w:spacing w:line="240" w:lineRule="auto" w:before="142" w:after="0"/>
            <w:ind w:left="1315" w:right="0" w:hanging="772"/>
            <w:jc w:val="left"/>
            <w:rPr>
              <w:rFonts w:ascii="Calibri" w:hAnsi="Calibri"/>
            </w:rPr>
          </w:pPr>
          <w:r>
            <w:rPr/>
            <w:t>Bioquímica</w:t>
          </w:r>
          <w:r>
            <w:rPr>
              <w:spacing w:val="-1"/>
            </w:rPr>
            <w:t> </w:t>
          </w:r>
          <w:r>
            <w:rPr/>
            <w:t>sanguínea</w:t>
          </w:r>
          <w:r>
            <w:rPr>
              <w:rFonts w:ascii="Times New Roman" w:hAnsi="Times New Roman"/>
            </w:rPr>
            <w:tab/>
          </w:r>
          <w:r>
            <w:rPr>
              <w:rFonts w:ascii="Calibri" w:hAnsi="Calibri"/>
            </w:rPr>
            <w:t>39</w:t>
          </w:r>
        </w:p>
        <w:p>
          <w:pPr>
            <w:pStyle w:val="TOC3"/>
            <w:numPr>
              <w:ilvl w:val="3"/>
              <w:numId w:val="6"/>
            </w:numPr>
            <w:tabs>
              <w:tab w:pos="1316" w:val="left" w:leader="none"/>
              <w:tab w:pos="8705" w:val="right" w:leader="dot"/>
            </w:tabs>
            <w:spacing w:line="240" w:lineRule="auto" w:before="139" w:after="0"/>
            <w:ind w:left="1315" w:right="0" w:hanging="772"/>
            <w:jc w:val="left"/>
            <w:rPr>
              <w:rFonts w:ascii="Calibri"/>
            </w:rPr>
          </w:pPr>
          <w:r>
            <w:rPr/>
            <w:t>Hemograma</w:t>
          </w:r>
          <w:r>
            <w:rPr>
              <w:spacing w:val="-1"/>
            </w:rPr>
            <w:t> </w:t>
          </w:r>
          <w:r>
            <w:rPr/>
            <w:t>completo</w:t>
          </w:r>
          <w:r>
            <w:rPr>
              <w:rFonts w:ascii="Times New Roman"/>
            </w:rPr>
            <w:tab/>
          </w:r>
          <w:r>
            <w:rPr>
              <w:rFonts w:ascii="Calibri"/>
            </w:rPr>
            <w:t>39</w:t>
          </w:r>
        </w:p>
        <w:p>
          <w:pPr>
            <w:pStyle w:val="TOC2"/>
            <w:numPr>
              <w:ilvl w:val="2"/>
              <w:numId w:val="6"/>
            </w:numPr>
            <w:tabs>
              <w:tab w:pos="928" w:val="left" w:leader="none"/>
              <w:tab w:pos="8708" w:val="right" w:leader="dot"/>
            </w:tabs>
            <w:spacing w:line="240" w:lineRule="auto" w:before="142" w:after="0"/>
            <w:ind w:left="927" w:right="0" w:hanging="595"/>
            <w:jc w:val="left"/>
            <w:rPr>
              <w:rFonts w:ascii="Calibri" w:hAnsi="Calibri"/>
            </w:rPr>
          </w:pPr>
          <w:hyperlink w:history="true" w:anchor="_TOC_250007">
            <w:r>
              <w:rPr/>
              <w:t>Análisis</w:t>
            </w:r>
            <w:r>
              <w:rPr>
                <w:spacing w:val="-1"/>
              </w:rPr>
              <w:t> </w:t>
            </w:r>
            <w:r>
              <w:rPr/>
              <w:t>estadístico</w:t>
            </w:r>
            <w:r>
              <w:rPr>
                <w:rFonts w:ascii="Times New Roman" w:hAnsi="Times New Roman"/>
              </w:rPr>
              <w:tab/>
            </w:r>
            <w:r>
              <w:rPr>
                <w:rFonts w:ascii="Calibri" w:hAnsi="Calibri"/>
              </w:rPr>
              <w:t>40</w:t>
            </w:r>
          </w:hyperlink>
        </w:p>
        <w:p>
          <w:pPr>
            <w:pStyle w:val="TOC1"/>
            <w:numPr>
              <w:ilvl w:val="0"/>
              <w:numId w:val="3"/>
            </w:numPr>
            <w:tabs>
              <w:tab w:pos="498" w:val="left" w:leader="none"/>
              <w:tab w:pos="8707" w:val="right" w:leader="dot"/>
            </w:tabs>
            <w:spacing w:line="240" w:lineRule="auto" w:before="142" w:after="0"/>
            <w:ind w:left="497" w:right="0" w:hanging="381"/>
            <w:jc w:val="left"/>
            <w:rPr>
              <w:rFonts w:ascii="Calibri"/>
            </w:rPr>
          </w:pPr>
          <w:hyperlink w:history="true" w:anchor="_TOC_250006">
            <w:r>
              <w:rPr/>
              <w:t>RESULTADOS</w:t>
            </w:r>
            <w:r>
              <w:rPr>
                <w:rFonts w:ascii="Times New Roman"/>
              </w:rPr>
              <w:tab/>
            </w:r>
            <w:r>
              <w:rPr>
                <w:rFonts w:ascii="Calibri"/>
              </w:rPr>
              <w:t>41</w:t>
            </w:r>
          </w:hyperlink>
        </w:p>
        <w:p>
          <w:pPr>
            <w:pStyle w:val="TOC2"/>
            <w:tabs>
              <w:tab w:pos="8704" w:val="right" w:leader="dot"/>
            </w:tabs>
            <w:spacing w:line="285" w:lineRule="auto" w:before="138"/>
            <w:ind w:left="332" w:right="112" w:firstLine="0"/>
            <w:rPr>
              <w:rFonts w:ascii="Calibri" w:hAnsi="Calibri"/>
            </w:rPr>
          </w:pPr>
          <w:hyperlink w:history="true" w:anchor="_TOC_250005">
            <w:r>
              <w:rPr/>
              <w:t>7. 1. Artículo Effect of exogenous enzyme and </w:t>
            </w:r>
            <w:r>
              <w:rPr>
                <w:i/>
              </w:rPr>
              <w:t>Salix babylonica </w:t>
            </w:r>
            <w:r>
              <w:rPr/>
              <w:t>extract or their combination on haematological parameters in</w:t>
            </w:r>
            <w:r>
              <w:rPr>
                <w:spacing w:val="8"/>
              </w:rPr>
              <w:t> </w:t>
            </w:r>
            <w:r>
              <w:rPr/>
              <w:t>growing</w:t>
            </w:r>
            <w:r>
              <w:rPr>
                <w:spacing w:val="3"/>
              </w:rPr>
              <w:t> </w:t>
            </w:r>
            <w:r>
              <w:rPr/>
              <w:t>lambs</w:t>
            </w:r>
            <w:r>
              <w:rPr>
                <w:rFonts w:ascii="Times New Roman" w:hAnsi="Times New Roman"/>
              </w:rPr>
              <w:tab/>
            </w:r>
            <w:r>
              <w:rPr>
                <w:rFonts w:ascii="Calibri" w:hAnsi="Calibri"/>
              </w:rPr>
              <w:t>41</w:t>
            </w:r>
          </w:hyperlink>
        </w:p>
        <w:p>
          <w:pPr>
            <w:pStyle w:val="TOC2"/>
            <w:spacing w:line="280" w:lineRule="auto" w:before="91"/>
            <w:ind w:left="332" w:firstLine="0"/>
            <w:rPr>
              <w:rFonts w:ascii="Calibri" w:hAnsi="Calibri"/>
            </w:rPr>
          </w:pPr>
          <w:r>
            <w:rPr/>
            <w:t>7. 2. Artículo Effects of exogenous enzyme and </w:t>
          </w:r>
          <w:r>
            <w:rPr>
              <w:i/>
            </w:rPr>
            <w:t>Salix babylonica L</w:t>
          </w:r>
          <w:r>
            <w:rPr/>
            <w:t>. extract on Cellular immune response and its correlation with average daily weight gain in growing lambs.   </w:t>
          </w:r>
          <w:r>
            <w:rPr>
              <w:rFonts w:ascii="Calibri" w:hAnsi="Calibri"/>
            </w:rPr>
            <w:t>51</w:t>
          </w:r>
        </w:p>
        <w:p>
          <w:pPr>
            <w:pStyle w:val="TOC2"/>
            <w:tabs>
              <w:tab w:pos="8708" w:val="right" w:leader="dot"/>
            </w:tabs>
            <w:spacing w:line="283" w:lineRule="auto" w:before="96"/>
            <w:ind w:left="331" w:right="109" w:firstLine="0"/>
            <w:rPr>
              <w:rFonts w:ascii="Calibri"/>
            </w:rPr>
          </w:pPr>
          <w:hyperlink w:history="true" w:anchor="_TOC_250004">
            <w:r>
              <w:rPr/>
              <w:t>7. 3. Articulo Biochemical blood parameters in lambs fed diet in presence of mixed </w:t>
            </w:r>
            <w:r>
              <w:rPr>
                <w:i/>
              </w:rPr>
              <w:t>Salix </w:t>
            </w:r>
            <w:r>
              <w:rPr>
                <w:i/>
              </w:rPr>
              <w:t>babylonica </w:t>
            </w:r>
            <w:r>
              <w:rPr/>
              <w:t>extract and exogenous enzyme as feed additives in subtropical    environments</w:t>
            </w:r>
            <w:r>
              <w:rPr>
                <w:spacing w:val="2"/>
              </w:rPr>
              <w:t> </w:t>
            </w:r>
            <w:r>
              <w:rPr/>
              <w:t>of</w:t>
            </w:r>
            <w:r>
              <w:rPr>
                <w:spacing w:val="1"/>
              </w:rPr>
              <w:t> </w:t>
            </w:r>
            <w:r>
              <w:rPr/>
              <w:t>Mexico</w:t>
            </w:r>
            <w:r>
              <w:rPr>
                <w:rFonts w:ascii="Times New Roman"/>
              </w:rPr>
              <w:tab/>
            </w:r>
            <w:r>
              <w:rPr>
                <w:rFonts w:ascii="Calibri"/>
              </w:rPr>
              <w:t>64</w:t>
            </w:r>
          </w:hyperlink>
        </w:p>
        <w:p>
          <w:pPr>
            <w:pStyle w:val="TOC2"/>
            <w:numPr>
              <w:ilvl w:val="1"/>
              <w:numId w:val="7"/>
            </w:numPr>
            <w:tabs>
              <w:tab w:pos="750" w:val="left" w:leader="none"/>
            </w:tabs>
            <w:spacing w:line="240" w:lineRule="auto" w:before="96" w:after="0"/>
            <w:ind w:left="749" w:right="0" w:hanging="417"/>
            <w:jc w:val="left"/>
          </w:pPr>
          <w:r>
            <w:rPr/>
            <w:t>Artículo Haematological and biochemical profile in lambs and goats that  </w:t>
          </w:r>
          <w:r>
            <w:rPr>
              <w:spacing w:val="4"/>
            </w:rPr>
            <w:t> </w:t>
          </w:r>
          <w:r>
            <w:rPr/>
            <w:t>consumed</w:t>
          </w:r>
        </w:p>
        <w:p>
          <w:pPr>
            <w:pStyle w:val="TOC2"/>
            <w:spacing w:before="41"/>
            <w:ind w:left="331" w:firstLine="0"/>
            <w:rPr>
              <w:rFonts w:ascii="Calibri"/>
            </w:rPr>
          </w:pPr>
          <w:r>
            <w:rPr>
              <w:i/>
            </w:rPr>
            <w:t>Salix babylonica </w:t>
          </w:r>
          <w:r>
            <w:rPr/>
            <w:t>extract, exogenous enzyme and their combination as feed additives.    </w:t>
          </w:r>
          <w:r>
            <w:rPr>
              <w:rFonts w:ascii="Calibri"/>
            </w:rPr>
            <w:t>85</w:t>
          </w:r>
        </w:p>
        <w:p>
          <w:pPr>
            <w:pStyle w:val="TOC2"/>
            <w:numPr>
              <w:ilvl w:val="1"/>
              <w:numId w:val="7"/>
            </w:numPr>
            <w:tabs>
              <w:tab w:pos="750" w:val="left" w:leader="none"/>
              <w:tab w:pos="8704" w:val="right" w:leader="dot"/>
            </w:tabs>
            <w:spacing w:line="240" w:lineRule="auto" w:before="142" w:after="0"/>
            <w:ind w:left="749" w:right="0" w:hanging="417"/>
            <w:jc w:val="left"/>
            <w:rPr>
              <w:rFonts w:ascii="Calibri"/>
            </w:rPr>
          </w:pPr>
          <w:hyperlink w:history="true" w:anchor="_TOC_250003">
            <w:r>
              <w:rPr/>
              <w:t>Resultados</w:t>
            </w:r>
            <w:r>
              <w:rPr>
                <w:spacing w:val="-1"/>
              </w:rPr>
              <w:t> </w:t>
            </w:r>
            <w:r>
              <w:rPr/>
              <w:t>adicionales</w:t>
            </w:r>
            <w:r>
              <w:rPr>
                <w:rFonts w:ascii="Times New Roman"/>
              </w:rPr>
              <w:tab/>
            </w:r>
            <w:r>
              <w:rPr>
                <w:rFonts w:ascii="Calibri"/>
              </w:rPr>
              <w:t>104</w:t>
            </w:r>
          </w:hyperlink>
        </w:p>
        <w:p>
          <w:pPr>
            <w:pStyle w:val="TOC3"/>
            <w:numPr>
              <w:ilvl w:val="2"/>
              <w:numId w:val="7"/>
            </w:numPr>
            <w:tabs>
              <w:tab w:pos="1139" w:val="left" w:leader="none"/>
              <w:tab w:pos="8705" w:val="right" w:leader="dot"/>
            </w:tabs>
            <w:spacing w:line="240" w:lineRule="auto" w:before="142" w:after="0"/>
            <w:ind w:left="1138" w:right="0" w:hanging="595"/>
            <w:jc w:val="left"/>
            <w:rPr>
              <w:rFonts w:ascii="Calibri" w:hAnsi="Calibri"/>
            </w:rPr>
          </w:pPr>
          <w:r>
            <w:rPr/>
            <w:t>Estancia</w:t>
          </w:r>
          <w:r>
            <w:rPr>
              <w:spacing w:val="2"/>
            </w:rPr>
            <w:t> </w:t>
          </w:r>
          <w:r>
            <w:rPr/>
            <w:t>de</w:t>
          </w:r>
          <w:r>
            <w:rPr>
              <w:spacing w:val="-1"/>
            </w:rPr>
            <w:t> </w:t>
          </w:r>
          <w:r>
            <w:rPr/>
            <w:t>Investigación</w:t>
          </w:r>
          <w:r>
            <w:rPr>
              <w:rFonts w:ascii="Times New Roman" w:hAnsi="Times New Roman"/>
            </w:rPr>
            <w:tab/>
          </w:r>
          <w:r>
            <w:rPr>
              <w:rFonts w:ascii="Calibri" w:hAnsi="Calibri"/>
            </w:rPr>
            <w:t>104</w:t>
          </w:r>
        </w:p>
        <w:p>
          <w:pPr>
            <w:pStyle w:val="TOC1"/>
            <w:numPr>
              <w:ilvl w:val="0"/>
              <w:numId w:val="3"/>
            </w:numPr>
            <w:tabs>
              <w:tab w:pos="558" w:val="left" w:leader="none"/>
              <w:tab w:pos="8708" w:val="right" w:leader="dot"/>
            </w:tabs>
            <w:spacing w:line="240" w:lineRule="auto" w:before="139" w:after="0"/>
            <w:ind w:left="557" w:right="0" w:hanging="441"/>
            <w:jc w:val="left"/>
            <w:rPr>
              <w:rFonts w:ascii="Calibri" w:hAnsi="Calibri"/>
            </w:rPr>
          </w:pPr>
          <w:hyperlink w:history="true" w:anchor="_TOC_250002">
            <w:r>
              <w:rPr/>
              <w:t>DISCUSIÓN</w:t>
            </w:r>
            <w:r>
              <w:rPr>
                <w:spacing w:val="2"/>
              </w:rPr>
              <w:t> </w:t>
            </w:r>
            <w:r>
              <w:rPr/>
              <w:t>GENERAL</w:t>
            </w:r>
            <w:r>
              <w:rPr>
                <w:rFonts w:ascii="Times New Roman" w:hAnsi="Times New Roman"/>
              </w:rPr>
              <w:tab/>
            </w:r>
            <w:r>
              <w:rPr>
                <w:rFonts w:ascii="Calibri" w:hAnsi="Calibri"/>
              </w:rPr>
              <w:t>109</w:t>
            </w:r>
          </w:hyperlink>
        </w:p>
        <w:p>
          <w:pPr>
            <w:pStyle w:val="TOC1"/>
            <w:numPr>
              <w:ilvl w:val="0"/>
              <w:numId w:val="3"/>
            </w:numPr>
            <w:tabs>
              <w:tab w:pos="438" w:val="left" w:leader="none"/>
              <w:tab w:pos="8707" w:val="right" w:leader="dot"/>
            </w:tabs>
            <w:spacing w:line="240" w:lineRule="auto" w:before="142" w:after="0"/>
            <w:ind w:left="437" w:right="0" w:hanging="321"/>
            <w:jc w:val="left"/>
            <w:rPr>
              <w:rFonts w:ascii="Calibri" w:hAnsi="Calibri"/>
            </w:rPr>
          </w:pPr>
          <w:hyperlink w:history="true" w:anchor="_TOC_250001">
            <w:r>
              <w:rPr/>
              <w:t>CONCLUSIÓN</w:t>
            </w:r>
            <w:r>
              <w:rPr>
                <w:rFonts w:ascii="Times New Roman" w:hAnsi="Times New Roman"/>
              </w:rPr>
              <w:tab/>
            </w:r>
            <w:r>
              <w:rPr>
                <w:rFonts w:ascii="Calibri" w:hAnsi="Calibri"/>
              </w:rPr>
              <w:t>113</w:t>
            </w:r>
          </w:hyperlink>
        </w:p>
        <w:p>
          <w:pPr>
            <w:pStyle w:val="TOC1"/>
            <w:numPr>
              <w:ilvl w:val="0"/>
              <w:numId w:val="3"/>
            </w:numPr>
            <w:tabs>
              <w:tab w:pos="378" w:val="left" w:leader="none"/>
              <w:tab w:pos="8707" w:val="right" w:leader="dot"/>
            </w:tabs>
            <w:spacing w:line="240" w:lineRule="auto" w:before="142" w:after="0"/>
            <w:ind w:left="377" w:right="0" w:hanging="261"/>
            <w:jc w:val="left"/>
            <w:rPr>
              <w:rFonts w:ascii="Calibri"/>
            </w:rPr>
          </w:pPr>
          <w:hyperlink w:history="true" w:anchor="_TOC_250000">
            <w:r>
              <w:rPr/>
              <w:t>REFERENCIAS</w:t>
            </w:r>
            <w:r>
              <w:rPr>
                <w:rFonts w:ascii="Times New Roman"/>
              </w:rPr>
              <w:tab/>
            </w:r>
            <w:r>
              <w:rPr>
                <w:rFonts w:ascii="Calibri"/>
              </w:rPr>
              <w:t>114</w:t>
            </w:r>
          </w:hyperlink>
        </w:p>
      </w:sdtContent>
    </w:sdt>
    <w:p>
      <w:pPr>
        <w:spacing w:after="0" w:line="240" w:lineRule="auto"/>
        <w:jc w:val="left"/>
        <w:rPr>
          <w:rFonts w:ascii="Calibri"/>
        </w:rPr>
        <w:sectPr>
          <w:type w:val="continuous"/>
          <w:pgSz w:w="11900" w:h="16840"/>
          <w:pgMar w:top="1600" w:bottom="2241" w:left="1540" w:right="1540"/>
        </w:sectPr>
      </w:pPr>
    </w:p>
    <w:p>
      <w:pPr>
        <w:pStyle w:val="BodyText"/>
        <w:rPr>
          <w:rFonts w:ascii="Calibri"/>
          <w:sz w:val="22"/>
        </w:rPr>
      </w:pPr>
    </w:p>
    <w:p>
      <w:pPr>
        <w:pStyle w:val="BodyText"/>
        <w:spacing w:before="4"/>
        <w:rPr>
          <w:rFonts w:ascii="Calibri"/>
          <w:sz w:val="18"/>
        </w:rPr>
      </w:pPr>
    </w:p>
    <w:p>
      <w:pPr>
        <w:pStyle w:val="Heading1"/>
        <w:ind w:left="3316" w:right="3317"/>
        <w:jc w:val="center"/>
      </w:pPr>
      <w:bookmarkStart w:name="_TOC_250039" w:id="1"/>
      <w:bookmarkEnd w:id="1"/>
      <w:r>
        <w:rPr/>
        <w:t>RESUMEN</w:t>
      </w:r>
    </w:p>
    <w:p>
      <w:pPr>
        <w:pStyle w:val="BodyText"/>
        <w:rPr>
          <w:b/>
          <w:sz w:val="22"/>
        </w:rPr>
      </w:pPr>
    </w:p>
    <w:p>
      <w:pPr>
        <w:pStyle w:val="BodyText"/>
        <w:spacing w:before="11"/>
        <w:rPr>
          <w:b/>
          <w:sz w:val="25"/>
        </w:rPr>
      </w:pPr>
    </w:p>
    <w:p>
      <w:pPr>
        <w:pStyle w:val="BodyText"/>
        <w:spacing w:line="364" w:lineRule="auto"/>
        <w:ind w:left="115" w:right="117"/>
        <w:jc w:val="both"/>
      </w:pPr>
      <w:r>
        <w:rPr/>
        <w:t>El costo de los insumos usados en la producción pecuaria,  los  conceptos  de limpio, verde y ético y la compleja interacción existente entre la nutrición y la respuesta inmune, ha llevado a investigadores y productores a buscar alternativas alimenticias  que les  permitan cubrir los requerimientos de la sociedad moderna,  sin demeritar la capacidad productiva en sus unidades de producción.  Por  tal motivo constantemente se están evaluando aditivos alimenticios tales como las enzimas exógenas y los extractos derivados de arbóreas y arbustivas forrajeras motivo de la presente investigación la cual tuvo como objetivo evaluar el efecto de las enzimas exógenas, el extracto de </w:t>
      </w:r>
      <w:r>
        <w:rPr>
          <w:i/>
        </w:rPr>
        <w:t>Salix babylonica </w:t>
      </w:r>
      <w:r>
        <w:rPr/>
        <w:t>y su combinación sobre parámetros hematológicos, inmunológicos y productivos. Para dar cumplimiento a este objetivo se realizaron dos experimentos. En el primer experimento  se  utilizaron 20 borregos Suffolk divididos en cuatro grupos experimentales  de  acuerdo a los siguientes tratamientos: 1) Control, los animales consumieron solo la dieta basal (DB), 2) EZ, los animales consumieron DB +10g de enzimas exógenas (ZADO®), 3) SB, los animales consumieron DB + 30ml de extracto de </w:t>
      </w:r>
      <w:r>
        <w:rPr>
          <w:i/>
        </w:rPr>
        <w:t>Salix </w:t>
      </w:r>
      <w:r>
        <w:rPr>
          <w:i/>
        </w:rPr>
        <w:t>babylonica </w:t>
      </w:r>
      <w:r>
        <w:rPr/>
        <w:t>y 4) EZSB, los animales consumieron DB + 10g de enzimas exógenas+30ml de extracto de </w:t>
      </w:r>
      <w:r>
        <w:rPr>
          <w:i/>
        </w:rPr>
        <w:t>Salix babylonica</w:t>
      </w:r>
      <w:r>
        <w:rPr/>
        <w:t>. Los  tratamientos  se ofrecieron  del día 1 al día 60 del experimento, por las mañanas antes de proporcionarles el alimento. Las enzimas se mezclaron con 200g de concentrado y se ofrecieron 20 minutos antes de ofrecerles el total de alimento por día, el extracto se proporcionó directo en la boca con una jeringa. Se colectó sangre periférica por vía yugular los días 0, 15, 30, 45 y 60 y con ella se realizaron pruebas bioquímicas, hemogramas   y determinación de inmunofenotipaje por citometría de flujo de linfocitos T colaboradores, T citotóxicos, granulocitos y monocitos y se determinaron parámetros productivos como ganancia diaria de peso y consumo </w:t>
      </w:r>
      <w:r>
        <w:rPr>
          <w:spacing w:val="18"/>
        </w:rPr>
        <w:t> </w:t>
      </w:r>
      <w:r>
        <w:rPr/>
        <w:t>voluntario.</w:t>
      </w:r>
    </w:p>
    <w:p>
      <w:pPr>
        <w:pStyle w:val="BodyText"/>
        <w:rPr>
          <w:sz w:val="22"/>
        </w:rPr>
      </w:pPr>
    </w:p>
    <w:p>
      <w:pPr>
        <w:pStyle w:val="BodyText"/>
        <w:spacing w:line="364" w:lineRule="auto" w:before="155"/>
        <w:ind w:left="115" w:right="119"/>
        <w:jc w:val="both"/>
      </w:pPr>
      <w:r>
        <w:rPr/>
        <w:t>En el segundo experimento se utilizaron 4 borregos Suffolk y 4 cabras Saanen los cuales fueron asignados de forma aleatoria a uno de los siguientes tratamientos 1) Control,  los  animales  consumieron  DB  +  30ml  de  agua  destilada,  2)  EZ,    los</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17"/>
        <w:jc w:val="both"/>
      </w:pPr>
      <w:r>
        <w:rPr/>
        <w:t>animales consumieron DB+ 1µl/g/MS ingerida de de xilanasa (Dyadic International Inc. Jupiter, FL.) diluida en 30ml de agua destilada, 3)SB, los animales  consumieron DB+ 30ml de extracto de </w:t>
      </w:r>
      <w:r>
        <w:rPr>
          <w:i/>
        </w:rPr>
        <w:t>Salix babylonica</w:t>
      </w:r>
      <w:r>
        <w:rPr/>
        <w:t>, 4)EZSB, los animales consumieron DB+ 1µl/g/MS ingerida de enzimas exógenas diluida  en  30ml  de agua destilada+ 30ml de extracto de </w:t>
      </w:r>
      <w:r>
        <w:rPr>
          <w:i/>
        </w:rPr>
        <w:t>Salix babylonica</w:t>
      </w:r>
      <w:r>
        <w:rPr/>
        <w:t>. El experimento se dividió en cuatro periodos de 15 días y los tratamientos se ofrecieron del día 1 al 15 de cada periodo, por vía oral con una jeringa. Se colectaron muestras de sangre  vía  yugular los días 15 de cada periodo experimental con las cuales se realizaron pruebas bioquímicas y</w:t>
      </w:r>
      <w:r>
        <w:rPr>
          <w:spacing w:val="43"/>
        </w:rPr>
        <w:t> </w:t>
      </w:r>
      <w:r>
        <w:rPr/>
        <w:t>hemogramas.</w:t>
      </w:r>
    </w:p>
    <w:p>
      <w:pPr>
        <w:pStyle w:val="BodyText"/>
        <w:rPr>
          <w:sz w:val="22"/>
        </w:rPr>
      </w:pPr>
    </w:p>
    <w:p>
      <w:pPr>
        <w:pStyle w:val="BodyText"/>
        <w:spacing w:line="364" w:lineRule="auto" w:before="155"/>
        <w:ind w:left="115" w:right="117"/>
        <w:jc w:val="both"/>
      </w:pPr>
      <w:r>
        <w:rPr/>
        <w:t>En ambos experimentos se observó que los tratamientos no produjeron efectos (P&gt;0.05) en los parámetros hematológicos, inmunológicos y productivos (ganancia diaria de peso y consumo voluntario). Se concluyó que el extracto de </w:t>
      </w:r>
      <w:r>
        <w:rPr>
          <w:i/>
        </w:rPr>
        <w:t>Salix </w:t>
      </w:r>
      <w:r>
        <w:rPr>
          <w:i/>
        </w:rPr>
        <w:t>babylonica</w:t>
      </w:r>
      <w:r>
        <w:rPr/>
        <w:t>, el complejo enzimático ZADO</w:t>
      </w:r>
      <w:r>
        <w:rPr>
          <w:rFonts w:ascii="Verdana" w:hAnsi="Verdana"/>
        </w:rPr>
        <w:t>® </w:t>
      </w:r>
      <w:r>
        <w:rPr/>
        <w:t>y la xilanasa utilizados en los  presentes experimentos no causan efectos en los parámetros medidos. </w:t>
      </w:r>
      <w:r>
        <w:rPr>
          <w:color w:val="212121"/>
        </w:rPr>
        <w:t>Las variables hematológicas reportadas en ambos experimentos apoyan el hecho de que no son perjudiciales para la salud animal y pueden ser utilizados  con  seguridad en condiciones de</w:t>
      </w:r>
      <w:r>
        <w:rPr>
          <w:color w:val="212121"/>
          <w:spacing w:val="42"/>
        </w:rPr>
        <w:t> </w:t>
      </w:r>
      <w:r>
        <w:rPr>
          <w:color w:val="212121"/>
        </w:rPr>
        <w:t>campo.</w:t>
      </w:r>
    </w:p>
    <w:p>
      <w:pPr>
        <w:pStyle w:val="BodyText"/>
        <w:spacing w:before="5"/>
        <w:rPr>
          <w:sz w:val="29"/>
        </w:rPr>
      </w:pPr>
    </w:p>
    <w:p>
      <w:pPr>
        <w:pStyle w:val="BodyText"/>
        <w:spacing w:line="367" w:lineRule="auto"/>
        <w:ind w:left="116" w:right="121"/>
        <w:jc w:val="both"/>
      </w:pPr>
      <w:r>
        <w:rPr>
          <w:b/>
        </w:rPr>
        <w:t>Palabras clave</w:t>
      </w:r>
      <w:r>
        <w:rPr/>
        <w:t>: enzimas exógenas, extracto de Salix babylonica, parámetros hematológicos,  inmunológicos y productivos,  borregos,  cabras.</w:t>
      </w:r>
    </w:p>
    <w:p>
      <w:pPr>
        <w:spacing w:after="0" w:line="367" w:lineRule="auto"/>
        <w:jc w:val="both"/>
        <w:sectPr>
          <w:footerReference w:type="default" r:id="rId9"/>
          <w:pgSz w:w="11900" w:h="16840"/>
          <w:pgMar w:footer="1679" w:header="0" w:top="1600" w:bottom="1860" w:left="1540" w:right="1520"/>
          <w:pgNumType w:start="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p>
    <w:p>
      <w:pPr>
        <w:pStyle w:val="Heading1"/>
        <w:spacing w:before="74"/>
        <w:ind w:left="3316" w:right="3321"/>
        <w:jc w:val="center"/>
      </w:pPr>
      <w:bookmarkStart w:name="_TOC_250038" w:id="2"/>
      <w:bookmarkEnd w:id="2"/>
      <w:r>
        <w:rPr/>
        <w:t>ABSTRACT</w:t>
      </w:r>
    </w:p>
    <w:p>
      <w:pPr>
        <w:pStyle w:val="BodyText"/>
        <w:rPr>
          <w:b/>
          <w:sz w:val="22"/>
        </w:rPr>
      </w:pPr>
    </w:p>
    <w:p>
      <w:pPr>
        <w:pStyle w:val="BodyText"/>
        <w:spacing w:line="364" w:lineRule="auto" w:before="197"/>
        <w:ind w:left="115" w:right="117"/>
        <w:jc w:val="both"/>
      </w:pPr>
      <w:r>
        <w:rPr>
          <w:color w:val="212121"/>
        </w:rPr>
        <w:t>In recent years the high cost of inputs used in livestock production, the concepts of clean, green and ethical and the complex interaction between nutrition and the immune response, has led both researchers and farmers to seek alternatives that will met the expectatives of the modern society, without discrediting the productive capacity of their production units. Therefore, there has been a constant evaluation  of food additives such as exogenous enzymes and extracts derived from tree and shrub foliage. In this regard, the present investigation aimed to evaluate the effect   of exogenous enzymes and </w:t>
      </w:r>
      <w:r>
        <w:rPr>
          <w:i/>
          <w:color w:val="212121"/>
        </w:rPr>
        <w:t>Salix babylonica </w:t>
      </w:r>
      <w:r>
        <w:rPr>
          <w:color w:val="212121"/>
        </w:rPr>
        <w:t>extract as well as their combination   on haematological, immunological and productive parameters. In order to fulfill this objective, two experiments were performed. In the first experiment, 20  Suffolk sheep were randomly assigned to four experimental groups according to the following treatments: 1) Control animals consuming the basal diet (BD), 2) EZ, animals consuming BD +10g of exogenous enzymes (ZADO ®), 3 ) SB, animals consumjng BD + 30ml </w:t>
      </w:r>
      <w:r>
        <w:rPr>
          <w:i/>
          <w:color w:val="212121"/>
        </w:rPr>
        <w:t>Salix babylonica </w:t>
      </w:r>
      <w:r>
        <w:rPr>
          <w:color w:val="212121"/>
        </w:rPr>
        <w:t>extract and 4) EZSB, animals consuming  BD + 10g of exogenous enzymes + 30ml </w:t>
      </w:r>
      <w:r>
        <w:rPr>
          <w:i/>
          <w:color w:val="212121"/>
        </w:rPr>
        <w:t>Salix babylonica </w:t>
      </w:r>
      <w:r>
        <w:rPr>
          <w:color w:val="212121"/>
        </w:rPr>
        <w:t>extract.  Treatments  were offered from day 1 to day 60 of the experiment, in the morning before the    daily feeding. Enzymes were mixed with 200g of concentrate offered and  20  minutes before offering total food per day, the extract was provided directly in the mouth with a syringe. Peripheral blood was collected by jugular vein on days 0, 15, 30, 45 and 60 and therewith biochemical test, blood count anddetermining immunophenotyping by flow cytometry of helper T lymphocytes, cytotoxic T lymphocytes, granulocytes and monocytes. Productive parameters such as daily weight gain and voluntary feed intake were also </w:t>
      </w:r>
      <w:r>
        <w:rPr>
          <w:color w:val="212121"/>
          <w:spacing w:val="1"/>
        </w:rPr>
        <w:t> </w:t>
      </w:r>
      <w:r>
        <w:rPr>
          <w:color w:val="212121"/>
        </w:rPr>
        <w:t>determined.</w:t>
      </w:r>
    </w:p>
    <w:p>
      <w:pPr>
        <w:pStyle w:val="BodyText"/>
        <w:rPr>
          <w:sz w:val="22"/>
        </w:rPr>
      </w:pPr>
    </w:p>
    <w:p>
      <w:pPr>
        <w:pStyle w:val="BodyText"/>
        <w:spacing w:line="364" w:lineRule="auto" w:before="153"/>
        <w:ind w:left="115" w:right="113"/>
        <w:jc w:val="both"/>
      </w:pPr>
      <w:r>
        <w:rPr>
          <w:color w:val="212121"/>
        </w:rPr>
        <w:t>In the second experiment four Suffolk sheep and 4 Saanen goats were randomly assigned to one of the following treatments 1) Control, animals consuming BD plus 30ml of destilled water, 2) EZ , animals consuming BD + </w:t>
      </w:r>
      <w:r>
        <w:rPr/>
        <w:t>1µl/g/DM intake of  xylanase (Dyadic International Inc. Jupiter, FL) in 30ml of   destilled water, </w:t>
      </w:r>
      <w:r>
        <w:rPr>
          <w:color w:val="212121"/>
        </w:rPr>
        <w:t>3 ) SB   </w:t>
      </w:r>
      <w:r>
        <w:rPr>
          <w:color w:val="212121"/>
          <w:spacing w:val="9"/>
        </w:rPr>
        <w:t> </w:t>
      </w:r>
      <w:r>
        <w:rPr>
          <w:color w:val="212121"/>
        </w:rPr>
        <w:t>,</w:t>
      </w:r>
    </w:p>
    <w:p>
      <w:pPr>
        <w:spacing w:after="0" w:line="364" w:lineRule="auto"/>
        <w:jc w:val="both"/>
        <w:sectPr>
          <w:footerReference w:type="default" r:id="rId10"/>
          <w:pgSz w:w="11900" w:h="16840"/>
          <w:pgMar w:footer="1679" w:header="0" w:top="1600" w:bottom="1860" w:left="1540" w:right="1520"/>
          <w:pgNumType w:start="5"/>
        </w:sectPr>
      </w:pPr>
    </w:p>
    <w:p>
      <w:pPr>
        <w:pStyle w:val="BodyText"/>
        <w:rPr>
          <w:sz w:val="20"/>
        </w:rPr>
      </w:pPr>
    </w:p>
    <w:p>
      <w:pPr>
        <w:pStyle w:val="BodyText"/>
        <w:spacing w:before="5"/>
        <w:rPr>
          <w:sz w:val="16"/>
        </w:rPr>
      </w:pPr>
    </w:p>
    <w:p>
      <w:pPr>
        <w:pStyle w:val="BodyText"/>
        <w:spacing w:line="364" w:lineRule="auto" w:before="74"/>
        <w:ind w:left="115" w:right="118"/>
        <w:jc w:val="both"/>
      </w:pPr>
      <w:r>
        <w:rPr>
          <w:color w:val="212121"/>
        </w:rPr>
        <w:t>animals consuming BD + 30ml </w:t>
      </w:r>
      <w:r>
        <w:rPr>
          <w:i/>
          <w:color w:val="212121"/>
        </w:rPr>
        <w:t>Salix babylonica </w:t>
      </w:r>
      <w:r>
        <w:rPr>
          <w:color w:val="212121"/>
        </w:rPr>
        <w:t>extract, 4 ) EZSB, animals consuming BD + </w:t>
      </w:r>
      <w:r>
        <w:rPr/>
        <w:t>1µl/g/DM intake of xylanase (Dyadic International Inc. Jupiter, FL)  in 30ml of destilled water </w:t>
      </w:r>
      <w:r>
        <w:rPr>
          <w:color w:val="212121"/>
        </w:rPr>
        <w:t>+ 30ml </w:t>
      </w:r>
      <w:r>
        <w:rPr>
          <w:i/>
          <w:color w:val="212121"/>
        </w:rPr>
        <w:t>Salix babylonica </w:t>
      </w:r>
      <w:r>
        <w:rPr>
          <w:color w:val="212121"/>
        </w:rPr>
        <w:t>extract. The experiment was divided in four periods of 15 days, the treatments were offered from day 1 to 15 every period, orally with a syringe. Blood samples were collected via jugular on </w:t>
      </w:r>
      <w:r>
        <w:rPr>
          <w:color w:val="212121"/>
          <w:spacing w:val="49"/>
        </w:rPr>
        <w:t> </w:t>
      </w:r>
      <w:r>
        <w:rPr>
          <w:color w:val="212121"/>
        </w:rPr>
        <w:t>day</w:t>
      </w:r>
    </w:p>
    <w:p>
      <w:pPr>
        <w:pStyle w:val="BodyText"/>
        <w:spacing w:line="364" w:lineRule="auto" w:before="7"/>
        <w:ind w:left="115" w:right="120"/>
        <w:jc w:val="both"/>
      </w:pPr>
      <w:r>
        <w:rPr>
          <w:color w:val="212121"/>
        </w:rPr>
        <w:t>15 of each experimental period for further biochemical tests and blood count analyses.</w:t>
      </w:r>
    </w:p>
    <w:p>
      <w:pPr>
        <w:pStyle w:val="BodyText"/>
        <w:rPr>
          <w:sz w:val="22"/>
        </w:rPr>
      </w:pPr>
    </w:p>
    <w:p>
      <w:pPr>
        <w:pStyle w:val="BodyText"/>
        <w:spacing w:line="367" w:lineRule="auto" w:before="155"/>
        <w:ind w:left="115" w:right="117"/>
        <w:jc w:val="both"/>
      </w:pPr>
      <w:r>
        <w:rPr>
          <w:color w:val="212121"/>
        </w:rPr>
        <w:t>In both experiments there were no significant effects of treatments (P&gt;0.05) on haematological, immunological and productive parameters (daily weight gainand voluntary intake). It is concluded that </w:t>
      </w:r>
      <w:r>
        <w:rPr>
          <w:i/>
          <w:color w:val="212121"/>
        </w:rPr>
        <w:t>Salix babylonica </w:t>
      </w:r>
      <w:r>
        <w:rPr>
          <w:color w:val="212121"/>
        </w:rPr>
        <w:t>extract, the exogenous enzyme ZADO</w:t>
      </w:r>
      <w:r>
        <w:rPr>
          <w:rFonts w:ascii="Verdana" w:hAnsi="Verdana"/>
          <w:color w:val="212121"/>
        </w:rPr>
        <w:t>® </w:t>
      </w:r>
      <w:r>
        <w:rPr>
          <w:color w:val="212121"/>
        </w:rPr>
        <w:t>and xylanase used in the present experiments did not affect the measured parameters. The hematological variables  reported  herein  support  the fact that they are not deleterious on animal health and might be safely used in field conditions.</w:t>
      </w:r>
    </w:p>
    <w:p>
      <w:pPr>
        <w:pStyle w:val="BodyText"/>
        <w:rPr>
          <w:sz w:val="22"/>
        </w:rPr>
      </w:pPr>
    </w:p>
    <w:p>
      <w:pPr>
        <w:pStyle w:val="BodyText"/>
        <w:spacing w:line="364" w:lineRule="auto" w:before="150"/>
        <w:ind w:left="116" w:right="117"/>
        <w:jc w:val="both"/>
      </w:pPr>
      <w:r>
        <w:rPr>
          <w:b/>
          <w:color w:val="212121"/>
        </w:rPr>
        <w:t>Keywords</w:t>
      </w:r>
      <w:r>
        <w:rPr>
          <w:color w:val="212121"/>
        </w:rPr>
        <w:t>: exogenous enzymes, </w:t>
      </w:r>
      <w:r>
        <w:rPr>
          <w:i/>
          <w:color w:val="212121"/>
        </w:rPr>
        <w:t>Salix babylonica </w:t>
      </w:r>
      <w:r>
        <w:rPr>
          <w:color w:val="212121"/>
        </w:rPr>
        <w:t>extract, hematological, immunological          and          productive          parameters          sheep,         goats.</w:t>
      </w:r>
    </w:p>
    <w:p>
      <w:pPr>
        <w:spacing w:after="0" w:line="364" w:lineRule="auto"/>
        <w:jc w:val="both"/>
        <w:sectPr>
          <w:pgSz w:w="11900" w:h="16840"/>
          <w:pgMar w:header="0" w:footer="1679" w:top="1600" w:bottom="1860" w:left="1540" w:right="1520"/>
        </w:sectPr>
      </w:pPr>
    </w:p>
    <w:p>
      <w:pPr>
        <w:pStyle w:val="BodyText"/>
        <w:rPr>
          <w:sz w:val="20"/>
        </w:rPr>
      </w:pPr>
    </w:p>
    <w:p>
      <w:pPr>
        <w:pStyle w:val="BodyText"/>
        <w:rPr>
          <w:sz w:val="20"/>
        </w:rPr>
      </w:pPr>
    </w:p>
    <w:p>
      <w:pPr>
        <w:pStyle w:val="BodyText"/>
        <w:rPr>
          <w:sz w:val="20"/>
        </w:rPr>
      </w:pPr>
    </w:p>
    <w:p>
      <w:pPr>
        <w:pStyle w:val="BodyText"/>
        <w:spacing w:before="2"/>
        <w:rPr>
          <w:sz w:val="17"/>
        </w:rPr>
      </w:pPr>
    </w:p>
    <w:p>
      <w:pPr>
        <w:pStyle w:val="Heading1"/>
        <w:spacing w:before="73"/>
        <w:ind w:left="3316" w:right="3322"/>
        <w:jc w:val="center"/>
      </w:pPr>
      <w:bookmarkStart w:name="_TOC_250037" w:id="3"/>
      <w:bookmarkEnd w:id="3"/>
      <w:r>
        <w:rPr/>
        <w:t>I.- INTRODUCCIÓN</w:t>
      </w:r>
    </w:p>
    <w:p>
      <w:pPr>
        <w:pStyle w:val="BodyText"/>
        <w:rPr>
          <w:b/>
          <w:sz w:val="22"/>
        </w:rPr>
      </w:pPr>
    </w:p>
    <w:p>
      <w:pPr>
        <w:pStyle w:val="BodyText"/>
        <w:spacing w:before="11"/>
        <w:rPr>
          <w:b/>
          <w:sz w:val="25"/>
        </w:rPr>
      </w:pPr>
    </w:p>
    <w:p>
      <w:pPr>
        <w:pStyle w:val="BodyText"/>
        <w:spacing w:line="364" w:lineRule="auto"/>
        <w:ind w:left="116" w:right="117"/>
        <w:jc w:val="both"/>
      </w:pPr>
      <w:r>
        <w:rPr/>
        <w:t>A nivel mundial los costos por alimentación en la producción pecuaria suponen   más del 50% de los costos totales, por lo que constantemente se están buscando alternativas alimenticias que permitan obtener una óptima respuesta productiva a menor costo. En esta búsqueda se ha acudido al uso de pre y probióticos, ionóforos, enzimas, e incluso arbustivas y arbóreas forrajeras (Salem et al., 2006, 2010; Chung et al., 2012), en algunos estudios se han observado  que  estas  plantas forrajeras tienen efectos positivos no solo en parámetros productivos sino también en parámetros reproductivos y sanitarios (Waterman et al., 1980; Owusu- Asiedu et al., 2010; Nayak,</w:t>
      </w:r>
      <w:r>
        <w:rPr>
          <w:spacing w:val="36"/>
        </w:rPr>
        <w:t> </w:t>
      </w:r>
      <w:r>
        <w:rPr/>
        <w:t>2010).</w:t>
      </w:r>
    </w:p>
    <w:p>
      <w:pPr>
        <w:pStyle w:val="BodyText"/>
        <w:rPr>
          <w:sz w:val="22"/>
        </w:rPr>
      </w:pPr>
    </w:p>
    <w:p>
      <w:pPr>
        <w:pStyle w:val="BodyText"/>
        <w:spacing w:line="364" w:lineRule="auto" w:before="153"/>
        <w:ind w:left="116" w:right="118"/>
        <w:jc w:val="both"/>
      </w:pPr>
      <w:r>
        <w:rPr/>
        <w:t>Las arbóreas y arbustivas forrajeras pueden producir efectospositivos y negativos en la producción pecuaria, ya que además de ser fuentes de proteína, energía y fibra también son fuentes de metabolitos secundarios producidos por la propia planta como defensa frente a los depredadores y a algunos patógenos (Barahona  et al., 1997; Provenza et al.,</w:t>
      </w:r>
      <w:r>
        <w:rPr>
          <w:spacing w:val="36"/>
        </w:rPr>
        <w:t> </w:t>
      </w:r>
      <w:r>
        <w:rPr/>
        <w:t>2000).</w:t>
      </w:r>
    </w:p>
    <w:p>
      <w:pPr>
        <w:pStyle w:val="BodyText"/>
        <w:rPr>
          <w:sz w:val="22"/>
        </w:rPr>
      </w:pPr>
    </w:p>
    <w:p>
      <w:pPr>
        <w:pStyle w:val="BodyText"/>
        <w:spacing w:line="364" w:lineRule="auto" w:before="155"/>
        <w:ind w:left="116" w:right="117"/>
        <w:jc w:val="both"/>
      </w:pPr>
      <w:r>
        <w:rPr/>
        <w:t>Los metabolitos secundarios pueden mejorar algunos parámetros productivos en rumiantes, además de ejercer un efecto antiparasitario (taninos y saponinas), anticancerígeno antioxidante e inmunoestimulante (compuestos fenólicos, saponinas alcaloides y terpenos). La presencia o ausencia de estos efectos dependerá del tipo de compuesto secundario y la cantidad y la frecuencia con la que se consuman ya que al sobrepasar las dosis optimas pueden causar alteraciones a nivel sanguíneo por su acción hemolítica (saponinas), daño renal, hepático y neurológico e incluso causar la muerte (Waterman et al., 1980; Reed, 1995; Athanasiadou and Kyriazakis,</w:t>
      </w:r>
      <w:r>
        <w:rPr>
          <w:spacing w:val="49"/>
        </w:rPr>
        <w:t> </w:t>
      </w:r>
      <w:r>
        <w:rPr/>
        <w:t>2004).</w:t>
      </w:r>
    </w:p>
    <w:p>
      <w:pPr>
        <w:pStyle w:val="BodyText"/>
        <w:rPr>
          <w:sz w:val="22"/>
        </w:rPr>
      </w:pPr>
    </w:p>
    <w:p>
      <w:pPr>
        <w:pStyle w:val="BodyText"/>
        <w:spacing w:line="364" w:lineRule="auto" w:before="155"/>
        <w:ind w:left="116" w:right="121"/>
        <w:jc w:val="both"/>
      </w:pPr>
      <w:r>
        <w:rPr/>
        <w:t>Las enzimas son catalizadores orgánicos que permiten optimizar el uso de los nutrientes presentes  en la dieta  ya que desdoblan los sustratos  y los hacen    más</w:t>
      </w:r>
    </w:p>
    <w:p>
      <w:pPr>
        <w:spacing w:after="0" w:line="364" w:lineRule="auto"/>
        <w:jc w:val="both"/>
        <w:sectPr>
          <w:footerReference w:type="default" r:id="rId11"/>
          <w:pgSz w:w="11900" w:h="16840"/>
          <w:pgMar w:footer="1679" w:header="0" w:top="1600" w:bottom="1860" w:left="1540" w:right="1520"/>
          <w:pgNumType w:start="1"/>
        </w:sectPr>
      </w:pPr>
    </w:p>
    <w:p>
      <w:pPr>
        <w:pStyle w:val="BodyText"/>
        <w:rPr>
          <w:sz w:val="20"/>
        </w:rPr>
      </w:pPr>
    </w:p>
    <w:p>
      <w:pPr>
        <w:pStyle w:val="BodyText"/>
        <w:spacing w:before="10"/>
        <w:rPr>
          <w:sz w:val="16"/>
        </w:rPr>
      </w:pPr>
    </w:p>
    <w:p>
      <w:pPr>
        <w:pStyle w:val="BodyText"/>
        <w:spacing w:line="364" w:lineRule="auto" w:before="74"/>
        <w:ind w:left="115" w:right="118"/>
        <w:jc w:val="both"/>
      </w:pPr>
      <w:r>
        <w:rPr/>
        <w:t>disponibles para el proceso digestivo, estas se usan principalmente en aves y cerdos; sin embargo, su uso en rumiantes es cada vez es más frecuente sobre   todo de las enzimas  exógenas fibrolíticas por su tipo  de alimentación  (Bedford  and Partridge,</w:t>
      </w:r>
      <w:r>
        <w:rPr>
          <w:spacing w:val="24"/>
        </w:rPr>
        <w:t> </w:t>
      </w:r>
      <w:r>
        <w:rPr/>
        <w:t>2010).</w:t>
      </w:r>
    </w:p>
    <w:p>
      <w:pPr>
        <w:pStyle w:val="BodyText"/>
        <w:rPr>
          <w:sz w:val="22"/>
        </w:rPr>
      </w:pPr>
    </w:p>
    <w:p>
      <w:pPr>
        <w:pStyle w:val="BodyText"/>
        <w:spacing w:line="364" w:lineRule="auto" w:before="155"/>
        <w:ind w:left="115" w:right="117"/>
        <w:jc w:val="both"/>
      </w:pPr>
      <w:r>
        <w:rPr/>
        <w:t>Las ventajas  principales del uso de  enzimas exógenas fibrolíticas en la nutrición  de rumiantes son favorecer la digestión de la fibra (polisacáridos no amiláceos),lo que permite reducir el uso de granos debido al mayor aporte de  energía  que realizan los sustratos fibrosos, mejoran el valor energético de los cereales lo que supone un ahorro económico, reduce la excreción y las pedidas de ciertos compuestos como el fosforo y el nitrógeno, y su liberación al medio ambiente, previenen alteraciones digestivas y diarreas. Lo anterior resulta en una mejoraen parámetros productivos, reproductivos, sanitarios e inmunológicos dado el mejor aprovechamiento de nutrientes en cantidad y calidad, ya que el animal tiene a su disposición todos los sustratos que requiere para cumplir con estas funciones, bajo el entendido de que un animal bien alimentado es un animal inmunocompetente y por lo tanto productivo (Keith and Jeejeebhoy, 1997; Bedford and Partridge, </w:t>
      </w:r>
      <w:r>
        <w:rPr>
          <w:spacing w:val="28"/>
        </w:rPr>
        <w:t> </w:t>
      </w:r>
      <w:r>
        <w:rPr/>
        <w:t>2010).</w:t>
      </w:r>
    </w:p>
    <w:p>
      <w:pPr>
        <w:pStyle w:val="BodyText"/>
        <w:rPr>
          <w:sz w:val="22"/>
        </w:rPr>
      </w:pPr>
    </w:p>
    <w:p>
      <w:pPr>
        <w:pStyle w:val="BodyText"/>
        <w:spacing w:line="364" w:lineRule="auto" w:before="155"/>
        <w:ind w:left="115" w:right="117"/>
        <w:jc w:val="both"/>
      </w:pPr>
      <w:r>
        <w:rPr/>
        <w:t>Los efectos del uso de enzimas exógenas fibrolíticas (ZADO® y xilanasa </w:t>
      </w:r>
      <w:r>
        <w:rPr>
          <w:color w:val="212121"/>
        </w:rPr>
        <w:t>Dyadic International Inc Jupiter, FL) </w:t>
      </w:r>
      <w:r>
        <w:rPr/>
        <w:t>(Salem et al., 2011a; Arriola et al., 2011; Salem et al., 2013 ) así como de los compuestos secundarios presentes en el extracto de </w:t>
      </w:r>
      <w:r>
        <w:rPr>
          <w:i/>
        </w:rPr>
        <w:t>Salix </w:t>
      </w:r>
      <w:r>
        <w:rPr>
          <w:i/>
        </w:rPr>
        <w:t>babylonica </w:t>
      </w:r>
      <w:r>
        <w:rPr/>
        <w:t>(Salem et al., 2011b) sobre respuesta productiva en rumiantes ya han sido documentados; sin embargo los efectos que estos aditivos  alimenticios  puedan ejercer sobre ciertos parámetros hematológicos indicadores del estado de salud de los animales no han sido evaluados siendo que existen  evidencias  de  que ambos pueden producir efectos positivos como negativos sobre dichos parámetros (Chandra, 1997; Turner et al., 2005; Mahgoub et al., 2008a; Ramirez- Restrepo et al., 2010; Velizadeh et al.,2010; Vasta and Luciano, 2011). Además de ejercer una acción inmunomoduladora que puede ser directa o indirecta (Keith and Jeejeebhoy, 1997; Provenza and Villalba,</w:t>
      </w:r>
      <w:r>
        <w:rPr>
          <w:spacing w:val="55"/>
        </w:rPr>
        <w:t> </w:t>
      </w:r>
      <w:r>
        <w:rPr/>
        <w:t>2010).</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Heading1"/>
        <w:spacing w:before="74"/>
        <w:ind w:left="2755" w:right="224"/>
        <w:jc w:val="left"/>
      </w:pPr>
      <w:bookmarkStart w:name="_TOC_250036" w:id="4"/>
      <w:bookmarkEnd w:id="4"/>
      <w:r>
        <w:rPr/>
        <w:t>II. REVISIÓN DE LITERATURA</w:t>
      </w:r>
    </w:p>
    <w:p>
      <w:pPr>
        <w:pStyle w:val="BodyText"/>
        <w:rPr>
          <w:b/>
          <w:sz w:val="22"/>
        </w:rPr>
      </w:pPr>
    </w:p>
    <w:p>
      <w:pPr>
        <w:pStyle w:val="BodyText"/>
        <w:spacing w:line="364" w:lineRule="auto" w:before="197"/>
        <w:ind w:left="115" w:right="116"/>
        <w:jc w:val="both"/>
      </w:pPr>
      <w:r>
        <w:rPr/>
        <w:t>El uso del follaje de arbustos y árboles en la alimentación de los rumiantes es una alternativa para el desarrollo de una producción animal sostenible; sin embargo,    en ocasiones el follaje contienemetabolitos secundarios con actividad anti- nutricional, que actúan como mecanismos de defensa contra microorganismos, insectos y depredadores principalmente taninos (Camacho et al., 2010a). No obstante, algunos de ellos pueden ser benéficos para los </w:t>
      </w:r>
      <w:r>
        <w:rPr>
          <w:spacing w:val="8"/>
        </w:rPr>
        <w:t> </w:t>
      </w:r>
      <w:r>
        <w:rPr/>
        <w:t>animales.</w:t>
      </w:r>
    </w:p>
    <w:p>
      <w:pPr>
        <w:pStyle w:val="BodyText"/>
        <w:rPr>
          <w:sz w:val="22"/>
        </w:rPr>
      </w:pPr>
    </w:p>
    <w:p>
      <w:pPr>
        <w:pStyle w:val="BodyText"/>
        <w:spacing w:before="3"/>
        <w:rPr>
          <w:sz w:val="18"/>
        </w:rPr>
      </w:pPr>
    </w:p>
    <w:p>
      <w:pPr>
        <w:pStyle w:val="Heading1"/>
        <w:numPr>
          <w:ilvl w:val="1"/>
          <w:numId w:val="8"/>
        </w:numPr>
        <w:tabs>
          <w:tab w:pos="575" w:val="left" w:leader="none"/>
        </w:tabs>
        <w:spacing w:line="240" w:lineRule="auto" w:before="0" w:after="0"/>
        <w:ind w:left="116" w:right="0" w:firstLine="0"/>
        <w:jc w:val="both"/>
      </w:pPr>
      <w:bookmarkStart w:name="_TOC_250035" w:id="5"/>
      <w:r>
        <w:rPr/>
        <w:t>Arbóreas</w:t>
      </w:r>
      <w:r>
        <w:rPr>
          <w:spacing w:val="21"/>
        </w:rPr>
        <w:t> </w:t>
      </w:r>
      <w:bookmarkEnd w:id="5"/>
      <w:r>
        <w:rPr/>
        <w:t>forrajeras</w:t>
      </w:r>
    </w:p>
    <w:p>
      <w:pPr>
        <w:pStyle w:val="BodyText"/>
        <w:rPr>
          <w:b/>
          <w:sz w:val="22"/>
        </w:rPr>
      </w:pPr>
    </w:p>
    <w:p>
      <w:pPr>
        <w:pStyle w:val="BodyText"/>
        <w:spacing w:before="6"/>
        <w:rPr>
          <w:b/>
          <w:sz w:val="25"/>
        </w:rPr>
      </w:pPr>
    </w:p>
    <w:p>
      <w:pPr>
        <w:pStyle w:val="BodyText"/>
        <w:spacing w:line="364" w:lineRule="auto"/>
        <w:ind w:left="115" w:right="119"/>
        <w:jc w:val="both"/>
      </w:pPr>
      <w:r>
        <w:rPr/>
        <w:t>Un gran número de árboles  son forrajeros y ramoneables, por lo que constituyen  un recurso alimenticio importante para los rumiantes debido a su alto contenido de proteína cruda y minerales (calcio y fosforo), además de que son un complemento en la temporada de secas y mejoran la cantidad y la calidad de los pastos  (Camacho et al.,</w:t>
      </w:r>
      <w:r>
        <w:rPr>
          <w:spacing w:val="29"/>
        </w:rPr>
        <w:t> </w:t>
      </w:r>
      <w:r>
        <w:rPr/>
        <w:t>2010b).</w:t>
      </w:r>
    </w:p>
    <w:p>
      <w:pPr>
        <w:pStyle w:val="BodyText"/>
        <w:rPr>
          <w:sz w:val="22"/>
        </w:rPr>
      </w:pPr>
    </w:p>
    <w:p>
      <w:pPr>
        <w:pStyle w:val="BodyText"/>
        <w:spacing w:line="364" w:lineRule="auto" w:before="155"/>
        <w:ind w:left="115" w:right="116"/>
        <w:jc w:val="both"/>
      </w:pPr>
      <w:r>
        <w:rPr/>
        <w:t>Hasta hace poco, los árboles como recurso alimenticio habían sido ignorados por científicos debido al conocimiento inadecuado de su uso potencial y a la carencia  de iniciativa para desarrollar sistemas alimenticios más innovadores actualmente  los sistemas de producción agropecuarios han retomado como objetivo alcanzar una comunidad estable, con varios estratos de plantas productoras de follaje y/o frutos con valor nutritivo complementario a los monocultivos (Olivares Pérez et al., 2005).</w:t>
      </w:r>
    </w:p>
    <w:p>
      <w:pPr>
        <w:pStyle w:val="BodyText"/>
        <w:rPr>
          <w:sz w:val="22"/>
        </w:rPr>
      </w:pPr>
    </w:p>
    <w:p>
      <w:pPr>
        <w:pStyle w:val="BodyText"/>
        <w:spacing w:line="364" w:lineRule="auto" w:before="155"/>
        <w:ind w:left="115" w:right="117"/>
        <w:jc w:val="both"/>
      </w:pPr>
      <w:r>
        <w:rPr/>
        <w:t>Los requisitos para que un árbol sea clasificado como forrajero son: 1) Que su consumo por los animales sea adecuado como para esperar cambios en los parámetros de respuesta; 2) Que el contenido de nutrientes, sea atractivo para la producción animal; 3) Que sea tolerante a la poda 4) Que el rebrote sea lo suficientemente vigoroso, para obtener niveles significativos de producción de biomasa  comestible,  por  unidad  de  área;  y  5)  Que  los  niveles  de</w:t>
      </w:r>
      <w:r>
        <w:rPr>
          <w:spacing w:val="61"/>
        </w:rPr>
        <w:t> </w:t>
      </w:r>
      <w:r>
        <w:rPr/>
        <w:t>metabolitos</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18"/>
        <w:jc w:val="both"/>
      </w:pPr>
      <w:r>
        <w:rPr/>
        <w:t>secundarios no afecten el consumo, parámetros productivos y la salud del animal (Sosa et al., 2004).</w:t>
      </w:r>
    </w:p>
    <w:p>
      <w:pPr>
        <w:pStyle w:val="BodyText"/>
        <w:rPr>
          <w:sz w:val="22"/>
        </w:rPr>
      </w:pPr>
    </w:p>
    <w:p>
      <w:pPr>
        <w:pStyle w:val="BodyText"/>
        <w:spacing w:line="364" w:lineRule="auto" w:before="155"/>
        <w:ind w:left="115" w:right="117"/>
        <w:jc w:val="both"/>
      </w:pPr>
      <w:r>
        <w:rPr/>
        <w:t>Existen muchas especies con potencial forrajero, entre las que se destacan las integrantes de la familia Leguminosae por su excelente producción de biomasa en  el periodo seco, los altos contenidos de proteína y su naturaleza multipropósito (Camacho et al., 2010b). Asimismo, en América Continental  y el  Caribe,  algunas de las leguminosas forrajeras de mayor importancia lo constituyen las especies pertenecientes a los géneros Albizia, Cassia, Pithecellobium, Leucaena, Lysiloma    y Enterolobium, las cuales son excelentes fuentes de fibra, energía proteína y algunos minerales (Aregheore and Perera, 2004: Aregheore et al., </w:t>
      </w:r>
      <w:r>
        <w:rPr>
          <w:spacing w:val="16"/>
        </w:rPr>
        <w:t> </w:t>
      </w:r>
      <w:r>
        <w:rPr/>
        <w:t>2006).</w:t>
      </w:r>
    </w:p>
    <w:p>
      <w:pPr>
        <w:pStyle w:val="BodyText"/>
        <w:rPr>
          <w:sz w:val="22"/>
        </w:rPr>
      </w:pPr>
    </w:p>
    <w:p>
      <w:pPr>
        <w:pStyle w:val="BodyText"/>
        <w:spacing w:line="364" w:lineRule="auto" w:before="155"/>
        <w:ind w:left="115" w:right="117"/>
        <w:jc w:val="both"/>
      </w:pPr>
      <w:r>
        <w:rPr/>
        <w:t>El valor nutritivo de arbóreas y arbustivas varía en los diferentes componentes de  la biomasa arbórea. Las hojas presentan mayores concentraciones de nutrientes que las ramas y los tallos, la variación también se ha relacionado con la edad y   con la posición en el árbol, siendo las  hojas jóvenes más  ricas en proteínas que  las viejas y estas presentan porcentajes de digestibilidad bajos, debido a las concentraciones mayores de lignina y posiblemente de factores anti-nutricionales como los taninos (Carmona Agudelo,</w:t>
      </w:r>
      <w:r>
        <w:rPr>
          <w:spacing w:val="49"/>
        </w:rPr>
        <w:t> </w:t>
      </w:r>
      <w:r>
        <w:rPr/>
        <w:t>2007).</w:t>
      </w:r>
    </w:p>
    <w:p>
      <w:pPr>
        <w:pStyle w:val="BodyText"/>
        <w:rPr>
          <w:sz w:val="22"/>
        </w:rPr>
      </w:pPr>
    </w:p>
    <w:p>
      <w:pPr>
        <w:pStyle w:val="BodyText"/>
        <w:spacing w:line="364" w:lineRule="auto" w:before="155"/>
        <w:ind w:left="115" w:right="117"/>
        <w:jc w:val="both"/>
      </w:pPr>
      <w:r>
        <w:rPr/>
        <w:t>Debido a las perspectivas y bondades de estas plantas para la ganadería, se  precisa conocer las particularidades esenciales de su composición fitoquímica, el valor nutritivo y su repercusión en la aceptabilidad,  por parte de los rumiantes,   para poder establecer las principales ventajas y limitaciones en el uso de cada planta (García and Medina,</w:t>
      </w:r>
      <w:r>
        <w:rPr>
          <w:spacing w:val="36"/>
        </w:rPr>
        <w:t> </w:t>
      </w:r>
      <w:r>
        <w:rPr/>
        <w:t>2006).</w:t>
      </w:r>
    </w:p>
    <w:p>
      <w:pPr>
        <w:pStyle w:val="BodyText"/>
        <w:rPr>
          <w:sz w:val="22"/>
        </w:rPr>
      </w:pPr>
    </w:p>
    <w:p>
      <w:pPr>
        <w:pStyle w:val="BodyText"/>
        <w:spacing w:before="8"/>
        <w:rPr>
          <w:sz w:val="18"/>
        </w:rPr>
      </w:pPr>
    </w:p>
    <w:p>
      <w:pPr>
        <w:pStyle w:val="Heading1"/>
        <w:numPr>
          <w:ilvl w:val="1"/>
          <w:numId w:val="8"/>
        </w:numPr>
        <w:tabs>
          <w:tab w:pos="570" w:val="left" w:leader="none"/>
        </w:tabs>
        <w:spacing w:line="240" w:lineRule="auto" w:before="0" w:after="0"/>
        <w:ind w:left="569" w:right="0" w:hanging="453"/>
        <w:jc w:val="both"/>
      </w:pPr>
      <w:bookmarkStart w:name="_TOC_250034" w:id="6"/>
      <w:r>
        <w:rPr/>
        <w:t>Metabolitos</w:t>
      </w:r>
      <w:r>
        <w:rPr>
          <w:spacing w:val="28"/>
        </w:rPr>
        <w:t> </w:t>
      </w:r>
      <w:bookmarkEnd w:id="6"/>
      <w:r>
        <w:rPr/>
        <w:t>secundarios</w:t>
      </w:r>
    </w:p>
    <w:p>
      <w:pPr>
        <w:pStyle w:val="BodyText"/>
        <w:rPr>
          <w:b/>
          <w:sz w:val="22"/>
        </w:rPr>
      </w:pPr>
    </w:p>
    <w:p>
      <w:pPr>
        <w:pStyle w:val="BodyText"/>
        <w:spacing w:line="364" w:lineRule="auto" w:before="195"/>
        <w:ind w:left="115" w:right="119"/>
        <w:jc w:val="both"/>
      </w:pPr>
      <w:r>
        <w:rPr/>
        <w:t>A raíz del déficit alimentario y la crisis económica mundial, los países latinoamericanos han tenido que incursionar en otras estrategias de alimentación para    incrementar    la    producción    animal    en    las    condiciones   </w:t>
      </w:r>
      <w:r>
        <w:rPr>
          <w:spacing w:val="54"/>
        </w:rPr>
        <w:t> </w:t>
      </w:r>
      <w:r>
        <w:rPr/>
        <w:t>tropicales;</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17"/>
        <w:jc w:val="both"/>
      </w:pPr>
      <w:r>
        <w:rPr/>
        <w:t>específicamente ofertándole al ganado una mayor cantidad  de  proteína  y minerales que, en sentido general, se encuentran de forma deficitaria en  los  pastos. En este sentido, el follaje de los  árboles ha tenido un papel  protagónico  por sus considerables niveles de proteína (bancos de proteína) y aceptable valor nutritivo (Aregheore and Perera, 2004; García and Medina, 2006; García et al., 2008).</w:t>
      </w:r>
    </w:p>
    <w:p>
      <w:pPr>
        <w:pStyle w:val="BodyText"/>
        <w:rPr>
          <w:sz w:val="22"/>
        </w:rPr>
      </w:pPr>
    </w:p>
    <w:p>
      <w:pPr>
        <w:pStyle w:val="BodyText"/>
        <w:spacing w:line="364" w:lineRule="auto" w:before="155"/>
        <w:ind w:left="115" w:right="118"/>
        <w:jc w:val="both"/>
      </w:pPr>
      <w:r>
        <w:rPr/>
        <w:t>Sin embargo, la gran mayoría de especies vegetales presentan metabolitos secundarios, como taninos, saponinas, compuestos fenólicos y alcaloides, que pueden tener un efecto negativo sobre el valor nutricional de estos forrajes (Salem et al., 2010). Estas sustancias son elaboradas por la planta y cumplen funciones como la defensa contra herbívoros, hongos, bacterias y virus, la protección contra  la radiación ultravioleta, sirven además como mecanismo para evitar la deshidratación de sus tejidos y protegen a la planta de factores bióticos y abióticos que le puedan producir stress (Zhao et al., 2005; Salem et  al., 2006; Augustin et  al., 2011). La presencia de estos componentes confiere a las plantas un sabor desagradable, que en muchos casos genera baja  aceptabilidad  (disminuye consumo voluntario) para su consumo por parte de los animales herbívoros y hace que se disminuya la presión de pastoreo (Salem et al., 2006, Varón and Granados, 2010).</w:t>
      </w:r>
    </w:p>
    <w:p>
      <w:pPr>
        <w:pStyle w:val="BodyText"/>
        <w:rPr>
          <w:sz w:val="22"/>
        </w:rPr>
      </w:pPr>
    </w:p>
    <w:p>
      <w:pPr>
        <w:pStyle w:val="BodyText"/>
        <w:spacing w:line="364" w:lineRule="auto" w:before="155"/>
        <w:ind w:left="115" w:right="117"/>
        <w:jc w:val="both"/>
      </w:pPr>
      <w:r>
        <w:rPr/>
        <w:t>El término de metabolitos secundarios engloba sustancias químicamente muy diversas y se establece como contraposición a los productos del metabolismo primario, que aparecen en el citoplasma de todas las células vegetales y cuyas diferencias entre plantas son únicamente de índole cuantitativo (Augustin et al., 2011).En este sentido, se ha propuesto denominar a los metabolitos secundarios sustancias ecológicamente eficaces, frente a los compuestos primarios que serían sustancias fisiológicamente eficaces.</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19"/>
        <w:jc w:val="both"/>
      </w:pPr>
      <w:r>
        <w:rPr/>
        <w:t>Hasta 2007 se habían reportado cerca de 8000 polifenoles, 270 aminoácidos no proteicos, 32 cianógenos, 10,000 alcaloides y varias saponinas y esteroides (Carmona Agudelo, 2007).</w:t>
      </w:r>
    </w:p>
    <w:p>
      <w:pPr>
        <w:pStyle w:val="BodyText"/>
        <w:rPr>
          <w:sz w:val="22"/>
        </w:rPr>
      </w:pPr>
    </w:p>
    <w:p>
      <w:pPr>
        <w:pStyle w:val="BodyText"/>
        <w:spacing w:line="364" w:lineRule="auto" w:before="153"/>
        <w:ind w:left="115" w:right="119"/>
        <w:jc w:val="both"/>
      </w:pPr>
      <w:r>
        <w:rPr/>
        <w:t>Los metabolitos secundarios han sido durante mucho tiempo ignorados en los trabajos de nutrición. No obstante, su carácter claramente ventajoso para la planta  y, en muchos casos, en obvio detrimento de los herbívoros, ha conducido a que actualmente se valore su incidencia en la  producción  agroganadera,  especialmente en aquellos sistemas basados en el aprovechamiento de pastos (Ramos et al.,</w:t>
      </w:r>
      <w:r>
        <w:rPr>
          <w:spacing w:val="22"/>
        </w:rPr>
        <w:t> </w:t>
      </w:r>
      <w:r>
        <w:rPr/>
        <w:t>1998).</w:t>
      </w:r>
    </w:p>
    <w:p>
      <w:pPr>
        <w:pStyle w:val="BodyText"/>
        <w:rPr>
          <w:sz w:val="22"/>
        </w:rPr>
      </w:pPr>
    </w:p>
    <w:p>
      <w:pPr>
        <w:pStyle w:val="BodyText"/>
        <w:spacing w:line="364" w:lineRule="auto" w:before="155"/>
        <w:ind w:left="115" w:right="117"/>
        <w:jc w:val="both"/>
      </w:pPr>
      <w:r>
        <w:rPr/>
        <w:t>En las plantas existe una enorme diversidad bioquímica de metabolitos  secundarios, fruto, tal vez, de su imposibilidad de huida frente a las agresiones (Cheeke, 1994). Ahora bien, debido al elevado costo energético que implica su síntesis, las plantas encauzan su metabolismo hacia un tipo u otro de compuesto secundario dependiendo de los recursos disponibles (Bryant et al., 1992). Frente a condiciones severas, como las que se dan en climas áridos, las plantas tienden a aumentar sus defensas, sobre todo de tipo cualitativo (alcaloides, glicósidos cianogenéticos, etc.), ya que, en estos casos, les resulta mucho más difícil regenerar los tejidos dañados por los herbívoros (Johnson et al., 1985; Lundberg and Palo, 1993). Esto resulta en una intoxicación más fácil del animal en estas condiciones, siendo de especial incidencia en el ganado doméstico cuando su manejo en pastoreo no es el más adecuado, o cuando se enfrenta a la escasez de otros recursos vegetales (James et al.,</w:t>
      </w:r>
      <w:r>
        <w:rPr>
          <w:spacing w:val="54"/>
        </w:rPr>
        <w:t> </w:t>
      </w:r>
      <w:r>
        <w:rPr/>
        <w:t>1992).</w:t>
      </w:r>
    </w:p>
    <w:p>
      <w:pPr>
        <w:pStyle w:val="BodyText"/>
        <w:rPr>
          <w:sz w:val="22"/>
        </w:rPr>
      </w:pPr>
    </w:p>
    <w:p>
      <w:pPr>
        <w:pStyle w:val="BodyText"/>
        <w:spacing w:before="3"/>
        <w:rPr>
          <w:sz w:val="18"/>
        </w:rPr>
      </w:pPr>
    </w:p>
    <w:p>
      <w:pPr>
        <w:pStyle w:val="Heading1"/>
        <w:numPr>
          <w:ilvl w:val="1"/>
          <w:numId w:val="8"/>
        </w:numPr>
        <w:tabs>
          <w:tab w:pos="575" w:val="left" w:leader="none"/>
        </w:tabs>
        <w:spacing w:line="240" w:lineRule="auto" w:before="0" w:after="0"/>
        <w:ind w:left="574" w:right="0" w:hanging="458"/>
        <w:jc w:val="both"/>
      </w:pPr>
      <w:bookmarkStart w:name="_TOC_250033" w:id="7"/>
      <w:r>
        <w:rPr/>
        <w:t>Adaptación a los metabolitos secundarios en </w:t>
      </w:r>
      <w:r>
        <w:rPr>
          <w:spacing w:val="3"/>
        </w:rPr>
        <w:t> </w:t>
      </w:r>
      <w:bookmarkEnd w:id="7"/>
      <w:r>
        <w:rPr/>
        <w:t>rumiantes</w:t>
      </w:r>
    </w:p>
    <w:p>
      <w:pPr>
        <w:pStyle w:val="BodyText"/>
        <w:rPr>
          <w:b/>
          <w:sz w:val="22"/>
        </w:rPr>
      </w:pPr>
    </w:p>
    <w:p>
      <w:pPr>
        <w:pStyle w:val="BodyText"/>
        <w:spacing w:before="4"/>
        <w:rPr>
          <w:b/>
          <w:sz w:val="17"/>
        </w:rPr>
      </w:pPr>
    </w:p>
    <w:p>
      <w:pPr>
        <w:pStyle w:val="BodyText"/>
        <w:spacing w:line="364" w:lineRule="auto"/>
        <w:ind w:left="115" w:right="120"/>
        <w:jc w:val="both"/>
      </w:pPr>
      <w:r>
        <w:rPr/>
        <w:t>Los herbívoros han desarrollado algunas adaptaciones  fisiológicas  y  etológicas que les ha permitido reducir el efecto nocivo de las metabolitos secundarios (Provenza et al., 1990).</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19"/>
        <w:jc w:val="both"/>
      </w:pPr>
      <w:r>
        <w:rPr/>
        <w:t>A modo de ejemplo, numerosas especies basan su alimentación en plantas con un elevado contenido en taninos: arbustos, árboles, etc., y prácticamente en todas ellas, se ha observado en la saliva la presencia de proteínas ricas  en  el  aminoácido prolina que tiene gran afinidad con los taninos con los que forma un complejo soluble (Robbins et al.,</w:t>
      </w:r>
      <w:r>
        <w:rPr>
          <w:spacing w:val="39"/>
        </w:rPr>
        <w:t> </w:t>
      </w:r>
      <w:r>
        <w:rPr/>
        <w:t>1987).</w:t>
      </w:r>
    </w:p>
    <w:p>
      <w:pPr>
        <w:pStyle w:val="BodyText"/>
        <w:rPr>
          <w:sz w:val="22"/>
        </w:rPr>
      </w:pPr>
    </w:p>
    <w:p>
      <w:pPr>
        <w:pStyle w:val="BodyText"/>
        <w:spacing w:line="364" w:lineRule="auto" w:before="155"/>
        <w:ind w:left="115" w:right="117"/>
        <w:jc w:val="both"/>
      </w:pPr>
      <w:r>
        <w:rPr/>
        <w:t>Hasta hace algunos años se pensaba que los animales que consumían  plantas  con altos contenidos de taninos sufrían un proceso de adaptación a nivel de glándulas parótidas que consistía en secretar saliva con altos  contenidos  de  prolina que protegía a los animales de los efectos negativos de los taninos en el proceso digestivo; sin embargo, Robbins et al.(1987) y Ammar et al.(2011) realizaron estudios para determinar si la ingestión de plantas con mayores contenidos de taninos (quebracho) en ovejas, puede causar cambios en la saliva secretada, que mejore la digestión </w:t>
      </w:r>
      <w:r>
        <w:rPr>
          <w:i/>
        </w:rPr>
        <w:t>in vitro </w:t>
      </w:r>
      <w:r>
        <w:rPr/>
        <w:t>de arbustos ricos en taninos, en el cual se demostró que la saliva de animales alimentados con plantas taniniferas no producen más proteínas de las que se producen normalmente por lo que no protegen a los animales de los efectos negativos de los taninos durante el proceso de digestión (Ammar et al.,</w:t>
      </w:r>
      <w:r>
        <w:rPr>
          <w:spacing w:val="39"/>
        </w:rPr>
        <w:t> </w:t>
      </w:r>
      <w:r>
        <w:rPr/>
        <w:t>2011).</w:t>
      </w:r>
    </w:p>
    <w:p>
      <w:pPr>
        <w:pStyle w:val="BodyText"/>
        <w:rPr>
          <w:sz w:val="22"/>
        </w:rPr>
      </w:pPr>
    </w:p>
    <w:p>
      <w:pPr>
        <w:pStyle w:val="BodyText"/>
        <w:spacing w:line="364" w:lineRule="auto" w:before="153"/>
        <w:ind w:left="115" w:right="119"/>
        <w:jc w:val="both"/>
      </w:pPr>
      <w:r>
        <w:rPr/>
        <w:t>Es probable que el mecanismo primario por el que los rumiantes pueden tolerar  altos contenidos de taninos en la ración sea mediante la adaptación de los microorganismos ruminales y su capacidad de detoxificar estos  compuestos  siendo, por ello, los rumiantes menos susceptibles que el resto de herbívoros a los efectos perjudiciales de los taninos (más las cabras que los borregos y las vacas) aunque la detoxificación puede tener lugar en el intestino delgado, riñón e hígado (Ramos et al.,</w:t>
      </w:r>
      <w:r>
        <w:rPr>
          <w:spacing w:val="22"/>
        </w:rPr>
        <w:t> </w:t>
      </w:r>
      <w:r>
        <w:rPr/>
        <w:t>1998).</w:t>
      </w:r>
    </w:p>
    <w:p>
      <w:pPr>
        <w:pStyle w:val="BodyText"/>
        <w:rPr>
          <w:sz w:val="22"/>
        </w:rPr>
      </w:pPr>
    </w:p>
    <w:p>
      <w:pPr>
        <w:pStyle w:val="BodyText"/>
        <w:spacing w:line="364" w:lineRule="auto" w:before="155"/>
        <w:ind w:left="115" w:right="119"/>
        <w:jc w:val="both"/>
      </w:pPr>
      <w:r>
        <w:rPr/>
        <w:t>Los herbívoros seleccionan su dieta entre una amplia variedad de especies vegetales, tratando, por una parte, de cubrir sus necesidades nutritivas y, por otra, de evitar la ingestión de compuestos tóxicos. Dicha selección está basada en un proceso  de  aprendizaje  tipo  prueba/error.  Parece  claro  que  los  animales    son</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18"/>
        <w:jc w:val="both"/>
      </w:pPr>
      <w:r>
        <w:rPr/>
        <w:t>capaces de asociar el sabor de un alimento con las consecuencias negativas postprandiales, pudiendo esta asociación conducir a una aversión condicionada hacia el alimento (Provenza, 1995).</w:t>
      </w:r>
    </w:p>
    <w:p>
      <w:pPr>
        <w:pStyle w:val="BodyText"/>
        <w:rPr>
          <w:sz w:val="22"/>
        </w:rPr>
      </w:pPr>
    </w:p>
    <w:p>
      <w:pPr>
        <w:pStyle w:val="BodyText"/>
        <w:spacing w:line="364" w:lineRule="auto" w:before="153"/>
        <w:ind w:left="115" w:right="118"/>
        <w:jc w:val="both"/>
      </w:pPr>
      <w:r>
        <w:rPr/>
        <w:t>Los herbívoros posiblemente adquieren aversiones a corto plazo repetidas veces a lo largo de su vida, como consecuencia de su comportamiento ingestivo,  basado  en el muestreo. Evidentemente, las aversiones a largo plazo  podrían  jugar  un papel fundamental cuando el alimento es muy tóxico. Sin embargo, cuando la toxicidad no es muy alta, las aversiones se mantienen durante periodos cortos.  Esto permite a los rumiantes un re-aprendizaje sobre qué plantas, o partes de  éstas, pueden seleccionar en un momento determinado, teniendo en cuenta que  sus consecuencias negativas pueden ser paliadas con el tiempo gracias a la adaptación fisiológica de los animales a los metabolitos secundarios de sus dietas (Ramos et al.,</w:t>
      </w:r>
      <w:r>
        <w:rPr>
          <w:spacing w:val="22"/>
        </w:rPr>
        <w:t> </w:t>
      </w:r>
      <w:r>
        <w:rPr/>
        <w:t>1998).</w:t>
      </w:r>
    </w:p>
    <w:p>
      <w:pPr>
        <w:pStyle w:val="BodyText"/>
        <w:rPr>
          <w:sz w:val="22"/>
        </w:rPr>
      </w:pPr>
    </w:p>
    <w:p>
      <w:pPr>
        <w:pStyle w:val="BodyText"/>
        <w:spacing w:line="364" w:lineRule="auto" w:before="155"/>
        <w:ind w:left="115" w:right="118"/>
        <w:jc w:val="both"/>
      </w:pPr>
      <w:r>
        <w:rPr/>
        <w:t>Finalmente, hay que precisar que los animales salvajes disponen de mejores adaptaciones a las toxinas vegetales que los animales domésticos, ya que, para éstos, el hombre ha transformado grandes extensiones de territorio en praderas aptas para su alimentación, e impedido, mediante riego, siega, pastoreo  y  abonado, la proliferación de plantas tóxicas. No es casual, por tanto, que los mayores problemas de rendimiento e intoxicación del ganado ocurran en pastos    no modificados por el hombre y en regiones áridas debido a las particulares adaptaciones de las plantas al estrés ambiental (Ramos et al., </w:t>
      </w:r>
      <w:r>
        <w:rPr>
          <w:spacing w:val="10"/>
        </w:rPr>
        <w:t> </w:t>
      </w:r>
      <w:r>
        <w:rPr/>
        <w:t>1998).</w:t>
      </w:r>
    </w:p>
    <w:p>
      <w:pPr>
        <w:pStyle w:val="BodyText"/>
        <w:rPr>
          <w:sz w:val="22"/>
        </w:rPr>
      </w:pPr>
    </w:p>
    <w:p>
      <w:pPr>
        <w:pStyle w:val="BodyText"/>
        <w:spacing w:before="3"/>
        <w:rPr>
          <w:sz w:val="18"/>
        </w:rPr>
      </w:pPr>
    </w:p>
    <w:p>
      <w:pPr>
        <w:pStyle w:val="Heading1"/>
        <w:numPr>
          <w:ilvl w:val="1"/>
          <w:numId w:val="8"/>
        </w:numPr>
        <w:tabs>
          <w:tab w:pos="570" w:val="left" w:leader="none"/>
        </w:tabs>
        <w:spacing w:line="240" w:lineRule="auto" w:before="0" w:after="0"/>
        <w:ind w:left="569" w:right="0" w:hanging="453"/>
        <w:jc w:val="both"/>
      </w:pPr>
      <w:bookmarkStart w:name="_TOC_250032" w:id="8"/>
      <w:r>
        <w:rPr/>
        <w:t>La relación entre la respuesta productiva y el estado </w:t>
      </w:r>
      <w:r>
        <w:rPr>
          <w:spacing w:val="14"/>
        </w:rPr>
        <w:t> </w:t>
      </w:r>
      <w:bookmarkEnd w:id="8"/>
      <w:r>
        <w:rPr/>
        <w:t>inmunológico</w:t>
      </w:r>
    </w:p>
    <w:p>
      <w:pPr>
        <w:pStyle w:val="BodyText"/>
        <w:rPr>
          <w:b/>
          <w:sz w:val="22"/>
        </w:rPr>
      </w:pPr>
    </w:p>
    <w:p>
      <w:pPr>
        <w:pStyle w:val="BodyText"/>
        <w:spacing w:line="364" w:lineRule="auto" w:before="197"/>
        <w:ind w:left="115" w:right="117"/>
        <w:jc w:val="both"/>
      </w:pPr>
      <w:r>
        <w:rPr/>
        <w:t>El sistema inmunitario actúa para proteger al huésped frente a los  agentes  extraños o antígenos (bacterias, virus, hongos, parásitos, células malignas) que puedan invadir el organismo. El funcionamiento adecuado de este sistema de defensa está condicionado por la nutrición así como por el estado nutricional del individuo.   La   malnutrición   debida   a   la   ingesta   deficitaria   de   energía      </w:t>
      </w:r>
      <w:r>
        <w:rPr>
          <w:spacing w:val="55"/>
        </w:rPr>
        <w:t> </w:t>
      </w:r>
      <w:r>
        <w:rPr/>
        <w:t>y</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19"/>
        <w:jc w:val="both"/>
      </w:pPr>
      <w:r>
        <w:rPr/>
        <w:t>macronutrientes y/o deficiencias de micronutrientes específicos puede dañar el sistema inmunitario, suprimiendo sus funciones que son fundamentales para la protección del huésped; estas deficiencias afectan tanto la respuesta  inmune  innata como la adquirida.  Y  están asociadas a un mayor riesgo de infecciones,  que a su vez, producen cambios que deterioran el estado nutricional y por consiguiente la respuesta productiva (Chandra, 2002; Calder and Kew, 2002; Maggini et al., 2007; Wintergerst et al.,</w:t>
      </w:r>
      <w:r>
        <w:rPr>
          <w:spacing w:val="47"/>
        </w:rPr>
        <w:t> </w:t>
      </w:r>
      <w:r>
        <w:rPr/>
        <w:t>2007).</w:t>
      </w:r>
    </w:p>
    <w:p>
      <w:pPr>
        <w:pStyle w:val="BodyText"/>
        <w:rPr>
          <w:sz w:val="22"/>
        </w:rPr>
      </w:pPr>
    </w:p>
    <w:p>
      <w:pPr>
        <w:pStyle w:val="BodyText"/>
        <w:spacing w:line="364" w:lineRule="auto" w:before="155"/>
        <w:ind w:left="115" w:right="116"/>
        <w:jc w:val="both"/>
      </w:pPr>
      <w:r>
        <w:rPr/>
        <w:t>Hay interacciones, sinergismos y antagonismos  extremadamente  importantes  entre nutrición e inmunidad que afectan marcadamente la productividad.  Existen dos clases de interacciones. En primer lugar, la nutrición puede influir en la inmunocompetencia y de ahí en su resistencia a las enfermedades. En segundo lugar, las respuestas del sistema inmune a los procesos infecciosos afectan al crecimiento, metabolismo y necesidades de nutrientes. Además, los organismos patógenos pueden reducir la absorción de nutrientes. Estas dos importantes interacciones pueden estar relacionadas entre sí, resultando un ciclo malnutrición- infección.</w:t>
      </w:r>
    </w:p>
    <w:p>
      <w:pPr>
        <w:pStyle w:val="BodyText"/>
        <w:rPr>
          <w:sz w:val="22"/>
        </w:rPr>
      </w:pPr>
    </w:p>
    <w:p>
      <w:pPr>
        <w:pStyle w:val="BodyText"/>
        <w:spacing w:line="364" w:lineRule="auto" w:before="155"/>
        <w:ind w:left="115" w:right="118"/>
        <w:jc w:val="both"/>
      </w:pPr>
      <w:r>
        <w:rPr/>
        <w:t>La malnutrición implica un incremento de la incidencia, duración  y  mortalidad  ligada a las enfermedades infecciosas, y las infecciones causan anorexia y malnutrición. Independientemente de que el ciclo comience por una  subalimentación o por un control inadecuado de las enfermedades,  tanto  el  sistema inmune como el status nutritivo pueden deteriorarse simultáneamente dando lugar a una mayor probabilidad de infecciones y a una baja productividad (Calder and Kew, 2002; Maggini et al.,</w:t>
      </w:r>
      <w:r>
        <w:rPr>
          <w:spacing w:val="49"/>
        </w:rPr>
        <w:t> </w:t>
      </w:r>
      <w:r>
        <w:rPr/>
        <w:t>2007).</w:t>
      </w:r>
    </w:p>
    <w:p>
      <w:pPr>
        <w:pStyle w:val="BodyText"/>
        <w:rPr>
          <w:sz w:val="22"/>
        </w:rPr>
      </w:pPr>
    </w:p>
    <w:p>
      <w:pPr>
        <w:pStyle w:val="BodyText"/>
        <w:spacing w:line="364" w:lineRule="auto" w:before="155"/>
        <w:ind w:left="115" w:right="119"/>
        <w:jc w:val="both"/>
      </w:pPr>
      <w:r>
        <w:rPr/>
        <w:t>Numerosos estudios han demostrado que deficiencias severas o crónicas de muchos nutrientes reducen la respuesta inmune. Esto no es sorprendente si se tiene en cuenta la elevada velocidad de división de las células y el gran número de cofactores enzimáticos que son necesarios para que se produzca la respuesta inmune  (Calder  and  Kew,  2002).  Afortunadamente,  las  deficiencias  severas</w:t>
      </w:r>
      <w:r>
        <w:rPr>
          <w:spacing w:val="39"/>
        </w:rPr>
        <w:t> </w:t>
      </w:r>
      <w:r>
        <w:rPr/>
        <w:t>de</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17"/>
        <w:jc w:val="both"/>
      </w:pPr>
      <w:r>
        <w:rPr/>
        <w:t>nutrientes son raras en la producción animal moderna como consecuencia de la formulación científica de las dietas, ya que a partir de que se estableció la relación entre nutrición e inmunidad se comenzaron a formular dietas que basadas en ingredientes selectivos en la cantidad requerida (Chandra,  1997).</w:t>
      </w:r>
    </w:p>
    <w:p>
      <w:pPr>
        <w:pStyle w:val="BodyText"/>
        <w:rPr>
          <w:sz w:val="22"/>
        </w:rPr>
      </w:pPr>
    </w:p>
    <w:p>
      <w:pPr>
        <w:pStyle w:val="BodyText"/>
        <w:spacing w:line="364" w:lineRule="auto" w:before="155"/>
        <w:ind w:left="115" w:right="119"/>
        <w:jc w:val="both"/>
      </w:pPr>
      <w:r>
        <w:rPr/>
        <w:t>Desde un punto de vista práctico, algunos nutrientes pueden modular la respuesta inmune tal es el caso del zinc, cobre, selenio, hierro, las vitaminas A, C, E y B6, además del ácido fólico, los cuales son fundamentales para el mantenimiento de la inmunocompetencia (Chandra, 1997; Calder and Kew, 2002; Chandra, 2002; Maggini et al., 2007; Wintergerst et al., 2007).</w:t>
      </w:r>
    </w:p>
    <w:p>
      <w:pPr>
        <w:pStyle w:val="BodyText"/>
        <w:rPr>
          <w:sz w:val="22"/>
        </w:rPr>
      </w:pPr>
    </w:p>
    <w:p>
      <w:pPr>
        <w:pStyle w:val="BodyText"/>
        <w:spacing w:line="364" w:lineRule="auto" w:before="155"/>
        <w:ind w:left="115" w:right="118"/>
        <w:jc w:val="both"/>
      </w:pPr>
      <w:r>
        <w:rPr/>
        <w:t>Además hay estudios que evidencian la importancia de los lípidos, energía y proteína sobre la modulación de la respuesta inmune, en el caso de los lípidos  estos son de importancia crucial ya que los ácidos grasos forman parte de la estructura de los linfocitos y otras células del sistema inmune, mientras que la deficiencias de energía y proteína incrementan la frecuencia y severidad de las infecciones, causan atrofia del timo, depleción linfocitaria disminuyen  la  proliferación de células T (CD4+ Y CD8+) y debilitan a los nódulos linfáticos periféricos (Savino, 2002, Marcos et al., 2003, Lesourd, </w:t>
      </w:r>
      <w:r>
        <w:rPr>
          <w:spacing w:val="2"/>
        </w:rPr>
        <w:t> </w:t>
      </w:r>
      <w:r>
        <w:rPr/>
        <w:t>2006).</w:t>
      </w:r>
    </w:p>
    <w:p>
      <w:pPr>
        <w:pStyle w:val="BodyText"/>
        <w:rPr>
          <w:sz w:val="22"/>
        </w:rPr>
      </w:pPr>
    </w:p>
    <w:p>
      <w:pPr>
        <w:pStyle w:val="BodyText"/>
        <w:spacing w:before="3"/>
        <w:rPr>
          <w:sz w:val="18"/>
        </w:rPr>
      </w:pPr>
    </w:p>
    <w:p>
      <w:pPr>
        <w:pStyle w:val="Heading1"/>
        <w:numPr>
          <w:ilvl w:val="1"/>
          <w:numId w:val="8"/>
        </w:numPr>
        <w:tabs>
          <w:tab w:pos="570" w:val="left" w:leader="none"/>
        </w:tabs>
        <w:spacing w:line="240" w:lineRule="auto" w:before="0" w:after="0"/>
        <w:ind w:left="569" w:right="0" w:hanging="453"/>
        <w:jc w:val="both"/>
      </w:pPr>
      <w:bookmarkStart w:name="_TOC_250031" w:id="9"/>
      <w:r>
        <w:rPr/>
        <w:t>Efecto de los metabolitos secundarios sobre la respuesta </w:t>
      </w:r>
      <w:r>
        <w:rPr>
          <w:spacing w:val="27"/>
        </w:rPr>
        <w:t> </w:t>
      </w:r>
      <w:bookmarkEnd w:id="9"/>
      <w:r>
        <w:rPr/>
        <w:t>productiva</w:t>
      </w:r>
    </w:p>
    <w:p>
      <w:pPr>
        <w:pStyle w:val="BodyText"/>
        <w:rPr>
          <w:b/>
          <w:sz w:val="22"/>
        </w:rPr>
      </w:pPr>
    </w:p>
    <w:p>
      <w:pPr>
        <w:pStyle w:val="BodyText"/>
        <w:spacing w:before="11"/>
        <w:rPr>
          <w:b/>
          <w:sz w:val="25"/>
        </w:rPr>
      </w:pPr>
    </w:p>
    <w:p>
      <w:pPr>
        <w:pStyle w:val="BodyText"/>
        <w:spacing w:line="364" w:lineRule="auto"/>
        <w:ind w:left="115" w:right="117"/>
        <w:jc w:val="both"/>
      </w:pPr>
      <w:r>
        <w:rPr/>
        <w:t>Los metabolitos secundarios pueden disminuir las concentraciones de amonio, alterar la proporción acetato: propionato en el fluido ruminal, disminuir  la  producción de metano, estimular el metabolismo ruminal  con lo cual  incrementan  la degradabilidad de la proteína cruda y de la pared celular, etc. (Jiménez-Peralta   et al., 2011), Ademas disminuiyen la producción de nitrógeno amoniacal reducen   el olor de las heces, como ocurre con las saponinas presentes en dos plantas tropicales Yucca schidigera en México y Quillaja saponaria de origen chileno (Cheeke, 2000, Singer et al.,</w:t>
      </w:r>
      <w:r>
        <w:rPr>
          <w:spacing w:val="42"/>
        </w:rPr>
        <w:t> </w:t>
      </w:r>
      <w:r>
        <w:rPr/>
        <w:t>2008).</w:t>
      </w:r>
    </w:p>
    <w:p>
      <w:pPr>
        <w:spacing w:after="0" w:line="364" w:lineRule="auto"/>
        <w:jc w:val="both"/>
        <w:sectPr>
          <w:footerReference w:type="default" r:id="rId12"/>
          <w:pgSz w:w="11900" w:h="16840"/>
          <w:pgMar w:footer="1679" w:header="0" w:top="1600" w:bottom="1860" w:left="1540" w:right="1520"/>
          <w:pgNumType w:start="10"/>
        </w:sectPr>
      </w:pPr>
    </w:p>
    <w:p>
      <w:pPr>
        <w:pStyle w:val="BodyText"/>
        <w:rPr>
          <w:sz w:val="20"/>
        </w:rPr>
      </w:pPr>
    </w:p>
    <w:p>
      <w:pPr>
        <w:pStyle w:val="BodyText"/>
        <w:spacing w:before="10"/>
        <w:rPr>
          <w:sz w:val="16"/>
        </w:rPr>
      </w:pPr>
    </w:p>
    <w:p>
      <w:pPr>
        <w:pStyle w:val="BodyText"/>
        <w:spacing w:line="364" w:lineRule="auto" w:before="74"/>
        <w:ind w:left="115" w:right="117"/>
        <w:jc w:val="both"/>
      </w:pPr>
      <w:r>
        <w:rPr/>
        <w:t>Se ha reportado que el valor nutritivo de los forrajes está determinado por su composición química. Pero el valor nutritivo </w:t>
      </w:r>
      <w:r>
        <w:rPr>
          <w:i/>
        </w:rPr>
        <w:t>per se</w:t>
      </w:r>
      <w:r>
        <w:rPr/>
        <w:t>está influenciado por un gran número de factores que pueden afectar la eficiencia con la cual los rumiantes utilizan estos forrajes. Consecuentemente, se ha reportado que el valor nutritivo depende no solo de la digestibilidad del forraje sino también del consumo  voluntario. Este se ve influenciado por la palatabilidad, variación estacional y disponibilidad. Un aspecto que afecta el consumo y la digestibilidad de los componentes de los forrajes, y que es muy marcado en las especies leguminosas tropicales es la presencia de metabolitos secundarios, la presencia de algunos de estos factores pueden alterar la utilización de los nutrientes, la conversión alimenticia y por ende la productividad de los animales (Carmona Agudelo, </w:t>
      </w:r>
      <w:r>
        <w:rPr>
          <w:spacing w:val="32"/>
        </w:rPr>
        <w:t> </w:t>
      </w:r>
      <w:r>
        <w:rPr/>
        <w:t>2007).</w:t>
      </w:r>
    </w:p>
    <w:p>
      <w:pPr>
        <w:pStyle w:val="BodyText"/>
        <w:rPr>
          <w:sz w:val="22"/>
        </w:rPr>
      </w:pPr>
    </w:p>
    <w:p>
      <w:pPr>
        <w:pStyle w:val="BodyText"/>
        <w:spacing w:line="364" w:lineRule="auto" w:before="155"/>
        <w:ind w:left="116" w:right="117"/>
        <w:jc w:val="both"/>
      </w:pPr>
      <w:r>
        <w:rPr/>
        <w:t>Son tal vez los taninos: compuestos fenólicos de alto peso molecular, los compuestos que revisten una mayor importancia, no solo por su diversidad y concentración, sino también por sus múltiples efectos en la dinámica digestiva de  los animales se sabe que el efecto en el animal va a depender  de  su  concentración en la planta y del nivel de suministro del forraje que los contiene, en la dieta del animal (Carmona Agudelo, 2007). Se ha observado que altas concentraciones de taninos en la dieta disminuyen el consumo voluntario así como la digestión de la fibra y la proteína, mientras que a bajos niveles favorece la absorción de nitrógeno a nivel de intestino delgado reduciendo su degradación a nivel ruminal (Barahona et al., 1997; Provenza et al., 2000). Incluso se ha sugerido que la utilización de plantas forrajeras con niveles altos de taninos, mezcladas con especies altas en nitrógeno soluble, con la finalidad de mejorar el  uso  del  nitrógeno por los rumiantes, reduciendo la degradación de proteína soluble  en rumen y diluyendo el efecto de los compuestos</w:t>
      </w:r>
      <w:r>
        <w:rPr>
          <w:spacing w:val="61"/>
        </w:rPr>
        <w:t> </w:t>
      </w:r>
      <w:r>
        <w:rPr/>
        <w:t>tóxicos.</w:t>
      </w:r>
    </w:p>
    <w:p>
      <w:pPr>
        <w:pStyle w:val="BodyText"/>
        <w:rPr>
          <w:sz w:val="22"/>
        </w:rPr>
      </w:pPr>
    </w:p>
    <w:p>
      <w:pPr>
        <w:pStyle w:val="BodyText"/>
        <w:spacing w:line="364" w:lineRule="auto" w:before="155"/>
        <w:ind w:left="116" w:right="118"/>
        <w:jc w:val="both"/>
      </w:pPr>
      <w:r>
        <w:rPr/>
        <w:t>La afinidad de los taninos por las proteínas depende de sus características  químicas y de las condiciones fisicoquímicas del sistema. En base a su origen químico los taninos se han dividido en dos grupo: hidrolizables y condensados (Reed,</w:t>
      </w:r>
      <w:r>
        <w:rPr>
          <w:spacing w:val="16"/>
        </w:rPr>
        <w:t> </w:t>
      </w:r>
      <w:r>
        <w:rPr/>
        <w:t>1995).</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17"/>
        <w:jc w:val="both"/>
      </w:pPr>
      <w:r>
        <w:rPr/>
        <w:t>Los complejos formados por los taninos son estables e insolubles a un pH entre 3   y 7, pero son liberados a un pH menor a 3 o mayor a 8. Esta propiedad para ligar  las proteínas a un pH neutro y liberarlas a valores de pH  bajo,  ha  llevado  a muchos investigadores a pensar que podría ser una herramienta útil para reducir    la degradación de la proteína en el rumen, siendo posible así incrementar, el flujo    y la absorción de N amoniacal y aminoácidos esenciales en el intestino delgado (Reed, 1995, Jackson et al., 1996; Barahona et al., </w:t>
      </w:r>
      <w:r>
        <w:rPr>
          <w:spacing w:val="1"/>
        </w:rPr>
        <w:t> </w:t>
      </w:r>
      <w:r>
        <w:rPr/>
        <w:t>1997).</w:t>
      </w:r>
    </w:p>
    <w:p>
      <w:pPr>
        <w:pStyle w:val="BodyText"/>
        <w:rPr>
          <w:sz w:val="22"/>
        </w:rPr>
      </w:pPr>
    </w:p>
    <w:p>
      <w:pPr>
        <w:pStyle w:val="BodyText"/>
        <w:spacing w:line="364" w:lineRule="auto" w:before="155"/>
        <w:ind w:left="115" w:right="117"/>
        <w:jc w:val="both"/>
      </w:pPr>
      <w:r>
        <w:rPr/>
        <w:t>Desde hace algunos años se ha intentado reducir el nivel  de  taninos  principalmente condesados con el uso de polietilenglicol ya que  se  estos  presentan mayor afinidad por este compuesto que por las proteínas por lo que al unirse a este compuesto reducen sus efectos tóxicos además de no afectar notablemente el valor nutritivo de los forrajes (Provenza et al., 2000, Salem et al., 2007). Barahona et al. (1997) cita que cuando el nivel de taninos condensados, presentes en las plantas (leguminosas), se reduce por diferentes métodos, se observa un incremento en la degradación de la proteína en el rumen y consecuentemente una disminución en el N que alcanza el duodeno. Además un incremento en el consumo y la digestibilidad de la fibra (Barahona et al., </w:t>
      </w:r>
      <w:r>
        <w:rPr>
          <w:spacing w:val="22"/>
        </w:rPr>
        <w:t> </w:t>
      </w:r>
      <w:r>
        <w:rPr/>
        <w:t>1997).</w:t>
      </w:r>
    </w:p>
    <w:p>
      <w:pPr>
        <w:pStyle w:val="BodyText"/>
        <w:rPr>
          <w:sz w:val="22"/>
        </w:rPr>
      </w:pPr>
    </w:p>
    <w:p>
      <w:pPr>
        <w:pStyle w:val="BodyText"/>
        <w:spacing w:line="367" w:lineRule="auto" w:before="153"/>
        <w:ind w:left="115" w:right="117"/>
        <w:jc w:val="both"/>
      </w:pPr>
      <w:r>
        <w:rPr/>
        <w:t>También se han encontrado efectos negativos sobre la digestibilidad de los carbohidratos estructurales y solubles (Carmona Agudelo,  2007);  además,  reducen la producción de subproductos energéticos de  la  fermentación microbiana, como los ácidos grasos volátiles (Provenza et al., </w:t>
      </w:r>
      <w:r>
        <w:rPr>
          <w:spacing w:val="14"/>
        </w:rPr>
        <w:t> </w:t>
      </w:r>
      <w:r>
        <w:rPr/>
        <w:t>2000).</w:t>
      </w:r>
    </w:p>
    <w:p>
      <w:pPr>
        <w:pStyle w:val="BodyText"/>
        <w:rPr>
          <w:sz w:val="22"/>
        </w:rPr>
      </w:pPr>
    </w:p>
    <w:p>
      <w:pPr>
        <w:pStyle w:val="BodyText"/>
        <w:spacing w:line="364" w:lineRule="auto" w:before="148"/>
        <w:ind w:left="115" w:right="118"/>
        <w:jc w:val="both"/>
      </w:pPr>
      <w:r>
        <w:rPr/>
        <w:t>Así mismo se sabe que la reducción del consumo voluntario de forrajes ricos en taninos se debe a que estos se unen a las proteínas de la saliva, ocasionando el efecto de astringencia. La interacción con los componentes  proteicos  parecen tener efecto inhibitorio sobre activadores de algunas enzimas tanto aminolíticas como lipídicas y</w:t>
      </w:r>
      <w:r>
        <w:rPr>
          <w:spacing w:val="27"/>
        </w:rPr>
        <w:t> </w:t>
      </w:r>
      <w:r>
        <w:rPr/>
        <w:t>peptídicas.</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19"/>
        <w:jc w:val="both"/>
      </w:pPr>
      <w:r>
        <w:rPr/>
        <w:t>Otro compuesto secundario que produce grandes efectos en la dinámica digestiva de los rumiantes, es la mimosina, alcaloide encontrado en </w:t>
      </w:r>
      <w:r>
        <w:rPr>
          <w:i/>
        </w:rPr>
        <w:t>Leucaena leucocephala </w:t>
      </w:r>
      <w:r>
        <w:rPr/>
        <w:t>en una proporción que oscila entre un 3 – 5% el cual puede ser incluido en dietas tanto de monogástricos (5 – 10%) como rumiantes (más del 30%) sin presentar efectos tóxicos ya que al ser un aminoácido no proteico resulta sumamente toxico   a niveles mayores a los anteriormente misionados tanto en no rumiantes como en rumiantes no adaptados a su consumo (Hammond, </w:t>
      </w:r>
      <w:r>
        <w:rPr>
          <w:spacing w:val="6"/>
        </w:rPr>
        <w:t> </w:t>
      </w:r>
      <w:r>
        <w:rPr/>
        <w:t>1995).</w:t>
      </w:r>
    </w:p>
    <w:p>
      <w:pPr>
        <w:pStyle w:val="BodyText"/>
        <w:rPr>
          <w:sz w:val="22"/>
        </w:rPr>
      </w:pPr>
    </w:p>
    <w:p>
      <w:pPr>
        <w:pStyle w:val="BodyText"/>
        <w:spacing w:line="364" w:lineRule="auto" w:before="155"/>
        <w:ind w:left="116" w:right="117" w:firstLine="64"/>
        <w:jc w:val="both"/>
      </w:pPr>
      <w:r>
        <w:rPr/>
        <w:t>En rumiantes con previo periodo de adaptación al consumo de mimosina, este compuesto es metabolizado por los microorganismos del rumen a 3-hydroxy- 4(1H)-pyridon (3-4 DPH) a pesar de los altos niveles de mimosina en  estos  forrajes, su presencia en las heces es muy baja, debido a que tanto la mimosina como el DHP (metabolito producido a nivel ruminal, derivado de la mimosina) son rápidamente absorbidos. Pero su excreción urinaria es rápida, lo cual permite explicar porque los efectos tóxicos en los rumiantes no son  tan  frecuentes,  además se sabe que existen bacterias ruminales capaces de degradar y utilizar esta sustancia, cuando su concentración en la dieta total no es muy elevada (Hammond, 1995, Carmona Agudelo,</w:t>
      </w:r>
      <w:r>
        <w:rPr>
          <w:spacing w:val="47"/>
        </w:rPr>
        <w:t> </w:t>
      </w:r>
      <w:r>
        <w:rPr/>
        <w:t>2007).</w:t>
      </w:r>
    </w:p>
    <w:p>
      <w:pPr>
        <w:pStyle w:val="BodyText"/>
        <w:rPr>
          <w:sz w:val="22"/>
        </w:rPr>
      </w:pPr>
    </w:p>
    <w:p>
      <w:pPr>
        <w:pStyle w:val="BodyText"/>
        <w:spacing w:line="364" w:lineRule="auto" w:before="153"/>
        <w:ind w:left="116" w:right="117"/>
        <w:jc w:val="both"/>
      </w:pPr>
      <w:r>
        <w:rPr/>
        <w:t>Otro metabolito secundario presente en algunas arbóreas y arbustivas forrajeras tropicales son las saponinas, las cuales también tienen efectos marcados en la nutrición animal (Francis et al., 2002). Además de tener propiedades  farmacológicas importantes. Las saponinas del latín sapo = jabón, son detergentes naturales (sulfactantes) ya que tienen un componente soluble en agua y  otro soluble en grasa normalmente se unen a azúcares conjugados de triterpenoides o esteroides formando espumas estables al entrar en contacto con el agua, confiriéndole potencialidad como factor timpánico (Cheeke, 2000:  Carmona Agudelo, 2007; Augustin et al.,</w:t>
      </w:r>
      <w:r>
        <w:rPr>
          <w:spacing w:val="38"/>
        </w:rPr>
        <w:t> </w:t>
      </w:r>
      <w:r>
        <w:rPr/>
        <w:t>2011).</w:t>
      </w:r>
    </w:p>
    <w:p>
      <w:pPr>
        <w:pStyle w:val="BodyText"/>
        <w:rPr>
          <w:sz w:val="22"/>
        </w:rPr>
      </w:pPr>
    </w:p>
    <w:p>
      <w:pPr>
        <w:pStyle w:val="BodyText"/>
        <w:spacing w:line="364" w:lineRule="auto" w:before="153"/>
        <w:ind w:left="116" w:right="120"/>
        <w:jc w:val="both"/>
      </w:pPr>
      <w:r>
        <w:rPr/>
        <w:t>Las saponinas tienen un característico sabor amargo. Este aspecto, además de su efecto irritante a nivel de la boca y garganta le confieren una baja palatabilidad, lo</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13"/>
        <w:jc w:val="both"/>
      </w:pPr>
      <w:r>
        <w:rPr/>
        <w:t>cual redunda en un bajo consumo voluntario. Además, estas forman complejos insolubles con algunos minerales como Ca, Fe, y Zn, haciéndolos no disponibles para el animal, estas sustancias pueden tener efectos negativos  sobre  las  bacterias celulolíticas, pero los rumiantes en pastoreo pueden adaptarse a ellas y detoxificarlas (Cheeke,</w:t>
      </w:r>
      <w:r>
        <w:rPr>
          <w:spacing w:val="29"/>
        </w:rPr>
        <w:t> </w:t>
      </w:r>
      <w:r>
        <w:rPr/>
        <w:t>2000).</w:t>
      </w:r>
    </w:p>
    <w:p>
      <w:pPr>
        <w:pStyle w:val="BodyText"/>
        <w:rPr>
          <w:sz w:val="22"/>
        </w:rPr>
      </w:pPr>
    </w:p>
    <w:p>
      <w:pPr>
        <w:pStyle w:val="BodyText"/>
        <w:spacing w:line="364" w:lineRule="auto" w:before="155"/>
        <w:ind w:left="115" w:right="119"/>
        <w:jc w:val="both"/>
      </w:pPr>
      <w:r>
        <w:rPr/>
        <w:t>Los anteriores conceptos señalan a las saponinas como metabolitos secundarios generalmente con efectos negativos en la alimentación animal, pero diversos trabajos reportan sus bondades como sustancias defaunantes a nivel ruminal, en otras palabras, disminuyen la cantidad de protozoarios, obteniéndose importantes beneficios nutricionales (Cheeke, 2000, Singer et al.,  2008).</w:t>
      </w:r>
    </w:p>
    <w:p>
      <w:pPr>
        <w:pStyle w:val="BodyText"/>
        <w:rPr>
          <w:sz w:val="22"/>
        </w:rPr>
      </w:pPr>
    </w:p>
    <w:p>
      <w:pPr>
        <w:pStyle w:val="BodyText"/>
        <w:spacing w:line="364" w:lineRule="auto" w:before="155"/>
        <w:ind w:left="115" w:right="117"/>
        <w:jc w:val="both"/>
      </w:pPr>
      <w:r>
        <w:rPr/>
        <w:t>Cuando el rumen es defaunado, la degradabilidad de proteínas del alimento es  más bajo que en el rumen sin defaunar, sobre todo cuando las fuentes de proteína insoluble predominan. Así, cuando el rumen es defaunado puede esperarse que mayor cantidad de proteína escape de la digestión y fluya al intestino. Esto se considera un efecto positivo teniendo en cuenta, que frecuentemente en los sistemas de alimentación de nuestro medio, el suministro de proteína al intestino delgado es deficiente. El impacto positivo que esto pueda representar depende de la calidad de la proteína que escapa a la degradación ruminal, hacia al tracto posterior (Carmona Agudelo,</w:t>
      </w:r>
      <w:r>
        <w:rPr>
          <w:spacing w:val="39"/>
        </w:rPr>
        <w:t> </w:t>
      </w:r>
      <w:r>
        <w:rPr/>
        <w:t>2007).</w:t>
      </w:r>
    </w:p>
    <w:p>
      <w:pPr>
        <w:pStyle w:val="BodyText"/>
        <w:rPr>
          <w:sz w:val="22"/>
        </w:rPr>
      </w:pPr>
    </w:p>
    <w:p>
      <w:pPr>
        <w:pStyle w:val="BodyText"/>
        <w:spacing w:line="364" w:lineRule="auto" w:before="155"/>
        <w:ind w:left="115" w:right="117"/>
        <w:jc w:val="both"/>
      </w:pPr>
      <w:r>
        <w:rPr/>
        <w:t>La actividad defaunadora atribuida a las saponinas se justifica debido a  su  actividad citotóxica sobre los mismos; en pruebas </w:t>
      </w:r>
      <w:r>
        <w:rPr>
          <w:i/>
        </w:rPr>
        <w:t>in vitro</w:t>
      </w:r>
      <w:r>
        <w:rPr/>
        <w:t>, se ha determinado que con niveles de saponinas de 1,2 g/L su efecto defaunador se  puede  observar sobre el 100% sobre los Holotrichos y 95% sobre los Entodinomorfos, con un aumento en la digestibilidad de la materia seca (Cheeke, </w:t>
      </w:r>
      <w:r>
        <w:rPr>
          <w:spacing w:val="4"/>
        </w:rPr>
        <w:t> </w:t>
      </w:r>
      <w:r>
        <w:rPr/>
        <w:t>2000).</w:t>
      </w:r>
    </w:p>
    <w:p>
      <w:pPr>
        <w:pStyle w:val="BodyText"/>
        <w:rPr>
          <w:sz w:val="22"/>
        </w:rPr>
      </w:pPr>
    </w:p>
    <w:p>
      <w:pPr>
        <w:pStyle w:val="BodyText"/>
        <w:spacing w:line="364" w:lineRule="auto" w:before="155"/>
        <w:ind w:left="115" w:right="117"/>
        <w:jc w:val="both"/>
      </w:pPr>
      <w:r>
        <w:rPr/>
        <w:t>En un estudio realizado por Navas et al.(1992), concluyo que el efecto de </w:t>
      </w:r>
      <w:r>
        <w:rPr>
          <w:i/>
        </w:rPr>
        <w:t>Enterolobium cyclocarpum </w:t>
      </w:r>
      <w:r>
        <w:rPr/>
        <w:t>y </w:t>
      </w:r>
      <w:r>
        <w:rPr>
          <w:i/>
        </w:rPr>
        <w:t>Sapindus saponaria </w:t>
      </w:r>
      <w:r>
        <w:rPr/>
        <w:t>como defaunantes se debe a la presencia  de  sustancias  detergentes,  como  las  saponinas  en  sus  hojas.      En</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7" w:lineRule="auto" w:before="74"/>
        <w:ind w:left="115" w:right="118"/>
        <w:jc w:val="both"/>
      </w:pPr>
      <w:r>
        <w:rPr/>
        <w:t>estudios con ovejas, la administración de </w:t>
      </w:r>
      <w:r>
        <w:rPr>
          <w:i/>
        </w:rPr>
        <w:t>Enterolobium cyclocarpum </w:t>
      </w:r>
      <w:r>
        <w:rPr/>
        <w:t>promovió una mayor disminución de protozoos (43% menos) comparado con  aquellas  ovejas  que no  recibieron este forraje en su dieta (Navas et al., </w:t>
      </w:r>
      <w:r>
        <w:rPr>
          <w:spacing w:val="4"/>
        </w:rPr>
        <w:t> </w:t>
      </w:r>
      <w:r>
        <w:rPr/>
        <w:t>1992).</w:t>
      </w:r>
    </w:p>
    <w:p>
      <w:pPr>
        <w:pStyle w:val="BodyText"/>
        <w:rPr>
          <w:sz w:val="22"/>
        </w:rPr>
      </w:pPr>
    </w:p>
    <w:p>
      <w:pPr>
        <w:pStyle w:val="BodyText"/>
        <w:spacing w:line="364" w:lineRule="auto" w:before="150"/>
        <w:ind w:left="115" w:right="117"/>
        <w:jc w:val="both"/>
      </w:pPr>
      <w:r>
        <w:rPr/>
        <w:t>Así mismo, los más de 25 tipos glucósidos cianogénicos representan otro grupo de compuesto secundario el cual está presente en más de 2000 plantas, estos compuestos a nivel ruminal por acción de una glicosidasa de origen ruminal o vegetal liberan la agliocona que por acción enzimática se transforma en ácido cianhídrico el cual es absorbido  y puede causar serios problemas de toxicidad,  este tipo de metabolito limita el consumo voluntario la digestibilidad de la proteína    y la disponibilidad de metionina. En ausencia de hidrólisis, los glucósidos son relativamente inocuos ya que pueden ser excretados como tal (Roige and Tapia, 1996). Así mismo, se ha señalado que a pesar de su potencial tóxico, es poco el efecto que se da en bacterias anaeróbicas del rumen, las cuales pueden utilizarlo incluso como fuentes de N y el solo secado al sol reduce estas </w:t>
      </w:r>
      <w:r>
        <w:rPr>
          <w:spacing w:val="21"/>
        </w:rPr>
        <w:t> </w:t>
      </w:r>
      <w:r>
        <w:rPr/>
        <w:t>sustancias.</w:t>
      </w:r>
    </w:p>
    <w:p>
      <w:pPr>
        <w:pStyle w:val="BodyText"/>
        <w:rPr>
          <w:sz w:val="22"/>
        </w:rPr>
      </w:pPr>
    </w:p>
    <w:p>
      <w:pPr>
        <w:pStyle w:val="BodyText"/>
        <w:spacing w:line="364" w:lineRule="auto" w:before="155"/>
        <w:ind w:left="115" w:right="116"/>
        <w:jc w:val="both"/>
      </w:pPr>
      <w:r>
        <w:rPr/>
        <w:t>Se han realizado estudios para disminuir el contenido de glucósidos cianogénicos que van desde secado hasta ensilado, en los que se indica que al parecer a partir de la sexta semana del período de ensilaje, el nivel de esta sustancia tóxica disminuye a un nivel que no es tóxico para los animales, incluso para los monogástricoslos cuales al tener pH acido en el estómago inhiben la acción de la glicosidasa. En el caso de los rumiantes, el proceso de digestión fermentativa en     el rumen neutraliza el efecto del ácido cianhídrico y no se reportan problemas aun suministrando el follaje en forma fresca (Preston et al., </w:t>
      </w:r>
      <w:r>
        <w:rPr>
          <w:spacing w:val="2"/>
        </w:rPr>
        <w:t> </w:t>
      </w:r>
      <w:r>
        <w:rPr/>
        <w:t>2005).</w:t>
      </w:r>
    </w:p>
    <w:p>
      <w:pPr>
        <w:pStyle w:val="BodyText"/>
        <w:rPr>
          <w:sz w:val="22"/>
        </w:rPr>
      </w:pPr>
    </w:p>
    <w:p>
      <w:pPr>
        <w:pStyle w:val="BodyText"/>
        <w:spacing w:line="364" w:lineRule="auto" w:before="155"/>
        <w:ind w:left="115" w:right="118"/>
        <w:jc w:val="both"/>
      </w:pPr>
      <w:r>
        <w:rPr/>
        <w:t>Finalmente Jiménez et al. (2011) reportó efectos positivos de los metabolitos secundarios presentes en dos arbóreas forrajeras </w:t>
      </w:r>
      <w:r>
        <w:rPr>
          <w:i/>
        </w:rPr>
        <w:t>Leucaena leucocephala </w:t>
      </w:r>
      <w:r>
        <w:rPr/>
        <w:t>y </w:t>
      </w:r>
      <w:r>
        <w:rPr>
          <w:i/>
        </w:rPr>
        <w:t>Salix </w:t>
      </w:r>
      <w:r>
        <w:rPr>
          <w:i/>
        </w:rPr>
        <w:t>babylonica </w:t>
      </w:r>
      <w:r>
        <w:rPr/>
        <w:t>(SB) sobre la producción de gas </w:t>
      </w:r>
      <w:r>
        <w:rPr>
          <w:i/>
        </w:rPr>
        <w:t>in vitro </w:t>
      </w:r>
      <w:r>
        <w:rPr/>
        <w:t>observándose mayor  producción de gas en aquellos animales tratados con </w:t>
      </w:r>
      <w:r>
        <w:rPr>
          <w:i/>
        </w:rPr>
        <w:t>Salix babylonica</w:t>
      </w:r>
      <w:r>
        <w:rPr/>
        <w:t>, este  extracto además mejoro los parámetros de fermentación ruminal (Jiménez-Peralta et al.,</w:t>
      </w:r>
      <w:r>
        <w:rPr>
          <w:spacing w:val="10"/>
        </w:rPr>
        <w:t> </w:t>
      </w:r>
      <w:r>
        <w:rPr/>
        <w:t>2011).</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5"/>
        <w:rPr>
          <w:sz w:val="16"/>
        </w:rPr>
      </w:pPr>
    </w:p>
    <w:p>
      <w:pPr>
        <w:pStyle w:val="Heading1"/>
        <w:numPr>
          <w:ilvl w:val="1"/>
          <w:numId w:val="8"/>
        </w:numPr>
        <w:tabs>
          <w:tab w:pos="606" w:val="left" w:leader="none"/>
        </w:tabs>
        <w:spacing w:line="280" w:lineRule="auto" w:before="74" w:after="0"/>
        <w:ind w:left="116" w:right="118" w:firstLine="0"/>
        <w:jc w:val="both"/>
      </w:pPr>
      <w:r>
        <w:rPr/>
        <w:t>Efecto de los metabolitos secundarios sobre el estado de saludde los animales</w:t>
      </w:r>
    </w:p>
    <w:p>
      <w:pPr>
        <w:pStyle w:val="BodyText"/>
        <w:rPr>
          <w:b/>
          <w:sz w:val="22"/>
        </w:rPr>
      </w:pPr>
    </w:p>
    <w:p>
      <w:pPr>
        <w:pStyle w:val="BodyText"/>
        <w:spacing w:line="364" w:lineRule="auto" w:before="154"/>
        <w:ind w:left="115" w:right="120"/>
        <w:jc w:val="both"/>
      </w:pPr>
      <w:r>
        <w:rPr/>
        <w:t>Los metabolitos secundarios presentes en las plantas son fuentes únicas de productos farmacéuticos, cosméticos, aditivos alimenticios, saborizantes y otros materiales industriales, por lo que su uso se ha extendido alrededor de todo el mundo e incluso se han hecho cultivos celulares de plantas para poder obtener los metabolitos secundarios que no se pueden sintetizar de forma química o cuya extracción es muy difícil (Cheeke, 2000: Zhao et al., 2005; Augustin et al.,  2011).</w:t>
      </w:r>
    </w:p>
    <w:p>
      <w:pPr>
        <w:pStyle w:val="BodyText"/>
        <w:rPr>
          <w:sz w:val="22"/>
        </w:rPr>
      </w:pPr>
    </w:p>
    <w:p>
      <w:pPr>
        <w:pStyle w:val="BodyText"/>
        <w:spacing w:line="364" w:lineRule="auto" w:before="155"/>
        <w:ind w:left="115" w:right="117"/>
        <w:jc w:val="both"/>
      </w:pPr>
      <w:r>
        <w:rPr/>
        <w:t>En estudios recientes se ha reportado que los metabolitos secundarios presentes  en la mayoría de las plantas forrajeras no solo tiene efectos a nivel productivo,sino que también ejercen cierta influencia a nivel salud ya que se ha visto que son muchas las plantas que poseen metabolitos secundarios que tienen efectos bactericidas o bacteriostáticos (Waterman et al.,</w:t>
      </w:r>
      <w:r>
        <w:rPr>
          <w:spacing w:val="56"/>
        </w:rPr>
        <w:t> </w:t>
      </w:r>
      <w:r>
        <w:rPr/>
        <w:t>1980).</w:t>
      </w:r>
    </w:p>
    <w:p>
      <w:pPr>
        <w:pStyle w:val="BodyText"/>
        <w:rPr>
          <w:sz w:val="22"/>
        </w:rPr>
      </w:pPr>
    </w:p>
    <w:p>
      <w:pPr>
        <w:pStyle w:val="BodyText"/>
        <w:spacing w:line="364" w:lineRule="auto" w:before="153"/>
        <w:ind w:left="115" w:right="117"/>
        <w:jc w:val="both"/>
      </w:pPr>
      <w:r>
        <w:rPr/>
        <w:t>Por otro lado, las plantas ricas en taninos han atraído la mayor atención por su efecto sobre los nematodos gastrointestinales de los rumiantes. Las plantas taniníferas pueden tener una actividad antiparasitaria directa pero también podrían tener un efecto indirecto a través de mejorar la respuesta inmune de los animales contra los nematodos gastrointestinales (Hoste et al., 2005). Hay reportes de que  los taninos pueden mejorar la resiliencia (menos signos clínicos, mejor crecimiento y producción de lana) y resistencia (menor cantidad de huevos de nematodos en heces, menor carga parasitaria y menor fertilidad de hembras parásitas) de los caprinos  y ovinos infectados con nematodos gastrointestinales (Torres-Acosta et  al.,</w:t>
      </w:r>
      <w:r>
        <w:rPr>
          <w:spacing w:val="8"/>
        </w:rPr>
        <w:t> </w:t>
      </w:r>
      <w:r>
        <w:rPr/>
        <w:t>2008).</w:t>
      </w:r>
    </w:p>
    <w:p>
      <w:pPr>
        <w:pStyle w:val="BodyText"/>
        <w:rPr>
          <w:sz w:val="22"/>
        </w:rPr>
      </w:pPr>
    </w:p>
    <w:p>
      <w:pPr>
        <w:pStyle w:val="BodyText"/>
        <w:spacing w:line="364" w:lineRule="auto" w:before="155"/>
        <w:ind w:left="115" w:right="119"/>
        <w:jc w:val="both"/>
      </w:pPr>
      <w:r>
        <w:rPr/>
        <w:t>La propiedad antiparasitaria depende de la estructura del compuesto secundario, del nivel de ingestión y de su disponibilidad en el tracto gastrointestinal de los animales (Athanasiadou and Kyriazakis,</w:t>
      </w:r>
      <w:r>
        <w:rPr>
          <w:spacing w:val="51"/>
        </w:rPr>
        <w:t> </w:t>
      </w:r>
      <w:r>
        <w:rPr/>
        <w:t>2004).</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17"/>
        <w:jc w:val="both"/>
      </w:pPr>
      <w:r>
        <w:rPr/>
        <w:t>Aparentemente el mecanismo de acción de los taninos sobre las larvas infectantes (L3) de </w:t>
      </w:r>
      <w:r>
        <w:rPr>
          <w:i/>
        </w:rPr>
        <w:t>H. contortus</w:t>
      </w:r>
      <w:r>
        <w:rPr/>
        <w:t>y </w:t>
      </w:r>
      <w:r>
        <w:rPr>
          <w:i/>
        </w:rPr>
        <w:t>T. colubriformis </w:t>
      </w:r>
      <w:r>
        <w:rPr/>
        <w:t>consiste en evitar que estos parásitos desenvainen. Esto evita que los nematodos  gastrointestinales  puedan  establecerse en su sitio de acción y puedan continuar con su ciclo evolutivo, mientras que en los parásitos adultos los taninos aparentemente se unen a la boca y posiblemente al aparato reproductor de los parásitos (por la afinidad  de  los taninos a las proteínas ricas en prolina de la cutícula del nematodo); sin embargo, se deberá determinar qué cantidad se requiere para ocasionar el efecto antihelmíntico pero sin perjuicio para el animal o para el consumidor de dicho  animal (Torres-Acosta et al.,</w:t>
      </w:r>
      <w:r>
        <w:rPr>
          <w:spacing w:val="34"/>
        </w:rPr>
        <w:t> </w:t>
      </w:r>
      <w:r>
        <w:rPr/>
        <w:t>2008).</w:t>
      </w:r>
    </w:p>
    <w:p>
      <w:pPr>
        <w:pStyle w:val="BodyText"/>
        <w:rPr>
          <w:sz w:val="22"/>
        </w:rPr>
      </w:pPr>
    </w:p>
    <w:p>
      <w:pPr>
        <w:pStyle w:val="BodyText"/>
        <w:spacing w:line="364" w:lineRule="auto" w:before="155"/>
        <w:ind w:left="115" w:right="117"/>
        <w:jc w:val="both"/>
      </w:pPr>
      <w:r>
        <w:rPr/>
        <w:t>Además de su propiedad antiparasitaria también se ha visto que los polifenoles pueden ser considerados antioxidantes naturales, disminuyen el riesgo de enfermedades cardiovasculares, poseen propiedades antimutagénicas y antigenótoxica e incluso se dice que los flavonoides previenen alteraciones genéticas producidas por mutágenos químicos, esto en modelos animales de tal modo que pueden ser considerados como anti-cancerígenos naturales (Akond et al., 2011: Veloz-García et al.,</w:t>
      </w:r>
      <w:r>
        <w:rPr>
          <w:spacing w:val="37"/>
        </w:rPr>
        <w:t> </w:t>
      </w:r>
      <w:r>
        <w:rPr/>
        <w:t>2004).</w:t>
      </w:r>
    </w:p>
    <w:p>
      <w:pPr>
        <w:pStyle w:val="BodyText"/>
        <w:rPr>
          <w:sz w:val="22"/>
        </w:rPr>
      </w:pPr>
    </w:p>
    <w:p>
      <w:pPr>
        <w:pStyle w:val="BodyText"/>
        <w:spacing w:line="364" w:lineRule="auto" w:before="153"/>
        <w:ind w:left="115" w:right="117"/>
        <w:jc w:val="both"/>
      </w:pPr>
      <w:r>
        <w:rPr/>
        <w:t>Otro compuesto secundario que parece tener efectos directos sobre la  salud  animal y le respuesta inmune del mismo son las saponinas detergentes naturales  en plantas tales como </w:t>
      </w:r>
      <w:r>
        <w:rPr>
          <w:i/>
        </w:rPr>
        <w:t>Yucca schidigera</w:t>
      </w:r>
      <w:r>
        <w:rPr/>
        <w:t>. Las saponinas tienen propiedades antimicrobianas, fungicidas, insecticidas, molusquicidas, anticancerígena, antiinflamatoria y alelopáticas (Augustin et al.,</w:t>
      </w:r>
      <w:r>
        <w:rPr>
          <w:spacing w:val="51"/>
        </w:rPr>
        <w:t> </w:t>
      </w:r>
      <w:r>
        <w:rPr/>
        <w:t>2011).</w:t>
      </w:r>
    </w:p>
    <w:p>
      <w:pPr>
        <w:pStyle w:val="BodyText"/>
        <w:rPr>
          <w:sz w:val="22"/>
        </w:rPr>
      </w:pPr>
    </w:p>
    <w:p>
      <w:pPr>
        <w:pStyle w:val="BodyText"/>
        <w:spacing w:line="364" w:lineRule="auto" w:before="155"/>
        <w:ind w:left="115" w:right="117"/>
        <w:jc w:val="both"/>
      </w:pPr>
      <w:r>
        <w:rPr/>
        <w:t>Sobre los protozoarios las saponinas ejercen una actividad membranolitica, </w:t>
      </w:r>
      <w:r>
        <w:rPr>
          <w:spacing w:val="-3"/>
        </w:rPr>
        <w:t>al </w:t>
      </w:r>
      <w:r>
        <w:rPr/>
        <w:t>formarse un complejo entre saponina – colesterol de la membrana celular del protozoario causando la lisis celular. Además poseen una actividad antibacteriana   y pueden modificar la fermentación ruminal suprimiendo protozoarios e inhibiendo selectivamente bacterias ruminales e intestinales (</w:t>
      </w:r>
      <w:r>
        <w:rPr>
          <w:i/>
        </w:rPr>
        <w:t>Lactobacillus plantarum</w:t>
      </w:r>
      <w:r>
        <w:rPr/>
        <w:t>y </w:t>
      </w:r>
      <w:r>
        <w:rPr>
          <w:i/>
        </w:rPr>
        <w:t>Enterococcus</w:t>
      </w:r>
      <w:r>
        <w:rPr>
          <w:i/>
          <w:spacing w:val="41"/>
        </w:rPr>
        <w:t> </w:t>
      </w:r>
      <w:r>
        <w:rPr>
          <w:i/>
        </w:rPr>
        <w:t>faecium</w:t>
      </w:r>
      <w:r>
        <w:rPr>
          <w:i/>
          <w:spacing w:val="37"/>
        </w:rPr>
        <w:t> </w:t>
      </w:r>
      <w:r>
        <w:rPr/>
        <w:t>en</w:t>
      </w:r>
      <w:r>
        <w:rPr>
          <w:spacing w:val="39"/>
        </w:rPr>
        <w:t> </w:t>
      </w:r>
      <w:r>
        <w:rPr/>
        <w:t>borregos)</w:t>
      </w:r>
      <w:r>
        <w:rPr>
          <w:spacing w:val="41"/>
        </w:rPr>
        <w:t> </w:t>
      </w:r>
      <w:r>
        <w:rPr/>
        <w:t>(Salem</w:t>
      </w:r>
      <w:r>
        <w:rPr>
          <w:spacing w:val="42"/>
        </w:rPr>
        <w:t> </w:t>
      </w:r>
      <w:r>
        <w:rPr/>
        <w:t>et</w:t>
      </w:r>
      <w:r>
        <w:rPr>
          <w:spacing w:val="40"/>
        </w:rPr>
        <w:t> </w:t>
      </w:r>
      <w:r>
        <w:rPr/>
        <w:t>al.,</w:t>
      </w:r>
      <w:r>
        <w:rPr>
          <w:spacing w:val="40"/>
        </w:rPr>
        <w:t> </w:t>
      </w:r>
      <w:r>
        <w:rPr/>
        <w:t>2010);</w:t>
      </w:r>
      <w:r>
        <w:rPr>
          <w:spacing w:val="42"/>
        </w:rPr>
        <w:t> </w:t>
      </w:r>
      <w:r>
        <w:rPr/>
        <w:t>estas</w:t>
      </w:r>
      <w:r>
        <w:rPr>
          <w:spacing w:val="41"/>
        </w:rPr>
        <w:t> </w:t>
      </w:r>
      <w:r>
        <w:rPr/>
        <w:t>propiedades</w:t>
      </w:r>
      <w:r>
        <w:rPr>
          <w:spacing w:val="41"/>
        </w:rPr>
        <w:t> </w:t>
      </w:r>
      <w:r>
        <w:rPr/>
        <w:t>han</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17"/>
        <w:jc w:val="both"/>
      </w:pPr>
      <w:r>
        <w:rPr/>
        <w:t>sido explotadas sobre todo a nivel salud humana y animal contra Giardiadiasis, Leishmaniasis y Cocciodiosis.</w:t>
      </w:r>
    </w:p>
    <w:p>
      <w:pPr>
        <w:pStyle w:val="BodyText"/>
        <w:rPr>
          <w:sz w:val="22"/>
        </w:rPr>
      </w:pPr>
    </w:p>
    <w:p>
      <w:pPr>
        <w:pStyle w:val="BodyText"/>
        <w:spacing w:line="364" w:lineRule="auto" w:before="155"/>
        <w:ind w:left="115" w:right="224"/>
      </w:pPr>
      <w:r>
        <w:rPr/>
        <w:t>Por otro lado, se ha reportado que las saponinas favorecen la absorción de los lípidos, mediante la formación de micelas con las sales biliares y colesterol en el intestino, reduce la absorción de ácidos grasos al secuestrar las ácidos biliares importantes para la formación de micelios y absorción de grasas (Cheeke, 2000). También se conoce que el consumo excesivo de los metabolitos  secundarios puede afectar el bienestar y la salud del animal e incluso causar la muerte, dependiendo del tipo de compuesto de secundario y de la cantidad consumida del mismo (Roige and Tapia, 1996). Por ejemplo, las cumarinas pueden ser hepatotóxicos además de ejercer un efecto hemorrágico atribuido a su actividad específica anti-vitamina K  (Carmona Agudelo,</w:t>
      </w:r>
      <w:r>
        <w:rPr>
          <w:spacing w:val="56"/>
        </w:rPr>
        <w:t> </w:t>
      </w:r>
      <w:r>
        <w:rPr/>
        <w:t>2007).</w:t>
      </w:r>
    </w:p>
    <w:p>
      <w:pPr>
        <w:pStyle w:val="BodyText"/>
        <w:rPr>
          <w:sz w:val="22"/>
        </w:rPr>
      </w:pPr>
    </w:p>
    <w:p>
      <w:pPr>
        <w:pStyle w:val="BodyText"/>
        <w:spacing w:line="364" w:lineRule="auto" w:before="153"/>
        <w:ind w:left="115" w:right="116"/>
        <w:jc w:val="both"/>
      </w:pPr>
      <w:r>
        <w:rPr/>
        <w:t>Los taninos condensados disminuyen la absorción intestinal al causar toxicidad a    la mucosa que lo reviste además de causar necrosis renal, pancreática y de piel (Reed, 1995). Las saponinas (terpenoides)  son  considerados  responsables  de una disminución en el consumo, causando carencias alimenticias, hemólisis  y  hasta la muerte (Athanasiadou and Kyriazakis, 2004; Sun et al., </w:t>
      </w:r>
      <w:r>
        <w:rPr>
          <w:spacing w:val="15"/>
        </w:rPr>
        <w:t> </w:t>
      </w:r>
      <w:r>
        <w:rPr/>
        <w:t>2009).</w:t>
      </w:r>
    </w:p>
    <w:p>
      <w:pPr>
        <w:pStyle w:val="BodyText"/>
        <w:rPr>
          <w:sz w:val="22"/>
        </w:rPr>
      </w:pPr>
    </w:p>
    <w:p>
      <w:pPr>
        <w:pStyle w:val="BodyText"/>
        <w:spacing w:line="364" w:lineRule="auto" w:before="155"/>
        <w:ind w:left="115" w:right="117"/>
        <w:jc w:val="both"/>
      </w:pPr>
      <w:r>
        <w:rPr/>
        <w:t>El consumo de plantas conteniendo simultáneamente glucósidos cianogénicos, terpenos o alcaloides puede provocar problemas neurológicos, los taninos disminuyen el consumo voluntario, reducen la digestibilidad y producen un funcionamiento inadecuado del rumen. Se ha observado que los taninos hidrolizados son potencialmente tóxicos, afectan hígado y riñones lo que puede resultar en</w:t>
      </w:r>
      <w:r>
        <w:rPr>
          <w:spacing w:val="19"/>
        </w:rPr>
        <w:t> </w:t>
      </w:r>
      <w:r>
        <w:rPr/>
        <w:t>muerte.</w:t>
      </w:r>
    </w:p>
    <w:p>
      <w:pPr>
        <w:pStyle w:val="BodyText"/>
        <w:rPr>
          <w:sz w:val="22"/>
        </w:rPr>
      </w:pPr>
    </w:p>
    <w:p>
      <w:pPr>
        <w:pStyle w:val="BodyText"/>
        <w:spacing w:line="364" w:lineRule="auto" w:before="155"/>
        <w:ind w:left="115" w:right="119"/>
        <w:jc w:val="both"/>
      </w:pPr>
      <w:r>
        <w:rPr/>
        <w:t>El consumo excesivo de alcaloides,  glicósidos y terpenoides  ocasionan  lesiones en el sistema nervioso central (Athanasiadou and Kyriazakis, 2004).Reed (2001) señala que las proantocianidinas, presentes en algunas leguminosas tropicales no son absorbidas pero pueden afectar la mucosa del tracto digestivo, disminuyendo</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22"/>
        <w:jc w:val="both"/>
      </w:pPr>
      <w:r>
        <w:rPr/>
        <w:t>la absorción de nutrientes (principalmente aminoácidos esenciales, tipo metionina    y lisina) (Reed,</w:t>
      </w:r>
      <w:r>
        <w:rPr>
          <w:spacing w:val="26"/>
        </w:rPr>
        <w:t> </w:t>
      </w:r>
      <w:r>
        <w:rPr/>
        <w:t>1995).</w:t>
      </w:r>
    </w:p>
    <w:p>
      <w:pPr>
        <w:pStyle w:val="BodyText"/>
        <w:rPr>
          <w:sz w:val="22"/>
        </w:rPr>
      </w:pPr>
    </w:p>
    <w:p>
      <w:pPr>
        <w:pStyle w:val="BodyText"/>
        <w:spacing w:line="364" w:lineRule="auto" w:before="155"/>
        <w:ind w:left="115" w:right="121"/>
        <w:jc w:val="both"/>
      </w:pPr>
      <w:r>
        <w:rPr/>
        <w:t>En estudios realizados tanto en monogástricos como en rumiantes  se  ha observado que los metabolitos secundarios presentes en su dieta por periodos de tiempo más o menos prolongados, afectan de manera  negativa  las  células  blancas y rojas de la sangre, lo que disminuyesus concentraciones y causa en el animal anemias, inmunodeficiencias e incluso la muerte (Adedapo et al., 2005; 2007b; Mahgoub et al.,</w:t>
      </w:r>
      <w:r>
        <w:rPr>
          <w:spacing w:val="31"/>
        </w:rPr>
        <w:t> </w:t>
      </w:r>
      <w:r>
        <w:rPr/>
        <w:t>2008b).</w:t>
      </w:r>
    </w:p>
    <w:p>
      <w:pPr>
        <w:pStyle w:val="BodyText"/>
        <w:rPr>
          <w:sz w:val="22"/>
        </w:rPr>
      </w:pPr>
    </w:p>
    <w:p>
      <w:pPr>
        <w:pStyle w:val="BodyText"/>
        <w:spacing w:line="364" w:lineRule="auto" w:before="155"/>
        <w:ind w:left="115" w:right="117"/>
        <w:jc w:val="both"/>
      </w:pPr>
      <w:r>
        <w:rPr/>
        <w:t>Se ha establecido que el efecto de los metabolitos secundarios sobre los linfocitos es indirecto causando anemia no regenerativa o hipoproliferativa-, que es un trastorno de células madre caracterizado por una producción reducida en médula ósea de todos los componentes de la sangre o la supresión de la hematopoyesis, por lo que se considera que este proceso tiene un efecto negativo sobre los neutrófilos, linfocitos, eosinófilos, y monocitos (Adedapo et al.,  2007b).</w:t>
      </w:r>
    </w:p>
    <w:p>
      <w:pPr>
        <w:pStyle w:val="BodyText"/>
        <w:rPr>
          <w:sz w:val="22"/>
        </w:rPr>
      </w:pPr>
    </w:p>
    <w:p>
      <w:pPr>
        <w:pStyle w:val="BodyText"/>
        <w:spacing w:before="5"/>
        <w:rPr>
          <w:sz w:val="18"/>
        </w:rPr>
      </w:pPr>
    </w:p>
    <w:p>
      <w:pPr>
        <w:pStyle w:val="Heading1"/>
        <w:numPr>
          <w:ilvl w:val="1"/>
          <w:numId w:val="8"/>
        </w:numPr>
        <w:tabs>
          <w:tab w:pos="570" w:val="left" w:leader="none"/>
        </w:tabs>
        <w:spacing w:line="240" w:lineRule="auto" w:before="1" w:after="0"/>
        <w:ind w:left="569" w:right="0" w:hanging="453"/>
        <w:jc w:val="both"/>
      </w:pPr>
      <w:bookmarkStart w:name="_TOC_250030" w:id="10"/>
      <w:r>
        <w:rPr/>
        <w:t>Efecto de los metabolitos secundarios sobre la respuesta </w:t>
      </w:r>
      <w:r>
        <w:rPr>
          <w:spacing w:val="24"/>
        </w:rPr>
        <w:t> </w:t>
      </w:r>
      <w:bookmarkEnd w:id="10"/>
      <w:r>
        <w:rPr/>
        <w:t>inmune</w:t>
      </w:r>
    </w:p>
    <w:p>
      <w:pPr>
        <w:pStyle w:val="BodyText"/>
        <w:rPr>
          <w:b/>
          <w:sz w:val="22"/>
        </w:rPr>
      </w:pPr>
    </w:p>
    <w:p>
      <w:pPr>
        <w:pStyle w:val="BodyText"/>
        <w:spacing w:line="364" w:lineRule="auto" w:before="197"/>
        <w:ind w:left="115" w:right="117"/>
        <w:jc w:val="both"/>
      </w:pPr>
      <w:r>
        <w:rPr/>
        <w:t>Otro punto de importancia con respecto a las  saponinas  es  que  dichos compuestos tienen efecto directo sobre el sistema inmune ya que producen una gran variedad de antígenos específicos además de estimular la respuesta inmune no específica (Friedich, 1997; Cheeke, 2000; Weng et al., 2010). Se ha propuesto que las saponinas pueden ejercer un importante efecto anti-cancerígeno, los mecanismos propuestos para explicar esta propiedad son: su efecto citotoxicidad directo y  su  efecto inmunomodulador  estimulando a las células T (colaboradores  y citotóxico), B y NK y la producción de interferón aunando a esto estimulan la proliferación celular tanto en bazo como en nódulos linfáticos (Wu et al., 1990; Rao and Sung,</w:t>
      </w:r>
      <w:r>
        <w:rPr>
          <w:spacing w:val="18"/>
        </w:rPr>
        <w:t> </w:t>
      </w:r>
      <w:r>
        <w:rPr/>
        <w:t>1995).</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16"/>
        <w:jc w:val="both"/>
      </w:pPr>
      <w:r>
        <w:rPr/>
        <w:t>En general, las saponinas estimulan la respuesta inmune tanto celular como humoral (Athanasiadou and Kyriazakis, 2004, Harikrishnan et al., 2011; Liu et al., 2011). Aunque hay estudios que proponen su principal blanco son los linfocitos T citotóxicos sobre los cuales ejerce un efecto estimulador directo gracias a la presencia de un grupo acyl en  C -28 (Sun et al., 2009; </w:t>
      </w:r>
      <w:r>
        <w:rPr>
          <w:spacing w:val="11"/>
        </w:rPr>
        <w:t> </w:t>
      </w:r>
      <w:r>
        <w:rPr/>
        <w:t>2011).</w:t>
      </w:r>
    </w:p>
    <w:p>
      <w:pPr>
        <w:pStyle w:val="BodyText"/>
        <w:rPr>
          <w:sz w:val="22"/>
        </w:rPr>
      </w:pPr>
    </w:p>
    <w:p>
      <w:pPr>
        <w:pStyle w:val="BodyText"/>
        <w:spacing w:line="364" w:lineRule="auto" w:before="155"/>
        <w:ind w:left="115" w:right="117"/>
        <w:jc w:val="both"/>
      </w:pPr>
      <w:r>
        <w:rPr/>
        <w:t>La acción inmunoestimuladora de las saponinas se ha asociado a su estructura química, por lo que las clasificadas como triterpenicas  (glucósidos  de  triterpenoide) son más inmunogenicas que las esteroidogenicas (glucósidos de esteroide ) la razón es la presencia de un grupo aldehído en C-4, la cadena de oligosacáridos unidos a la posición 3 y 28 y principalmente por la de un grupo carboxilo formador de amina que es el que le confiere la capacidad inmunogenica.Un ejemplo claro de este tipo de saponina es la extraída a partir de   la corteza de </w:t>
      </w:r>
      <w:r>
        <w:rPr>
          <w:i/>
        </w:rPr>
        <w:t>Quillaja saponaria </w:t>
      </w:r>
      <w:r>
        <w:rPr/>
        <w:t>Molina la cual ha sido muy utilizada como  adyuvante (Press et al., 2000; Sun et al., 2009,  2011).</w:t>
      </w:r>
    </w:p>
    <w:p>
      <w:pPr>
        <w:pStyle w:val="BodyText"/>
        <w:rPr>
          <w:sz w:val="22"/>
        </w:rPr>
      </w:pPr>
    </w:p>
    <w:p>
      <w:pPr>
        <w:pStyle w:val="BodyText"/>
        <w:spacing w:line="364" w:lineRule="auto" w:before="155"/>
        <w:ind w:left="116" w:right="117"/>
        <w:jc w:val="both"/>
      </w:pPr>
      <w:r>
        <w:rPr/>
        <w:t>La saponina Quil A se ha utilizado en vacunas tanto inyectadas como orales, presentando igual eficacia en ambas vías. Hay pruebas de que la administración oral de saponinas puede estimular el sistema inmune TCD4 y CD8 y aumentar la resistencia a un desafío de la enfermedad (Weng et al., 2010; Sjolander et al., 1998).</w:t>
      </w:r>
    </w:p>
    <w:p>
      <w:pPr>
        <w:pStyle w:val="BodyText"/>
        <w:rPr>
          <w:sz w:val="22"/>
        </w:rPr>
      </w:pPr>
    </w:p>
    <w:p>
      <w:pPr>
        <w:pStyle w:val="BodyText"/>
        <w:spacing w:line="364" w:lineRule="auto" w:before="155"/>
        <w:ind w:left="116" w:right="116"/>
        <w:jc w:val="both"/>
      </w:pPr>
      <w:r>
        <w:rPr/>
        <w:t>De acuerdo a algunos estudios, los flavonoides ejercen un efecto anti-cancerígeno debido a que son capaces e inhibir la proliferación celular de  linfocitos  T  citotóxicos y células NK, mientras que algunos tipos de alcaloides al parecer  ejercen un efecto inmunoestimulador sobre la respuesta inmune adquirida por lo que son usados en pacientes con VIH y herpes (Reinhard, 1998; Provenza and Villalba,</w:t>
      </w:r>
      <w:r>
        <w:rPr>
          <w:spacing w:val="13"/>
        </w:rPr>
        <w:t> </w:t>
      </w:r>
      <w:r>
        <w:rPr/>
        <w:t>2010).</w:t>
      </w:r>
    </w:p>
    <w:p>
      <w:pPr>
        <w:pStyle w:val="BodyText"/>
        <w:rPr>
          <w:sz w:val="22"/>
        </w:rPr>
      </w:pPr>
    </w:p>
    <w:p>
      <w:pPr>
        <w:pStyle w:val="BodyText"/>
        <w:spacing w:line="364" w:lineRule="auto" w:before="153"/>
        <w:ind w:left="116" w:right="121"/>
        <w:jc w:val="both"/>
      </w:pPr>
      <w:r>
        <w:rPr/>
        <w:t>Por otro lado, los taninos condensados estimulan al sistema inmune de forma indirecta al disminuir la degradación de aminoácidos como arginina, glutamina y</w:t>
      </w:r>
    </w:p>
    <w:p>
      <w:pPr>
        <w:spacing w:after="0" w:line="364" w:lineRule="auto"/>
        <w:jc w:val="both"/>
        <w:sectPr>
          <w:footerReference w:type="default" r:id="rId13"/>
          <w:pgSz w:w="11900" w:h="16840"/>
          <w:pgMar w:footer="1679" w:header="0" w:top="1600" w:bottom="1860" w:left="1540" w:right="1520"/>
          <w:pgNumType w:start="20"/>
        </w:sectPr>
      </w:pPr>
    </w:p>
    <w:p>
      <w:pPr>
        <w:pStyle w:val="BodyText"/>
        <w:rPr>
          <w:sz w:val="20"/>
        </w:rPr>
      </w:pPr>
    </w:p>
    <w:p>
      <w:pPr>
        <w:pStyle w:val="BodyText"/>
        <w:spacing w:before="10"/>
        <w:rPr>
          <w:sz w:val="16"/>
        </w:rPr>
      </w:pPr>
    </w:p>
    <w:p>
      <w:pPr>
        <w:pStyle w:val="BodyText"/>
        <w:spacing w:line="364" w:lineRule="auto" w:before="74"/>
        <w:ind w:left="115" w:right="117"/>
        <w:jc w:val="both"/>
      </w:pPr>
      <w:r>
        <w:rPr/>
        <w:t>cisteína, aminoácidos que regulan la activación de linfocitos T y B, células NK, macrófagos, la producción de anticuerpos y citoquinas en el intestino funcionan como pro bióticos (Provenza and Villalba,</w:t>
      </w:r>
      <w:r>
        <w:rPr>
          <w:spacing w:val="51"/>
        </w:rPr>
        <w:t> </w:t>
      </w:r>
      <w:r>
        <w:rPr/>
        <w:t>2010).</w:t>
      </w:r>
    </w:p>
    <w:p>
      <w:pPr>
        <w:pStyle w:val="BodyText"/>
        <w:rPr>
          <w:sz w:val="22"/>
        </w:rPr>
      </w:pPr>
    </w:p>
    <w:p>
      <w:pPr>
        <w:pStyle w:val="BodyText"/>
        <w:spacing w:line="364" w:lineRule="auto" w:before="153"/>
        <w:ind w:left="115" w:right="118"/>
        <w:jc w:val="both"/>
      </w:pPr>
      <w:r>
        <w:rPr/>
        <w:t>Los alcaloides presentes en algunas plantas estimulan la función de  las células  NK, la citotoxicidad dependiente de anticuerpos, la citotoxicidad mediada por componentes del complemento y reducen la producción de citoquinas pro inflamatorias (IL 1, IL 10 y TNF- α). (Manu and Kuttan, 2007). Los  terpenos estimulan la citotoxicidad mediada por células NK y reducen la producción del algunas citoquinas preinflamatorias (Provenza and Villalba, </w:t>
      </w:r>
      <w:r>
        <w:rPr>
          <w:spacing w:val="6"/>
        </w:rPr>
        <w:t> </w:t>
      </w:r>
      <w:r>
        <w:rPr/>
        <w:t>2010).</w:t>
      </w:r>
    </w:p>
    <w:p>
      <w:pPr>
        <w:pStyle w:val="BodyText"/>
        <w:rPr>
          <w:sz w:val="22"/>
        </w:rPr>
      </w:pPr>
    </w:p>
    <w:p>
      <w:pPr>
        <w:pStyle w:val="BodyText"/>
        <w:spacing w:line="364" w:lineRule="auto" w:before="155"/>
        <w:ind w:left="116" w:right="119"/>
        <w:jc w:val="both"/>
      </w:pPr>
      <w:r>
        <w:rPr/>
        <w:t>Con todo lo anterior podemos pensar que los metabolitos secundarios presentes   en las plantas pueden ser utilizados como aditivos alimentarios mejorando parámetros productivos y ejerciendo un efecto inmunoestimulador o inmunosupresor directo o indirecto dependiendo del tipo de </w:t>
      </w:r>
      <w:r>
        <w:rPr>
          <w:spacing w:val="16"/>
        </w:rPr>
        <w:t> </w:t>
      </w:r>
      <w:r>
        <w:rPr/>
        <w:t>compuestos.</w:t>
      </w:r>
    </w:p>
    <w:p>
      <w:pPr>
        <w:pStyle w:val="BodyText"/>
        <w:rPr>
          <w:sz w:val="22"/>
        </w:rPr>
      </w:pPr>
    </w:p>
    <w:p>
      <w:pPr>
        <w:pStyle w:val="BodyText"/>
        <w:spacing w:before="5"/>
        <w:rPr>
          <w:sz w:val="18"/>
        </w:rPr>
      </w:pPr>
    </w:p>
    <w:p>
      <w:pPr>
        <w:pStyle w:val="Heading1"/>
        <w:numPr>
          <w:ilvl w:val="1"/>
          <w:numId w:val="8"/>
        </w:numPr>
        <w:tabs>
          <w:tab w:pos="570" w:val="left" w:leader="none"/>
        </w:tabs>
        <w:spacing w:line="240" w:lineRule="auto" w:before="1" w:after="0"/>
        <w:ind w:left="569" w:right="0" w:hanging="453"/>
        <w:jc w:val="both"/>
      </w:pPr>
      <w:bookmarkStart w:name="_TOC_250029" w:id="11"/>
      <w:r>
        <w:rPr/>
        <w:t>Uso de enzimas exógenas en la alimentación de </w:t>
      </w:r>
      <w:r>
        <w:rPr>
          <w:spacing w:val="12"/>
        </w:rPr>
        <w:t> </w:t>
      </w:r>
      <w:bookmarkEnd w:id="11"/>
      <w:r>
        <w:rPr/>
        <w:t>rumiantes</w:t>
      </w:r>
    </w:p>
    <w:p>
      <w:pPr>
        <w:pStyle w:val="BodyText"/>
        <w:rPr>
          <w:b/>
          <w:sz w:val="22"/>
        </w:rPr>
      </w:pPr>
    </w:p>
    <w:p>
      <w:pPr>
        <w:pStyle w:val="BodyText"/>
        <w:spacing w:line="364" w:lineRule="auto" w:before="195"/>
        <w:ind w:left="116" w:right="117"/>
        <w:jc w:val="both"/>
      </w:pPr>
      <w:r>
        <w:rPr/>
        <w:t>Debido al constante aumento en los precios del maíz y otros insumos utilizados en la alimentación animal, contantemente se están buscando alternativas que sirvan como fuentes de energía, que optimicen el metabolismo de los nutrientes consumidos y que permitan disminuir los costos por alimentación,  por lo que se  han empleado pre y prebióticos, arbustivas y arbóreas forrajeras, así  como  enzimas exógenas las cuales brindan los benéficos de disminuir el  efecto  de  nocivo de factores antinutricionales presentes en los componentes de la dieta, mejoran la digestibilidad y permiten aprovechar todo el potencial energético del alimento (Pinos-Rodrıguez et al., 2002; Rojo-Rubio et al., </w:t>
      </w:r>
      <w:r>
        <w:rPr>
          <w:spacing w:val="4"/>
        </w:rPr>
        <w:t> </w:t>
      </w:r>
      <w:r>
        <w:rPr/>
        <w:t>2007).</w:t>
      </w:r>
    </w:p>
    <w:p>
      <w:pPr>
        <w:pStyle w:val="BodyText"/>
        <w:rPr>
          <w:sz w:val="22"/>
        </w:rPr>
      </w:pPr>
    </w:p>
    <w:p>
      <w:pPr>
        <w:pStyle w:val="BodyText"/>
        <w:spacing w:line="364" w:lineRule="auto" w:before="153"/>
        <w:ind w:left="116" w:right="118"/>
        <w:jc w:val="both"/>
      </w:pPr>
      <w:r>
        <w:rPr/>
        <w:t>Las enzimas son proteínas que catalizan reacciones bioquímicas, éstas  se  conocen desde la segunda mitad del siglo XII, se empezaron a emplear en la alimentación</w:t>
      </w:r>
      <w:r>
        <w:rPr>
          <w:spacing w:val="30"/>
        </w:rPr>
        <w:t> </w:t>
      </w:r>
      <w:r>
        <w:rPr/>
        <w:t>animal</w:t>
      </w:r>
      <w:r>
        <w:rPr>
          <w:spacing w:val="29"/>
        </w:rPr>
        <w:t> </w:t>
      </w:r>
      <w:r>
        <w:rPr/>
        <w:t>a</w:t>
      </w:r>
      <w:r>
        <w:rPr>
          <w:spacing w:val="30"/>
        </w:rPr>
        <w:t> </w:t>
      </w:r>
      <w:r>
        <w:rPr/>
        <w:t>partir</w:t>
      </w:r>
      <w:r>
        <w:rPr>
          <w:spacing w:val="27"/>
        </w:rPr>
        <w:t> </w:t>
      </w:r>
      <w:r>
        <w:rPr/>
        <w:t>de</w:t>
      </w:r>
      <w:r>
        <w:rPr>
          <w:spacing w:val="28"/>
        </w:rPr>
        <w:t> </w:t>
      </w:r>
      <w:r>
        <w:rPr/>
        <w:t>los</w:t>
      </w:r>
      <w:r>
        <w:rPr>
          <w:spacing w:val="29"/>
        </w:rPr>
        <w:t> </w:t>
      </w:r>
      <w:r>
        <w:rPr/>
        <w:t>años</w:t>
      </w:r>
      <w:r>
        <w:rPr>
          <w:spacing w:val="31"/>
        </w:rPr>
        <w:t> </w:t>
      </w:r>
      <w:r>
        <w:rPr/>
        <w:t>70s</w:t>
      </w:r>
      <w:r>
        <w:rPr>
          <w:spacing w:val="26"/>
        </w:rPr>
        <w:t> </w:t>
      </w:r>
      <w:r>
        <w:rPr/>
        <w:t>primordialmente</w:t>
      </w:r>
      <w:r>
        <w:rPr>
          <w:spacing w:val="28"/>
        </w:rPr>
        <w:t> </w:t>
      </w:r>
      <w:r>
        <w:rPr/>
        <w:t>en</w:t>
      </w:r>
      <w:r>
        <w:rPr>
          <w:spacing w:val="28"/>
        </w:rPr>
        <w:t> </w:t>
      </w:r>
      <w:r>
        <w:rPr/>
        <w:t>aves</w:t>
      </w:r>
      <w:r>
        <w:rPr>
          <w:spacing w:val="35"/>
        </w:rPr>
        <w:t> </w:t>
      </w:r>
      <w:r>
        <w:rPr/>
        <w:t>y</w:t>
      </w:r>
      <w:r>
        <w:rPr>
          <w:spacing w:val="24"/>
        </w:rPr>
        <w:t> </w:t>
      </w:r>
      <w:r>
        <w:rPr/>
        <w:t>cerdos</w:t>
      </w:r>
      <w:r>
        <w:rPr>
          <w:spacing w:val="31"/>
        </w:rPr>
        <w:t> </w:t>
      </w:r>
      <w:r>
        <w:rPr/>
        <w:t>y</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21"/>
        <w:jc w:val="both"/>
      </w:pPr>
      <w:r>
        <w:rPr/>
        <w:t>muy poco en rumiantes con la finalidad de mejorar la digestión,  el  aprovechamiento de alimento y por ende aumentar la producción (Bhat, </w:t>
      </w:r>
      <w:r>
        <w:rPr>
          <w:spacing w:val="21"/>
        </w:rPr>
        <w:t> </w:t>
      </w:r>
      <w:r>
        <w:rPr/>
        <w:t>2000).</w:t>
      </w:r>
    </w:p>
    <w:p>
      <w:pPr>
        <w:pStyle w:val="BodyText"/>
        <w:rPr>
          <w:sz w:val="22"/>
        </w:rPr>
      </w:pPr>
    </w:p>
    <w:p>
      <w:pPr>
        <w:pStyle w:val="BodyText"/>
        <w:spacing w:line="364" w:lineRule="auto" w:before="155"/>
        <w:ind w:left="115" w:right="118"/>
        <w:jc w:val="both"/>
      </w:pPr>
      <w:r>
        <w:rPr/>
        <w:t>El mecanismo de acción de las enzimas a nivel intestinal consiste en unirse de forma específica a las diferentes moléculas presentes en el alimento, provocar su ruptura de tal forma que estas moléculas más pequeñas pueden ser absorbidas a través de la membrana intestinal. Estas pueden ser de naturaleza endógenas, es decir que el propio animal las produce en función de sus necesidades y del tipo de dieta que ingiera, o exógenas, es decir, que se suplementan en el alimento para cumplir con una función específica.</w:t>
      </w:r>
    </w:p>
    <w:p>
      <w:pPr>
        <w:pStyle w:val="BodyText"/>
        <w:rPr>
          <w:sz w:val="22"/>
        </w:rPr>
      </w:pPr>
    </w:p>
    <w:p>
      <w:pPr>
        <w:pStyle w:val="BodyText"/>
        <w:spacing w:line="367" w:lineRule="auto" w:before="155"/>
        <w:ind w:left="115" w:right="119"/>
        <w:jc w:val="both"/>
      </w:pPr>
      <w:r>
        <w:rPr/>
        <w:t>Las enzimas pueden ser de origen fúngico o bacteriano, ejercen su mecanismo de acción a un pH que va de 4 a 9 ºC y a una temperatura que oscila entre los 30 a</w:t>
      </w:r>
    </w:p>
    <w:p>
      <w:pPr>
        <w:pStyle w:val="BodyText"/>
        <w:spacing w:line="364" w:lineRule="auto"/>
        <w:ind w:left="115" w:right="117"/>
        <w:jc w:val="both"/>
      </w:pPr>
      <w:r>
        <w:rPr/>
        <w:t>90 ºC generalmente son bien aceptadas tanto por el animal como  por  el consumidor ya que carecen de sabor y olor, no se absorben ni dejan residuos en   los productos animales (Rojo-Rubio et al., 2007). En el caso de los rumiantes las enzimas exógenas trabajan de forma sinérgica con las enzimas microbianas del rumen, con la finalidad de incrementar el potencial hidrolítico dentro del mismo (Salem et al.,</w:t>
      </w:r>
      <w:r>
        <w:rPr>
          <w:spacing w:val="23"/>
        </w:rPr>
        <w:t> </w:t>
      </w:r>
      <w:r>
        <w:rPr/>
        <w:t>2011a).</w:t>
      </w:r>
    </w:p>
    <w:p>
      <w:pPr>
        <w:pStyle w:val="BodyText"/>
        <w:rPr>
          <w:sz w:val="22"/>
        </w:rPr>
      </w:pPr>
    </w:p>
    <w:p>
      <w:pPr>
        <w:pStyle w:val="BodyText"/>
        <w:spacing w:line="364" w:lineRule="auto" w:before="155"/>
        <w:ind w:left="115" w:right="118"/>
        <w:jc w:val="both"/>
      </w:pPr>
      <w:r>
        <w:rPr/>
        <w:t>Se pueden clasificar de acuerdo al sustrato sobre el que actúan, las carbohidrasas (amilasa, β glucanasas  y xilasas) son utilizadas  para mejorar la digestibilidad de  los almidones y polisacáridos no amiláceos de los cereales, mientras que las proteasas (subtilisina), mejoran la digestibilidad de las </w:t>
      </w:r>
      <w:r>
        <w:rPr>
          <w:spacing w:val="1"/>
        </w:rPr>
        <w:t> </w:t>
      </w:r>
      <w:r>
        <w:rPr/>
        <w:t>proteínas.</w:t>
      </w:r>
    </w:p>
    <w:p>
      <w:pPr>
        <w:pStyle w:val="BodyText"/>
        <w:rPr>
          <w:sz w:val="22"/>
        </w:rPr>
      </w:pPr>
    </w:p>
    <w:p>
      <w:pPr>
        <w:pStyle w:val="BodyText"/>
        <w:spacing w:line="364" w:lineRule="auto" w:before="155"/>
        <w:ind w:left="116" w:right="117"/>
        <w:jc w:val="both"/>
      </w:pPr>
      <w:r>
        <w:rPr/>
        <w:t>Algunas ventajas del uso de las enzimas exógenas son: favorece la digestión de la fibra (polisacáridos no amiláceos), reduce la viscosidad del bolo alimenticio, incrementa la biodisponibilidad de los nutrientes, facilita el ataque de las enzimas endógenas a los nutrientes, inhiben el crecimiento de  bacterias  patógenas, favorece  el  crecimiento  de  flora  intestinal  prebiótica  por  la  hidrólisis  de       los</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21"/>
        <w:jc w:val="both"/>
      </w:pPr>
      <w:r>
        <w:rPr/>
        <w:t>polisacáridos no amiláceos (oligosacáridos) (Pinos-Rodrıguez et al., 2002; Malik  and Bandla,</w:t>
      </w:r>
      <w:r>
        <w:rPr>
          <w:spacing w:val="21"/>
        </w:rPr>
        <w:t> </w:t>
      </w:r>
      <w:r>
        <w:rPr/>
        <w:t>2010.).</w:t>
      </w:r>
    </w:p>
    <w:p>
      <w:pPr>
        <w:pStyle w:val="BodyText"/>
        <w:rPr>
          <w:sz w:val="22"/>
        </w:rPr>
      </w:pPr>
    </w:p>
    <w:p>
      <w:pPr>
        <w:pStyle w:val="BodyText"/>
        <w:spacing w:line="364" w:lineRule="auto" w:before="155"/>
        <w:ind w:left="115" w:right="119"/>
        <w:jc w:val="both"/>
      </w:pPr>
      <w:r>
        <w:rPr/>
        <w:t>Ademas permiten utilizar mejor el valor energético de los cereales lo que supone   un ahorro económico, reduce la excreción y las pedidas de ciertos compuestos como el fósforo y el nitrógeno, y su liberación al medio ambiente por lo que disminuye el impacto ambiental de las explotaciones (Bedford and  Partridge,  2010).</w:t>
      </w:r>
    </w:p>
    <w:p>
      <w:pPr>
        <w:pStyle w:val="BodyText"/>
        <w:rPr>
          <w:sz w:val="22"/>
        </w:rPr>
      </w:pPr>
    </w:p>
    <w:p>
      <w:pPr>
        <w:pStyle w:val="BodyText"/>
        <w:spacing w:line="367" w:lineRule="auto" w:before="153"/>
        <w:ind w:left="115" w:right="117"/>
        <w:jc w:val="both"/>
      </w:pPr>
      <w:r>
        <w:rPr/>
        <w:t>Previenen alteraciones digestivas y diarreas y como consecuencia mejora parámetros productivos, reproductivos, sanitarios e inmunológicos dado el mejor aprovechamiento de nutrientes en cantidad y calidad (Pinos-Rodrıguez et  al.,  2002; Ghorai et al., 2009; Malik and Bandla, 2010; Bedford and Partridge, </w:t>
      </w:r>
      <w:r>
        <w:rPr>
          <w:spacing w:val="30"/>
        </w:rPr>
        <w:t> </w:t>
      </w:r>
      <w:r>
        <w:rPr/>
        <w:t>2010).</w:t>
      </w:r>
    </w:p>
    <w:p>
      <w:pPr>
        <w:pStyle w:val="BodyText"/>
        <w:spacing w:line="364" w:lineRule="auto"/>
        <w:ind w:left="115" w:right="121"/>
        <w:jc w:val="both"/>
      </w:pPr>
      <w:r>
        <w:rPr/>
        <w:t>Además de que reduce costos por alimentación ya que con su uso se puede disminuir el uso de granos debido al mayor aporte de energía que realizan los sustratos fibrosos en rumiantes (Rojo-Rubio et al., 2007; Bedford and Partridge, 2010).</w:t>
      </w:r>
    </w:p>
    <w:p>
      <w:pPr>
        <w:pStyle w:val="BodyText"/>
        <w:rPr>
          <w:sz w:val="22"/>
        </w:rPr>
      </w:pPr>
    </w:p>
    <w:p>
      <w:pPr>
        <w:pStyle w:val="BodyText"/>
        <w:spacing w:line="364" w:lineRule="auto" w:before="155"/>
        <w:ind w:left="115" w:right="118"/>
        <w:jc w:val="both"/>
      </w:pPr>
      <w:r>
        <w:rPr/>
        <w:t>Las enzimas exógenas más utilizadas en la alimentación de los rumiantes son las fibrolíticas (Yang et al., 2000). Esto debido a su hábitos alimenticios que se basan en el consumo de fibra la cual tiene altos contenidos de celulosa y hemicelulosa, polisacáridos estructurales de las plantas, por lo las celulasas y las hemicelulasas son enzimas exógenas básicas en la alimentación de rumiantes (Bhat, 2000, Bedford and Partridge, 2010). El uso de este tipo de enzimas en rumiantes  depende de su estabilidad en el alimento y en rumen, la habilidad de los componentes de la enzima para hidrolizar los polisacáridos de la pared celular y    de la habilidad del animal para utilizar eficientemente los productos de la reacción (Bhat,</w:t>
      </w:r>
      <w:r>
        <w:rPr>
          <w:spacing w:val="13"/>
        </w:rPr>
        <w:t> </w:t>
      </w:r>
      <w:r>
        <w:rPr/>
        <w:t>2000).</w:t>
      </w:r>
    </w:p>
    <w:p>
      <w:pPr>
        <w:pStyle w:val="BodyText"/>
        <w:rPr>
          <w:sz w:val="22"/>
        </w:rPr>
      </w:pPr>
    </w:p>
    <w:p>
      <w:pPr>
        <w:pStyle w:val="BodyText"/>
        <w:spacing w:line="364" w:lineRule="auto" w:before="153"/>
        <w:ind w:left="116" w:right="119"/>
        <w:jc w:val="both"/>
      </w:pPr>
      <w:r>
        <w:rPr/>
        <w:t>Endoglucanasa, exoglucanasa y β-glucosidasas hidrolizan celulosa,  mientras que el</w:t>
      </w:r>
      <w:r>
        <w:rPr>
          <w:spacing w:val="44"/>
        </w:rPr>
        <w:t> </w:t>
      </w:r>
      <w:r>
        <w:rPr/>
        <w:t>xilan</w:t>
      </w:r>
      <w:r>
        <w:rPr>
          <w:spacing w:val="41"/>
        </w:rPr>
        <w:t> </w:t>
      </w:r>
      <w:r>
        <w:rPr/>
        <w:t>componente</w:t>
      </w:r>
      <w:r>
        <w:rPr>
          <w:spacing w:val="43"/>
        </w:rPr>
        <w:t> </w:t>
      </w:r>
      <w:r>
        <w:rPr/>
        <w:t>principal</w:t>
      </w:r>
      <w:r>
        <w:rPr>
          <w:spacing w:val="44"/>
        </w:rPr>
        <w:t> </w:t>
      </w:r>
      <w:r>
        <w:rPr/>
        <w:t>de</w:t>
      </w:r>
      <w:r>
        <w:rPr>
          <w:spacing w:val="41"/>
        </w:rPr>
        <w:t> </w:t>
      </w:r>
      <w:r>
        <w:rPr/>
        <w:t>la</w:t>
      </w:r>
      <w:r>
        <w:rPr>
          <w:spacing w:val="43"/>
        </w:rPr>
        <w:t> </w:t>
      </w:r>
      <w:r>
        <w:rPr/>
        <w:t>hemicelulosa</w:t>
      </w:r>
      <w:r>
        <w:rPr>
          <w:spacing w:val="43"/>
        </w:rPr>
        <w:t> </w:t>
      </w:r>
      <w:r>
        <w:rPr/>
        <w:t>es</w:t>
      </w:r>
      <w:r>
        <w:rPr>
          <w:spacing w:val="43"/>
        </w:rPr>
        <w:t> </w:t>
      </w:r>
      <w:r>
        <w:rPr/>
        <w:t>hidrolizado</w:t>
      </w:r>
      <w:r>
        <w:rPr>
          <w:spacing w:val="41"/>
        </w:rPr>
        <w:t> </w:t>
      </w:r>
      <w:r>
        <w:rPr/>
        <w:t>por</w:t>
      </w:r>
      <w:r>
        <w:rPr>
          <w:spacing w:val="45"/>
        </w:rPr>
        <w:t> </w:t>
      </w:r>
      <w:r>
        <w:rPr/>
        <w:t>endo</w:t>
      </w:r>
      <w:r>
        <w:rPr>
          <w:spacing w:val="40"/>
        </w:rPr>
        <w:t> </w:t>
      </w:r>
      <w:r>
        <w:rPr/>
        <w:t>β-</w:t>
      </w:r>
      <w:r>
        <w:rPr>
          <w:spacing w:val="43"/>
        </w:rPr>
        <w:t> </w:t>
      </w:r>
      <w:r>
        <w:rPr/>
        <w:t>1,4</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99"/>
        <w:jc w:val="both"/>
      </w:pPr>
      <w:r>
        <w:rPr/>
        <w:t>xilanasa (xilan) y β- 1,4- xilosidasa (xilosa) (Bedford and Partridge, 2010). Aunque también se incluyen en los complejos enzimáticos para rumiantes proteasas y α- amilasa ya que se ha observado que las proteasas tiene la capacidad de atacar algunos componentes de la pared celular que actúan como barreras físicas para la degradación de la fibra, mientras que las amilasas degradan el  almidón presente  en los granos (Bedford and Partridge,</w:t>
      </w:r>
      <w:r>
        <w:rPr>
          <w:spacing w:val="53"/>
        </w:rPr>
        <w:t> </w:t>
      </w:r>
      <w:r>
        <w:rPr/>
        <w:t>2010).</w:t>
      </w:r>
    </w:p>
    <w:p>
      <w:pPr>
        <w:pStyle w:val="BodyText"/>
        <w:rPr>
          <w:sz w:val="22"/>
        </w:rPr>
      </w:pPr>
    </w:p>
    <w:p>
      <w:pPr>
        <w:pStyle w:val="BodyText"/>
        <w:spacing w:line="364" w:lineRule="auto" w:before="155"/>
        <w:ind w:left="115" w:right="99"/>
        <w:jc w:val="both"/>
      </w:pPr>
      <w:r>
        <w:rPr/>
        <w:t>Las investigaciones relacionadas con del uso de este tipo de enzimas  en  rumiantes se han centrado en mejorar la digestibilidad de la fibra para favorecer el consumo de energía digestible consumida por el animal, lo cual disminuye la cantidad de alimento requerido para ganar un kilo de carne o para producir un kg  de leche, además de favorecer el rendimiento de los animales aumentando la ganancia de peso o la producción de leche por día, lo que a su vez abarata los costos de producción (Bedford and Partridge,</w:t>
      </w:r>
      <w:r>
        <w:rPr>
          <w:spacing w:val="59"/>
        </w:rPr>
        <w:t> </w:t>
      </w:r>
      <w:r>
        <w:rPr/>
        <w:t>2010).</w:t>
      </w:r>
    </w:p>
    <w:p>
      <w:pPr>
        <w:pStyle w:val="BodyText"/>
        <w:rPr>
          <w:sz w:val="22"/>
        </w:rPr>
      </w:pPr>
    </w:p>
    <w:p>
      <w:pPr>
        <w:pStyle w:val="BodyText"/>
        <w:spacing w:line="364" w:lineRule="auto" w:before="155"/>
        <w:ind w:left="115" w:right="99"/>
        <w:jc w:val="both"/>
      </w:pPr>
      <w:r>
        <w:rPr/>
        <w:t>El modo en el cual actúan las enzimas exógenas a nivel de rumen es un poco incierto pero se considera que al ser adicionadas a la dieta permiten una mejor unión al sustrato, incrementan la colonización microbiana del alimento ya que actúan de forma sinérgica con las enzimas de origen microbiano en el rumen, aumentan la resistencia de estas enzimas a proteólisis ruminal microbial, prolonga  el tiempo de vida media en el rumen e incrementa la síntesis de  proteína  microbiana en el rumen (Yang et al., 2000; Bedford and Partridge, 2010; Salem et al., 2013</w:t>
      </w:r>
      <w:r>
        <w:rPr>
          <w:spacing w:val="9"/>
        </w:rPr>
        <w:t> </w:t>
      </w:r>
      <w:r>
        <w:rPr/>
        <w:t>).</w:t>
      </w:r>
    </w:p>
    <w:p>
      <w:pPr>
        <w:pStyle w:val="BodyText"/>
        <w:rPr>
          <w:sz w:val="22"/>
        </w:rPr>
      </w:pPr>
    </w:p>
    <w:p>
      <w:pPr>
        <w:pStyle w:val="BodyText"/>
        <w:spacing w:line="364" w:lineRule="auto" w:before="150"/>
        <w:ind w:left="115" w:right="99"/>
        <w:jc w:val="both"/>
      </w:pPr>
      <w:r>
        <w:rPr/>
        <w:t>Generalmente las enzimas exógenas fibrolíticas que se utilizan en los  rumiantes son producto de la fermentación ruminal por lo que son muy estables a pH (5.5 – 6.8) y temperatura ruminal (39±1ºC), dichas enzimas se sintetizan a partir de hongos y bacterias ruminales, pero a diferencia de los extractos de la fermentación ruminal estos productos enzimáticos son más concentrados y purificados, proveen una actividad enzimática controlada además de no contener células vivas (Pinos- Rodrıguez et al., 2002; Beauchemin et al., 1995; Bedford and Partridge, </w:t>
      </w:r>
      <w:r>
        <w:rPr>
          <w:spacing w:val="22"/>
        </w:rPr>
        <w:t> </w:t>
      </w:r>
      <w:r>
        <w:rPr/>
        <w:t>2010).</w:t>
      </w:r>
    </w:p>
    <w:p>
      <w:pPr>
        <w:spacing w:after="0" w:line="364" w:lineRule="auto"/>
        <w:jc w:val="both"/>
        <w:sectPr>
          <w:pgSz w:w="11900" w:h="16840"/>
          <w:pgMar w:header="0" w:footer="1679" w:top="1600" w:bottom="1860" w:left="1540" w:right="1540"/>
        </w:sectPr>
      </w:pPr>
    </w:p>
    <w:p>
      <w:pPr>
        <w:pStyle w:val="BodyText"/>
        <w:rPr>
          <w:sz w:val="20"/>
        </w:rPr>
      </w:pPr>
    </w:p>
    <w:p>
      <w:pPr>
        <w:pStyle w:val="BodyText"/>
        <w:spacing w:before="10"/>
        <w:rPr>
          <w:sz w:val="16"/>
        </w:rPr>
      </w:pPr>
    </w:p>
    <w:p>
      <w:pPr>
        <w:pStyle w:val="BodyText"/>
        <w:spacing w:line="364" w:lineRule="auto" w:before="74"/>
        <w:ind w:left="115" w:right="118"/>
        <w:jc w:val="both"/>
      </w:pPr>
      <w:r>
        <w:rPr/>
        <w:t>Existen múltiples estudios en los cuales se ha demostrado que el uso de enzimas exógenas en la nutrición de rumiantes favorece el consumo de materia seca, la digestibilidad </w:t>
      </w:r>
      <w:r>
        <w:rPr>
          <w:i/>
        </w:rPr>
        <w:t>in vitro </w:t>
      </w:r>
      <w:r>
        <w:rPr/>
        <w:t>de la fibra (Lewis et al., 1996; Pinos-Rodrıguez et al., 2002; Salem et al., 2013), la ganancia diaria de peso, la producción de leche  (Beauchemin et al., 1995; Arriola et al., 2011;Baal et al., 2005), aunque  la  presencia de estos efectos depende del tipo de enzima utilizada y de su actividad, de su origen, del tipo de animal </w:t>
      </w:r>
      <w:r>
        <w:rPr>
          <w:spacing w:val="-4"/>
        </w:rPr>
        <w:t>ya </w:t>
      </w:r>
      <w:r>
        <w:rPr/>
        <w:t>que hay efectos que solo se han observado en bovinos pero no en borregos, de la etapa productiva del animal, método de suplementación, entre otros. (Bedford and Partridge, 2010; Arriola et al., 2011; Salem et al.,</w:t>
      </w:r>
      <w:r>
        <w:rPr>
          <w:spacing w:val="20"/>
        </w:rPr>
        <w:t> </w:t>
      </w:r>
      <w:r>
        <w:rPr/>
        <w:t>2013).</w:t>
      </w:r>
    </w:p>
    <w:p>
      <w:pPr>
        <w:pStyle w:val="BodyText"/>
        <w:rPr>
          <w:sz w:val="22"/>
        </w:rPr>
      </w:pPr>
    </w:p>
    <w:p>
      <w:pPr>
        <w:pStyle w:val="BodyText"/>
        <w:spacing w:line="364" w:lineRule="auto" w:before="155"/>
        <w:ind w:left="115" w:right="117"/>
        <w:jc w:val="both"/>
      </w:pPr>
      <w:r>
        <w:rPr/>
        <w:t>En un estudio realizado por Feng et al. (1996) se demostró que el uso de enzimas exógenas fibrolíticas favorece la degradación ruminal de los forrajes (Feng et al., 1996). En ganado productor de leche se observó un incremento en la producción, esto debido al mejor aprovechamiento de la energía proveniente de la fibra potencialmente degradable en rumen, es posible reducir la cantidad de granos incorporados  a la dieta de este tipo de animales, efecto que no se ha observado   en el ganado productor de carne debido a la alta proporción de granos y la baja proporción de fibra presente en la dieta (Beauchemin et al., 1995; Lewis et al.,  1996; Shekhar et al.,</w:t>
      </w:r>
      <w:r>
        <w:rPr>
          <w:spacing w:val="27"/>
        </w:rPr>
        <w:t> </w:t>
      </w:r>
      <w:r>
        <w:rPr/>
        <w:t>2010).</w:t>
      </w:r>
    </w:p>
    <w:p>
      <w:pPr>
        <w:pStyle w:val="BodyText"/>
        <w:rPr>
          <w:sz w:val="22"/>
        </w:rPr>
      </w:pPr>
    </w:p>
    <w:p>
      <w:pPr>
        <w:pStyle w:val="BodyText"/>
        <w:spacing w:line="364" w:lineRule="auto" w:before="155"/>
        <w:ind w:left="115" w:right="117"/>
        <w:jc w:val="both"/>
      </w:pPr>
      <w:r>
        <w:rPr/>
        <w:t>Por otro lado, El- Adawy et al. (2008) demostraron que al adicionar ZADO®, complejo enzimático a base de celulasas (7.1 unit/g), xilanasas (2.3 unit/g), α amilasa (61.5 unit/g) y proteasas (29.2 unit/g) de origen bacteriano, a hojas de cuatro especies forrajeras como</w:t>
      </w:r>
      <w:r>
        <w:rPr>
          <w:i/>
        </w:rPr>
        <w:t>Acacia saligna, Atriplex halimus, Lucena </w:t>
      </w:r>
      <w:r>
        <w:rPr>
          <w:i/>
        </w:rPr>
        <w:t>leucocephala y Eucalyptus camaldulensis </w:t>
      </w:r>
      <w:r>
        <w:rPr/>
        <w:t>se mejora la producción de gas </w:t>
      </w:r>
      <w:r>
        <w:rPr>
          <w:i/>
        </w:rPr>
        <w:t>in </w:t>
      </w:r>
      <w:r>
        <w:rPr>
          <w:i/>
        </w:rPr>
        <w:t>vitro</w:t>
      </w:r>
      <w:r>
        <w:rPr/>
        <w:t>.Este producto ejerció un efecto positivo sobre la degradación de los  metabolitos secundarios presentes en las hojas de los árboles en estudios realizados en conejos (El-Adawy et al., 2008;   Salem et al., 2011a; 2011b).  </w:t>
      </w:r>
      <w:r>
        <w:rPr>
          <w:spacing w:val="53"/>
        </w:rPr>
        <w:t> </w:t>
      </w:r>
      <w:r>
        <w:rPr/>
        <w:t>ZADO</w:t>
      </w:r>
    </w:p>
    <w:p>
      <w:pPr>
        <w:pStyle w:val="BodyText"/>
        <w:spacing w:before="5"/>
        <w:ind w:left="116"/>
        <w:jc w:val="both"/>
      </w:pPr>
      <w:r>
        <w:rPr/>
        <w:t>®  ejerce  un  efecto  positivo  al  ser  utilizado  en  rumiantes  ya  que  favorece    la</w:t>
      </w:r>
    </w:p>
    <w:p>
      <w:pPr>
        <w:spacing w:after="0"/>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6" w:right="122"/>
        <w:jc w:val="both"/>
      </w:pPr>
      <w:r>
        <w:rPr/>
        <w:t>utilización de nutrientes en forrajes de baja calidad </w:t>
      </w:r>
      <w:r>
        <w:rPr>
          <w:i/>
        </w:rPr>
        <w:t>in vivo </w:t>
      </w:r>
      <w:r>
        <w:rPr/>
        <w:t>e </w:t>
      </w:r>
      <w:r>
        <w:rPr>
          <w:i/>
        </w:rPr>
        <w:t>in vitro </w:t>
      </w:r>
      <w:r>
        <w:rPr/>
        <w:t>(El-Adawy et  al.,</w:t>
      </w:r>
      <w:r>
        <w:rPr>
          <w:spacing w:val="8"/>
        </w:rPr>
        <w:t> </w:t>
      </w:r>
      <w:r>
        <w:rPr/>
        <w:t>2008).</w:t>
      </w:r>
    </w:p>
    <w:p>
      <w:pPr>
        <w:pStyle w:val="BodyText"/>
        <w:rPr>
          <w:sz w:val="22"/>
        </w:rPr>
      </w:pPr>
    </w:p>
    <w:p>
      <w:pPr>
        <w:pStyle w:val="BodyText"/>
        <w:spacing w:line="364" w:lineRule="auto" w:before="155"/>
        <w:ind w:left="116" w:right="116"/>
        <w:jc w:val="both"/>
      </w:pPr>
      <w:r>
        <w:rPr/>
        <w:t>Gado et al. (2011) al adicionar ZADO® (5g/kg) a ensilado pulpa de naranja y proporcionárselo a corderos en crecimiento y evaluar su efecto sobre la digestión y algunos parámetros de crecimiento observo que aquellos corderos que  consumieron ensilado de pulpa de naranja tratado con enzimas se favoreció la producción ácidos grasos volátiles, el consumo voluntario, digestibilidad de la materia seca, y la ganancia de peso (Gado et al.,</w:t>
      </w:r>
      <w:r>
        <w:rPr>
          <w:spacing w:val="63"/>
        </w:rPr>
        <w:t> </w:t>
      </w:r>
      <w:r>
        <w:rPr/>
        <w:t>2011).</w:t>
      </w:r>
    </w:p>
    <w:p>
      <w:pPr>
        <w:pStyle w:val="BodyText"/>
        <w:rPr>
          <w:sz w:val="22"/>
        </w:rPr>
      </w:pPr>
    </w:p>
    <w:p>
      <w:pPr>
        <w:pStyle w:val="BodyText"/>
        <w:spacing w:line="364" w:lineRule="auto" w:before="155"/>
        <w:ind w:left="116" w:right="118"/>
        <w:jc w:val="both"/>
      </w:pPr>
      <w:r>
        <w:rPr/>
        <w:t>Salem et al. (2011) administraron ZADO® (10 g/animal/día) a  corderos  y cabras con la finalidad de estimar el efecto que esta enzima sobre la digestibilidad de los nutrientes y el comportamiento productivo de los animales. Estos autores concluyeron que en aquellos animales que consumieron enzimas exógenas, la digestibilidad de los nutrientes se incrementó más en las cabras que en los ovinos, además de que estas presentaron el consumo más bajo de materia seca, que estuvo asociado con el incremento en la digestibilidad y en la ganancia diaria de peso. Se puede comentar que las cabras son más eficientes en el uso de enzimas exógenas fibrolíticas que los borregos, adicionalmente observó que al usar esta dosis de enzimas no producía efectos detrimentales en la salud de los animales (Salem et al., 2011a).</w:t>
      </w:r>
    </w:p>
    <w:p>
      <w:pPr>
        <w:pStyle w:val="BodyText"/>
        <w:rPr>
          <w:sz w:val="22"/>
        </w:rPr>
      </w:pPr>
    </w:p>
    <w:p>
      <w:pPr>
        <w:pStyle w:val="BodyText"/>
        <w:spacing w:line="364" w:lineRule="auto" w:before="155"/>
        <w:ind w:left="116" w:right="117"/>
        <w:jc w:val="both"/>
      </w:pPr>
      <w:r>
        <w:rPr/>
        <w:t>En 2013, se realizó un experimento con la misma enzima en ganado productor de carne a una dosis de 40g/animal/día y se observóun incremento  en  la  digestibilidad de la FDN, FDA, la concentración de amoniaco en rumen y de acidos grasos de cadena corta lo que favorecio la ganancia de peso en los animales que fueron dosificados (Salem et al., 2013). Arriola et al. (2011) demostró que al utilizar enzimas exógenas (Dyadic International Inc. Jupiter, FL.) en vacas lactantes que consumieron dietas bajas en concentrado (33% materia seca de la dieta)  asperjadas con una dosis de 3.4 mg enzima/g MS de TMR se disminuyó la producción de metano, favoreció la concentración   </w:t>
      </w:r>
      <w:r>
        <w:rPr>
          <w:spacing w:val="33"/>
        </w:rPr>
        <w:t> </w:t>
      </w:r>
      <w:r>
        <w:rPr/>
        <w:t>de ácidos grasos volátiles en el</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17"/>
        <w:jc w:val="both"/>
      </w:pPr>
      <w:r>
        <w:rPr/>
        <w:t>rumen, digestibilidad de la materia seca, proteína cruda, fibra neutro detergente, fibra acido detergente y la eficiencia en la producción de leche  (Arriola  et  al., 2011).</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Heading1"/>
        <w:spacing w:before="74"/>
        <w:ind w:left="3316" w:right="3324"/>
        <w:jc w:val="center"/>
      </w:pPr>
      <w:bookmarkStart w:name="_TOC_250028" w:id="12"/>
      <w:bookmarkEnd w:id="12"/>
      <w:r>
        <w:rPr/>
        <w:t>III.- JUSTIFICACIÓN</w:t>
      </w:r>
    </w:p>
    <w:p>
      <w:pPr>
        <w:pStyle w:val="BodyText"/>
        <w:rPr>
          <w:b/>
          <w:sz w:val="22"/>
        </w:rPr>
      </w:pPr>
    </w:p>
    <w:p>
      <w:pPr>
        <w:pStyle w:val="BodyText"/>
        <w:spacing w:line="364" w:lineRule="auto" w:before="197"/>
        <w:ind w:left="115" w:right="118"/>
        <w:jc w:val="both"/>
      </w:pPr>
      <w:r>
        <w:rPr/>
        <w:t>Las repercusiones del uso de aditivos alimenticios como las enzimas exógenas y   el extracto de </w:t>
      </w:r>
      <w:r>
        <w:rPr>
          <w:i/>
        </w:rPr>
        <w:t>Salix babylonica </w:t>
      </w:r>
      <w:r>
        <w:rPr/>
        <w:t>sobre la salud de animal asi como su acción directa e indirecta sobre la respuesta inmune no han sido </w:t>
      </w:r>
      <w:r>
        <w:rPr>
          <w:spacing w:val="10"/>
        </w:rPr>
        <w:t> </w:t>
      </w:r>
      <w:r>
        <w:rPr/>
        <w:t>determinadas.</w:t>
      </w:r>
    </w:p>
    <w:p>
      <w:pPr>
        <w:pStyle w:val="BodyText"/>
        <w:rPr>
          <w:sz w:val="22"/>
        </w:rPr>
      </w:pPr>
    </w:p>
    <w:p>
      <w:pPr>
        <w:pStyle w:val="BodyText"/>
        <w:spacing w:line="364" w:lineRule="auto" w:before="153"/>
        <w:ind w:left="115" w:right="119"/>
        <w:jc w:val="both"/>
      </w:pPr>
      <w:r>
        <w:rPr/>
        <w:t>Sin embargo hay una cantidad considerable de estudios que sugieren que los metabolitos secundarios presentes en el extracto de </w:t>
      </w:r>
      <w:r>
        <w:rPr>
          <w:i/>
        </w:rPr>
        <w:t>Salix babylonica </w:t>
      </w:r>
      <w:r>
        <w:rPr/>
        <w:t>pueden producir efectos negativos sobre la salud de los animales e incluso la muerte, por otro lado se ha demostrado que estos mismos metabolitos a dosis optimas ejercen una acción inmunomoduladora directa e</w:t>
      </w:r>
      <w:r>
        <w:rPr>
          <w:spacing w:val="52"/>
        </w:rPr>
        <w:t> </w:t>
      </w:r>
      <w:r>
        <w:rPr/>
        <w:t>indirecta.</w:t>
      </w:r>
    </w:p>
    <w:p>
      <w:pPr>
        <w:pStyle w:val="BodyText"/>
        <w:rPr>
          <w:sz w:val="22"/>
        </w:rPr>
      </w:pPr>
    </w:p>
    <w:p>
      <w:pPr>
        <w:pStyle w:val="BodyText"/>
        <w:spacing w:line="364" w:lineRule="auto" w:before="155"/>
        <w:ind w:left="116" w:right="117"/>
        <w:jc w:val="both"/>
      </w:pPr>
      <w:r>
        <w:rPr/>
        <w:t>En lo referente al uso de enzimas exógenas en la nutrición de rumiantes, se ha supuesto que son inocuas y que no causan alteraciones en la salud de  los  animales que las consumen sin que esto haya sido demostrado, además el efecto que de forma indirecta este aditivo alimenticio puede tener sobre el  sistema  inmune tampoco ha sido</w:t>
      </w:r>
      <w:r>
        <w:rPr>
          <w:spacing w:val="42"/>
        </w:rPr>
        <w:t> </w:t>
      </w:r>
      <w:r>
        <w:rPr/>
        <w:t>documentado.</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Heading1"/>
        <w:spacing w:before="74"/>
        <w:ind w:left="3316" w:right="3323"/>
        <w:jc w:val="center"/>
      </w:pPr>
      <w:bookmarkStart w:name="_TOC_250027" w:id="13"/>
      <w:bookmarkEnd w:id="13"/>
      <w:r>
        <w:rPr/>
        <w:t>IV.- HIPÓTESIS</w:t>
      </w:r>
    </w:p>
    <w:p>
      <w:pPr>
        <w:pStyle w:val="BodyText"/>
        <w:rPr>
          <w:b/>
          <w:sz w:val="22"/>
        </w:rPr>
      </w:pPr>
    </w:p>
    <w:p>
      <w:pPr>
        <w:pStyle w:val="BodyText"/>
        <w:spacing w:line="364" w:lineRule="auto" w:before="195"/>
        <w:ind w:left="116" w:right="117"/>
        <w:jc w:val="both"/>
      </w:pPr>
      <w:r>
        <w:rPr/>
        <w:t>El uso de enzimas exógenas y extracto de </w:t>
      </w:r>
      <w:r>
        <w:rPr>
          <w:i/>
        </w:rPr>
        <w:t>Salix babylonica </w:t>
      </w:r>
      <w:r>
        <w:rPr/>
        <w:t>como aditivos alimenticios en las dietas de corderos en crecimiento produce efectos positivos a nivel hematológico, inmunológico y</w:t>
      </w:r>
      <w:r>
        <w:rPr>
          <w:spacing w:val="51"/>
        </w:rPr>
        <w:t> </w:t>
      </w:r>
      <w:r>
        <w:rPr/>
        <w:t>productivo.</w:t>
      </w:r>
    </w:p>
    <w:p>
      <w:pPr>
        <w:pStyle w:val="BodyText"/>
        <w:rPr>
          <w:sz w:val="22"/>
        </w:rPr>
      </w:pPr>
    </w:p>
    <w:p>
      <w:pPr>
        <w:pStyle w:val="BodyText"/>
        <w:spacing w:line="364" w:lineRule="auto" w:before="153"/>
        <w:ind w:left="116" w:right="118"/>
        <w:jc w:val="both"/>
        <w:rPr>
          <w:b/>
        </w:rPr>
      </w:pPr>
      <w:r>
        <w:rPr/>
        <w:t>Es posible que exista una correlación entre la respuesta productiva y la respuesta inmune celular en corderos que consumen enzimas exógenas y extracto de </w:t>
      </w:r>
      <w:r>
        <w:rPr>
          <w:i/>
        </w:rPr>
        <w:t>Salix </w:t>
      </w:r>
      <w:r>
        <w:rPr>
          <w:i/>
        </w:rPr>
        <w:t>babylonica </w:t>
      </w:r>
      <w:r>
        <w:rPr/>
        <w:t>como aditivos alimenticios</w:t>
      </w:r>
      <w:r>
        <w:rPr>
          <w:b/>
        </w:rPr>
        <w:t>.</w:t>
      </w:r>
    </w:p>
    <w:p>
      <w:pPr>
        <w:spacing w:after="0" w:line="364" w:lineRule="auto"/>
        <w:jc w:val="both"/>
        <w:sectPr>
          <w:pgSz w:w="11900" w:h="16840"/>
          <w:pgMar w:header="0" w:footer="1679" w:top="1600" w:bottom="1860" w:left="1540" w:right="1520"/>
        </w:sectPr>
      </w:pPr>
    </w:p>
    <w:p>
      <w:pPr>
        <w:pStyle w:val="BodyText"/>
        <w:rPr>
          <w:b/>
          <w:sz w:val="20"/>
        </w:rPr>
      </w:pPr>
    </w:p>
    <w:p>
      <w:pPr>
        <w:pStyle w:val="BodyText"/>
        <w:spacing w:before="5"/>
        <w:rPr>
          <w:b/>
          <w:sz w:val="16"/>
        </w:rPr>
      </w:pPr>
    </w:p>
    <w:p>
      <w:pPr>
        <w:pStyle w:val="Heading1"/>
        <w:spacing w:before="74"/>
        <w:ind w:left="301" w:right="291"/>
        <w:jc w:val="center"/>
      </w:pPr>
      <w:bookmarkStart w:name="_TOC_250026" w:id="14"/>
      <w:bookmarkEnd w:id="14"/>
      <w:r>
        <w:rPr/>
        <w:t>V.-OBJETIVOS</w:t>
      </w:r>
    </w:p>
    <w:p>
      <w:pPr>
        <w:pStyle w:val="BodyText"/>
        <w:rPr>
          <w:b/>
          <w:sz w:val="20"/>
        </w:rPr>
      </w:pPr>
    </w:p>
    <w:p>
      <w:pPr>
        <w:pStyle w:val="BodyText"/>
        <w:spacing w:before="5"/>
        <w:rPr>
          <w:b/>
          <w:sz w:val="29"/>
        </w:rPr>
      </w:pPr>
    </w:p>
    <w:p>
      <w:pPr>
        <w:pStyle w:val="Heading1"/>
        <w:numPr>
          <w:ilvl w:val="1"/>
          <w:numId w:val="9"/>
        </w:numPr>
        <w:tabs>
          <w:tab w:pos="570" w:val="left" w:leader="none"/>
        </w:tabs>
        <w:spacing w:line="240" w:lineRule="auto" w:before="74" w:after="0"/>
        <w:ind w:left="569" w:right="0" w:hanging="453"/>
        <w:jc w:val="both"/>
      </w:pPr>
      <w:bookmarkStart w:name="_TOC_250025" w:id="15"/>
      <w:bookmarkEnd w:id="15"/>
      <w:r>
        <w:rPr/>
        <w:t>GENERAL</w:t>
      </w:r>
    </w:p>
    <w:p>
      <w:pPr>
        <w:pStyle w:val="BodyText"/>
        <w:rPr>
          <w:b/>
          <w:sz w:val="22"/>
        </w:rPr>
      </w:pPr>
    </w:p>
    <w:p>
      <w:pPr>
        <w:pStyle w:val="BodyText"/>
        <w:spacing w:line="367" w:lineRule="auto" w:before="195"/>
        <w:ind w:left="116" w:right="99"/>
        <w:jc w:val="both"/>
      </w:pPr>
      <w:r>
        <w:rPr/>
        <w:t>Evaluar el efecto de las enzimas exógenas y el extracto de  </w:t>
      </w:r>
      <w:r>
        <w:rPr>
          <w:i/>
        </w:rPr>
        <w:t>Salix  babylonica  </w:t>
      </w:r>
      <w:r>
        <w:rPr/>
        <w:t>usados como aditivos alimenticios sobre parámetros hematológicos e  inmunológicos y determinar la correlación respuesta productiva-respuesta inmune celular en  corderos en</w:t>
      </w:r>
      <w:r>
        <w:rPr>
          <w:spacing w:val="40"/>
        </w:rPr>
        <w:t> </w:t>
      </w:r>
      <w:r>
        <w:rPr/>
        <w:t>crecimiento.</w:t>
      </w:r>
    </w:p>
    <w:p>
      <w:pPr>
        <w:pStyle w:val="BodyText"/>
        <w:rPr>
          <w:sz w:val="22"/>
        </w:rPr>
      </w:pPr>
    </w:p>
    <w:p>
      <w:pPr>
        <w:pStyle w:val="BodyText"/>
        <w:spacing w:before="3"/>
        <w:rPr>
          <w:sz w:val="18"/>
        </w:rPr>
      </w:pPr>
    </w:p>
    <w:p>
      <w:pPr>
        <w:pStyle w:val="Heading1"/>
        <w:numPr>
          <w:ilvl w:val="1"/>
          <w:numId w:val="9"/>
        </w:numPr>
        <w:tabs>
          <w:tab w:pos="570" w:val="left" w:leader="none"/>
        </w:tabs>
        <w:spacing w:line="240" w:lineRule="auto" w:before="0" w:after="0"/>
        <w:ind w:left="569" w:right="0" w:hanging="453"/>
        <w:jc w:val="both"/>
      </w:pPr>
      <w:bookmarkStart w:name="_TOC_250024" w:id="16"/>
      <w:bookmarkEnd w:id="16"/>
      <w:r>
        <w:rPr/>
        <w:t>ESPECÍFICOS</w:t>
      </w:r>
    </w:p>
    <w:p>
      <w:pPr>
        <w:pStyle w:val="BodyText"/>
        <w:rPr>
          <w:b/>
          <w:sz w:val="22"/>
        </w:rPr>
      </w:pPr>
    </w:p>
    <w:p>
      <w:pPr>
        <w:pStyle w:val="BodyText"/>
        <w:spacing w:before="7"/>
        <w:rPr>
          <w:b/>
          <w:sz w:val="25"/>
        </w:rPr>
      </w:pPr>
    </w:p>
    <w:p>
      <w:pPr>
        <w:pStyle w:val="ListParagraph"/>
        <w:numPr>
          <w:ilvl w:val="2"/>
          <w:numId w:val="9"/>
        </w:numPr>
        <w:tabs>
          <w:tab w:pos="816" w:val="left" w:leader="none"/>
          <w:tab w:pos="817" w:val="left" w:leader="none"/>
        </w:tabs>
        <w:spacing w:line="240" w:lineRule="auto" w:before="0" w:after="0"/>
        <w:ind w:left="816" w:right="0" w:hanging="350"/>
        <w:jc w:val="left"/>
        <w:rPr>
          <w:i/>
          <w:sz w:val="23"/>
        </w:rPr>
      </w:pPr>
      <w:r>
        <w:rPr>
          <w:sz w:val="23"/>
        </w:rPr>
        <w:t>Evaluar el efecto de las enzimas exógenas y el extracto de </w:t>
      </w:r>
      <w:r>
        <w:rPr>
          <w:i/>
          <w:sz w:val="23"/>
        </w:rPr>
        <w:t>Salix  </w:t>
      </w:r>
      <w:r>
        <w:rPr>
          <w:i/>
          <w:spacing w:val="14"/>
          <w:sz w:val="23"/>
        </w:rPr>
        <w:t> </w:t>
      </w:r>
      <w:r>
        <w:rPr>
          <w:i/>
          <w:sz w:val="23"/>
        </w:rPr>
        <w:t>babylonica</w:t>
      </w:r>
    </w:p>
    <w:p>
      <w:pPr>
        <w:pStyle w:val="BodyText"/>
        <w:spacing w:before="139"/>
        <w:ind w:left="816"/>
      </w:pPr>
      <w:r>
        <w:rPr/>
        <w:t>sobre parámetros hematológicos de coderos en  crecimiento.</w:t>
      </w:r>
    </w:p>
    <w:p>
      <w:pPr>
        <w:pStyle w:val="ListParagraph"/>
        <w:numPr>
          <w:ilvl w:val="2"/>
          <w:numId w:val="9"/>
        </w:numPr>
        <w:tabs>
          <w:tab w:pos="816" w:val="left" w:leader="none"/>
          <w:tab w:pos="817" w:val="left" w:leader="none"/>
        </w:tabs>
        <w:spacing w:line="240" w:lineRule="auto" w:before="135" w:after="0"/>
        <w:ind w:left="816" w:right="0" w:hanging="350"/>
        <w:jc w:val="left"/>
        <w:rPr>
          <w:i/>
          <w:sz w:val="23"/>
        </w:rPr>
      </w:pPr>
      <w:r>
        <w:rPr>
          <w:sz w:val="23"/>
        </w:rPr>
        <w:t>Evaluar el efecto de las enzimas exógenas y el extracto de </w:t>
      </w:r>
      <w:r>
        <w:rPr>
          <w:i/>
          <w:sz w:val="23"/>
        </w:rPr>
        <w:t>Salix  </w:t>
      </w:r>
      <w:r>
        <w:rPr>
          <w:i/>
          <w:spacing w:val="14"/>
          <w:sz w:val="23"/>
        </w:rPr>
        <w:t> </w:t>
      </w:r>
      <w:r>
        <w:rPr>
          <w:i/>
          <w:sz w:val="23"/>
        </w:rPr>
        <w:t>babylonica</w:t>
      </w:r>
    </w:p>
    <w:p>
      <w:pPr>
        <w:pStyle w:val="BodyText"/>
        <w:spacing w:before="139"/>
        <w:ind w:left="816"/>
      </w:pPr>
      <w:r>
        <w:rPr/>
        <w:t>sobre la respuesta inmune celular de corderos en  crecimiento.</w:t>
      </w:r>
    </w:p>
    <w:p>
      <w:pPr>
        <w:pStyle w:val="ListParagraph"/>
        <w:numPr>
          <w:ilvl w:val="2"/>
          <w:numId w:val="9"/>
        </w:numPr>
        <w:tabs>
          <w:tab w:pos="816" w:val="left" w:leader="none"/>
          <w:tab w:pos="817" w:val="left" w:leader="none"/>
        </w:tabs>
        <w:spacing w:line="240" w:lineRule="auto" w:before="135" w:after="0"/>
        <w:ind w:left="816" w:right="0" w:hanging="350"/>
        <w:jc w:val="left"/>
        <w:rPr>
          <w:i/>
          <w:sz w:val="23"/>
        </w:rPr>
      </w:pPr>
      <w:r>
        <w:rPr>
          <w:sz w:val="23"/>
        </w:rPr>
        <w:t>Evaluar el efecto de las enzimas exógenas y el extracto de </w:t>
      </w:r>
      <w:r>
        <w:rPr>
          <w:i/>
          <w:sz w:val="23"/>
        </w:rPr>
        <w:t>Salix  </w:t>
      </w:r>
      <w:r>
        <w:rPr>
          <w:i/>
          <w:spacing w:val="14"/>
          <w:sz w:val="23"/>
        </w:rPr>
        <w:t> </w:t>
      </w:r>
      <w:r>
        <w:rPr>
          <w:i/>
          <w:sz w:val="23"/>
        </w:rPr>
        <w:t>babylonica</w:t>
      </w:r>
    </w:p>
    <w:p>
      <w:pPr>
        <w:pStyle w:val="BodyText"/>
        <w:spacing w:before="139"/>
        <w:ind w:left="307" w:right="30"/>
        <w:jc w:val="center"/>
      </w:pPr>
      <w:r>
        <w:rPr/>
        <w:t>sobre la ganancia diaria de peso y consumo alimenticio de los  corderos.</w:t>
      </w:r>
    </w:p>
    <w:p>
      <w:pPr>
        <w:pStyle w:val="ListParagraph"/>
        <w:numPr>
          <w:ilvl w:val="2"/>
          <w:numId w:val="9"/>
        </w:numPr>
        <w:tabs>
          <w:tab w:pos="816" w:val="left" w:leader="none"/>
          <w:tab w:pos="817" w:val="left" w:leader="none"/>
        </w:tabs>
        <w:spacing w:line="355" w:lineRule="auto" w:before="140" w:after="0"/>
        <w:ind w:left="816" w:right="102" w:hanging="350"/>
        <w:jc w:val="left"/>
        <w:rPr>
          <w:sz w:val="23"/>
        </w:rPr>
      </w:pPr>
      <w:r>
        <w:rPr>
          <w:sz w:val="23"/>
        </w:rPr>
        <w:t>Estimarla correlación entre la ganancia diaria de peso y la  respuesta  inmune celular en corderos en</w:t>
      </w:r>
      <w:r>
        <w:rPr>
          <w:spacing w:val="47"/>
          <w:sz w:val="23"/>
        </w:rPr>
        <w:t> </w:t>
      </w:r>
      <w:r>
        <w:rPr>
          <w:sz w:val="23"/>
        </w:rPr>
        <w:t>crecimiento.</w:t>
      </w:r>
    </w:p>
    <w:p>
      <w:pPr>
        <w:pStyle w:val="ListParagraph"/>
        <w:numPr>
          <w:ilvl w:val="2"/>
          <w:numId w:val="9"/>
        </w:numPr>
        <w:tabs>
          <w:tab w:pos="816" w:val="left" w:leader="none"/>
          <w:tab w:pos="817" w:val="left" w:leader="none"/>
        </w:tabs>
        <w:spacing w:line="355" w:lineRule="auto" w:before="19" w:after="0"/>
        <w:ind w:left="816" w:right="101" w:hanging="350"/>
        <w:jc w:val="left"/>
        <w:rPr>
          <w:sz w:val="23"/>
        </w:rPr>
      </w:pPr>
      <w:r>
        <w:rPr>
          <w:sz w:val="23"/>
        </w:rPr>
        <w:t>Identificar si la especie (ovinos o caprinos) es un factor que modifica los efectos de los</w:t>
      </w:r>
      <w:r>
        <w:rPr>
          <w:spacing w:val="24"/>
          <w:sz w:val="23"/>
        </w:rPr>
        <w:t> </w:t>
      </w:r>
      <w:r>
        <w:rPr>
          <w:sz w:val="23"/>
        </w:rPr>
        <w:t>tratamientos.</w:t>
      </w:r>
    </w:p>
    <w:p>
      <w:pPr>
        <w:spacing w:after="0" w:line="355" w:lineRule="auto"/>
        <w:jc w:val="left"/>
        <w:rPr>
          <w:sz w:val="23"/>
        </w:rPr>
        <w:sectPr>
          <w:footerReference w:type="default" r:id="rId14"/>
          <w:pgSz w:w="11900" w:h="16840"/>
          <w:pgMar w:footer="1679" w:header="0" w:top="1600" w:bottom="1860" w:left="1540" w:right="1540"/>
          <w:pgNumType w:start="30"/>
        </w:sectPr>
      </w:pPr>
    </w:p>
    <w:p>
      <w:pPr>
        <w:pStyle w:val="BodyText"/>
        <w:rPr>
          <w:sz w:val="20"/>
        </w:rPr>
      </w:pPr>
    </w:p>
    <w:p>
      <w:pPr>
        <w:pStyle w:val="BodyText"/>
        <w:spacing w:before="7"/>
        <w:rPr>
          <w:sz w:val="16"/>
        </w:rPr>
      </w:pPr>
    </w:p>
    <w:p>
      <w:pPr>
        <w:pStyle w:val="Heading1"/>
        <w:numPr>
          <w:ilvl w:val="0"/>
          <w:numId w:val="10"/>
        </w:numPr>
        <w:tabs>
          <w:tab w:pos="3100" w:val="left" w:leader="none"/>
        </w:tabs>
        <w:spacing w:line="240" w:lineRule="auto" w:before="74" w:after="0"/>
        <w:ind w:left="3099" w:right="0" w:hanging="351"/>
        <w:jc w:val="left"/>
      </w:pPr>
      <w:bookmarkStart w:name="_TOC_250023" w:id="17"/>
      <w:r>
        <w:rPr/>
        <w:t>MATERIALES Y</w:t>
      </w:r>
      <w:r>
        <w:rPr>
          <w:spacing w:val="36"/>
        </w:rPr>
        <w:t> </w:t>
      </w:r>
      <w:bookmarkEnd w:id="17"/>
      <w:r>
        <w:rPr/>
        <w:t>MÉTODOS</w:t>
      </w:r>
    </w:p>
    <w:p>
      <w:pPr>
        <w:pStyle w:val="BodyText"/>
        <w:rPr>
          <w:b/>
          <w:sz w:val="22"/>
        </w:rPr>
      </w:pPr>
    </w:p>
    <w:p>
      <w:pPr>
        <w:pStyle w:val="BodyText"/>
        <w:spacing w:line="364" w:lineRule="auto" w:before="197"/>
        <w:ind w:left="116" w:right="98"/>
        <w:jc w:val="both"/>
      </w:pPr>
      <w:r>
        <w:rPr/>
        <w:t>El trabajo experimental se llevó a cabo en las instalaciones de la posta zootécnica de la Facultad de Medicina Veterinaria  y Zootecnia  de la Universidad Autónoma del Estado de México, que se encuentra situada en las coordenadas geográficas latitud norte 19º 24´47´´ y longitud oeste 099º 40´44´´ a 2600 m sobre el nivel del mar (IGECEM, 2012), en el que predomina el clima templado húmedo con una precipitación media anual de 790 mm (González Huerta et al., </w:t>
      </w:r>
      <w:r>
        <w:rPr>
          <w:spacing w:val="15"/>
        </w:rPr>
        <w:t> </w:t>
      </w:r>
      <w:r>
        <w:rPr/>
        <w:t>2007).</w:t>
      </w:r>
    </w:p>
    <w:p>
      <w:pPr>
        <w:pStyle w:val="BodyText"/>
        <w:rPr>
          <w:sz w:val="22"/>
        </w:rPr>
      </w:pPr>
    </w:p>
    <w:p>
      <w:pPr>
        <w:pStyle w:val="BodyText"/>
        <w:spacing w:line="364" w:lineRule="auto" w:before="153"/>
        <w:ind w:left="116" w:right="99"/>
        <w:jc w:val="both"/>
        <w:rPr>
          <w:i/>
        </w:rPr>
      </w:pPr>
      <w:r>
        <w:rPr/>
        <w:t>Con la finalidad de evaluar dos tipos de enzimas exógenas comerciales y de poder hacer una comparación por especie, el trabajo experimental se dividió en dos sub- experimentos, el primero se realizocon 20 corderos en crecimiento utilizando como tratamientos el complejo enzimático ZADO® y el extracto de </w:t>
      </w:r>
      <w:r>
        <w:rPr>
          <w:i/>
        </w:rPr>
        <w:t>Salix  babylonica.</w:t>
      </w:r>
    </w:p>
    <w:p>
      <w:pPr>
        <w:pStyle w:val="BodyText"/>
        <w:rPr>
          <w:i/>
          <w:sz w:val="22"/>
        </w:rPr>
      </w:pPr>
    </w:p>
    <w:p>
      <w:pPr>
        <w:pStyle w:val="BodyText"/>
        <w:spacing w:line="364" w:lineRule="auto" w:before="155"/>
        <w:ind w:left="116" w:right="98"/>
        <w:jc w:val="both"/>
      </w:pPr>
      <w:r>
        <w:rPr/>
        <w:t>Mientras que en segundo experimento se realizó con 4 corderos en crecimiento y    4 cabritos en crecimiento en este caso los tratamientos a evaluar fueron la enzima exógena xilanasa (Dyadic International Inc. Jupiter, FL) y el extracto de </w:t>
      </w:r>
      <w:r>
        <w:rPr>
          <w:i/>
        </w:rPr>
        <w:t>Salix </w:t>
      </w:r>
      <w:r>
        <w:rPr>
          <w:i/>
        </w:rPr>
        <w:t>babylonica</w:t>
      </w:r>
      <w:r>
        <w:rPr/>
        <w:t>.</w:t>
      </w:r>
    </w:p>
    <w:p>
      <w:pPr>
        <w:pStyle w:val="BodyText"/>
        <w:rPr>
          <w:sz w:val="22"/>
        </w:rPr>
      </w:pPr>
    </w:p>
    <w:p>
      <w:pPr>
        <w:pStyle w:val="BodyText"/>
        <w:spacing w:before="10"/>
        <w:rPr>
          <w:sz w:val="18"/>
        </w:rPr>
      </w:pPr>
    </w:p>
    <w:p>
      <w:pPr>
        <w:pStyle w:val="Heading1"/>
        <w:ind w:left="116"/>
      </w:pPr>
      <w:bookmarkStart w:name="_TOC_250022" w:id="18"/>
      <w:bookmarkEnd w:id="18"/>
      <w:r>
        <w:rPr/>
        <w:t>6.1. Experimento 1</w:t>
      </w:r>
    </w:p>
    <w:p>
      <w:pPr>
        <w:pStyle w:val="BodyText"/>
        <w:rPr>
          <w:b/>
          <w:sz w:val="22"/>
        </w:rPr>
      </w:pPr>
    </w:p>
    <w:p>
      <w:pPr>
        <w:pStyle w:val="BodyText"/>
        <w:rPr>
          <w:b/>
          <w:sz w:val="22"/>
        </w:rPr>
      </w:pPr>
    </w:p>
    <w:p>
      <w:pPr>
        <w:pStyle w:val="Heading1"/>
        <w:numPr>
          <w:ilvl w:val="1"/>
          <w:numId w:val="11"/>
        </w:numPr>
        <w:tabs>
          <w:tab w:pos="570" w:val="left" w:leader="none"/>
        </w:tabs>
        <w:spacing w:line="240" w:lineRule="auto" w:before="134" w:after="0"/>
        <w:ind w:left="569" w:right="0" w:hanging="453"/>
        <w:jc w:val="both"/>
      </w:pPr>
      <w:bookmarkStart w:name="_TOC_250021" w:id="19"/>
      <w:bookmarkEnd w:id="19"/>
      <w:r>
        <w:rPr/>
        <w:t>1.Animales</w:t>
      </w:r>
    </w:p>
    <w:p>
      <w:pPr>
        <w:pStyle w:val="BodyText"/>
        <w:rPr>
          <w:b/>
          <w:sz w:val="22"/>
        </w:rPr>
      </w:pPr>
    </w:p>
    <w:p>
      <w:pPr>
        <w:pStyle w:val="BodyText"/>
        <w:spacing w:before="11"/>
        <w:rPr>
          <w:b/>
          <w:sz w:val="25"/>
        </w:rPr>
      </w:pPr>
    </w:p>
    <w:p>
      <w:pPr>
        <w:pStyle w:val="BodyText"/>
        <w:spacing w:line="364" w:lineRule="auto"/>
        <w:ind w:left="116" w:right="99"/>
        <w:jc w:val="both"/>
      </w:pPr>
      <w:r>
        <w:rPr/>
        <w:t>Se utilizaron 20 ovinos machos de raza Suffolk entre 6 y 8 meses de edad con un peso de 24± 0.3kg, los cuales fueron alojados en jaulas individuales de 1.5 x 1.5   m, alimentados </w:t>
      </w:r>
      <w:r>
        <w:rPr>
          <w:i/>
        </w:rPr>
        <w:t>ad libitum</w:t>
      </w:r>
      <w:r>
        <w:rPr/>
        <w:t>de forma individual con una dieta basal de 70% ensilado de maíz, 30% concentrado comercial (Purina®, Cuautitlán, México), balanceada para cubrir los requerimientos de corderos de su edad y peso (NRC, 2007). Los animales tuvieron acceso a agua fresca durante todo el periodo </w:t>
      </w:r>
      <w:r>
        <w:rPr>
          <w:spacing w:val="25"/>
        </w:rPr>
        <w:t> </w:t>
      </w:r>
      <w:r>
        <w:rPr/>
        <w:t>experimental.</w:t>
      </w:r>
    </w:p>
    <w:p>
      <w:pPr>
        <w:spacing w:after="0" w:line="364" w:lineRule="auto"/>
        <w:jc w:val="both"/>
        <w:sectPr>
          <w:pgSz w:w="11900" w:h="16840"/>
          <w:pgMar w:header="0" w:footer="1679" w:top="1600" w:bottom="1860" w:left="1540" w:right="1540"/>
        </w:sectPr>
      </w:pPr>
    </w:p>
    <w:p>
      <w:pPr>
        <w:pStyle w:val="BodyText"/>
        <w:rPr>
          <w:sz w:val="20"/>
        </w:rPr>
      </w:pPr>
    </w:p>
    <w:p>
      <w:pPr>
        <w:pStyle w:val="BodyText"/>
        <w:spacing w:before="5"/>
        <w:rPr>
          <w:sz w:val="16"/>
        </w:rPr>
      </w:pPr>
    </w:p>
    <w:p>
      <w:pPr>
        <w:pStyle w:val="Heading1"/>
        <w:numPr>
          <w:ilvl w:val="2"/>
          <w:numId w:val="11"/>
        </w:numPr>
        <w:tabs>
          <w:tab w:pos="767" w:val="left" w:leader="none"/>
        </w:tabs>
        <w:spacing w:line="240" w:lineRule="auto" w:before="74" w:after="0"/>
        <w:ind w:left="766" w:right="0" w:hanging="650"/>
        <w:jc w:val="both"/>
      </w:pPr>
      <w:bookmarkStart w:name="_TOC_250020" w:id="20"/>
      <w:r>
        <w:rPr/>
        <w:t>Grupos</w:t>
      </w:r>
      <w:r>
        <w:rPr>
          <w:spacing w:val="28"/>
        </w:rPr>
        <w:t> </w:t>
      </w:r>
      <w:bookmarkEnd w:id="20"/>
      <w:r>
        <w:rPr/>
        <w:t>experimentales</w:t>
      </w:r>
    </w:p>
    <w:p>
      <w:pPr>
        <w:pStyle w:val="BodyText"/>
        <w:rPr>
          <w:b/>
          <w:sz w:val="22"/>
        </w:rPr>
      </w:pPr>
    </w:p>
    <w:p>
      <w:pPr>
        <w:pStyle w:val="BodyText"/>
        <w:spacing w:before="1"/>
        <w:rPr>
          <w:b/>
          <w:sz w:val="26"/>
        </w:rPr>
      </w:pPr>
    </w:p>
    <w:p>
      <w:pPr>
        <w:pStyle w:val="BodyText"/>
        <w:spacing w:line="364" w:lineRule="auto" w:before="1"/>
        <w:ind w:left="115" w:right="119"/>
        <w:jc w:val="both"/>
      </w:pPr>
      <w:r>
        <w:rPr/>
        <w:t>Los corderos fueron pesados y asignados de forma aleatoria en cuatro grupos experimentales de cinco animales cada uno: Control: los animales fueron alimentados únicamente con la dieta basal, SB: dieta basal más 30ml de extracto  de </w:t>
      </w:r>
      <w:r>
        <w:rPr>
          <w:i/>
        </w:rPr>
        <w:t>Salix babylonica</w:t>
      </w:r>
      <w:r>
        <w:rPr/>
        <w:t>, EZ: dieta basal más 10g de enzimas exógenas (ZADO®,  Cairo, Egypt) y SBEZ: dieta basal más 30ml de extracto de </w:t>
      </w:r>
      <w:r>
        <w:rPr>
          <w:i/>
        </w:rPr>
        <w:t>Salix babylonica </w:t>
      </w:r>
      <w:r>
        <w:rPr/>
        <w:t>y 10g de enzimas</w:t>
      </w:r>
      <w:r>
        <w:rPr>
          <w:spacing w:val="23"/>
        </w:rPr>
        <w:t> </w:t>
      </w:r>
      <w:r>
        <w:rPr/>
        <w:t>exógenas.</w:t>
      </w:r>
    </w:p>
    <w:p>
      <w:pPr>
        <w:pStyle w:val="BodyText"/>
        <w:rPr>
          <w:sz w:val="22"/>
        </w:rPr>
      </w:pPr>
    </w:p>
    <w:p>
      <w:pPr>
        <w:pStyle w:val="BodyText"/>
        <w:spacing w:line="364" w:lineRule="auto" w:before="153"/>
        <w:ind w:left="115" w:right="119"/>
        <w:jc w:val="both"/>
      </w:pPr>
      <w:r>
        <w:rPr/>
        <w:t>Las enzimas y el extracto fueron proporcionados  por un periodo de 60 días, vía  oral antes de administrar el alimento, las enzimas se mezclaron con 200g de concentrado y se ofrecieron de forma individual por 20 minutos. Una vez transcurrido este tiempo el concentrado y las enzimas no  consumidas  se  mezclaron con el resto del alimento, mientras que  el  extracto se ofreció via oral con una</w:t>
      </w:r>
      <w:r>
        <w:rPr>
          <w:spacing w:val="15"/>
        </w:rPr>
        <w:t> </w:t>
      </w:r>
      <w:r>
        <w:rPr/>
        <w:t>jeringa.</w:t>
      </w:r>
    </w:p>
    <w:p>
      <w:pPr>
        <w:pStyle w:val="BodyText"/>
        <w:rPr>
          <w:sz w:val="22"/>
        </w:rPr>
      </w:pPr>
    </w:p>
    <w:p>
      <w:pPr>
        <w:pStyle w:val="BodyText"/>
        <w:spacing w:before="5"/>
        <w:rPr>
          <w:sz w:val="18"/>
        </w:rPr>
      </w:pPr>
    </w:p>
    <w:p>
      <w:pPr>
        <w:pStyle w:val="Heading1"/>
        <w:numPr>
          <w:ilvl w:val="2"/>
          <w:numId w:val="11"/>
        </w:numPr>
        <w:tabs>
          <w:tab w:pos="764" w:val="left" w:leader="none"/>
        </w:tabs>
        <w:spacing w:line="240" w:lineRule="auto" w:before="1" w:after="0"/>
        <w:ind w:left="763" w:right="0" w:hanging="647"/>
        <w:jc w:val="both"/>
      </w:pPr>
      <w:bookmarkStart w:name="_TOC_250019" w:id="21"/>
      <w:r>
        <w:rPr/>
        <w:t>Preparación del</w:t>
      </w:r>
      <w:r>
        <w:rPr>
          <w:spacing w:val="33"/>
        </w:rPr>
        <w:t> </w:t>
      </w:r>
      <w:bookmarkEnd w:id="21"/>
      <w:r>
        <w:rPr/>
        <w:t>extracto</w:t>
      </w:r>
    </w:p>
    <w:p>
      <w:pPr>
        <w:pStyle w:val="BodyText"/>
        <w:rPr>
          <w:b/>
          <w:sz w:val="22"/>
        </w:rPr>
      </w:pPr>
    </w:p>
    <w:p>
      <w:pPr>
        <w:pStyle w:val="BodyText"/>
        <w:spacing w:line="364" w:lineRule="auto" w:before="197"/>
        <w:ind w:left="115" w:right="117"/>
        <w:jc w:val="both"/>
      </w:pPr>
      <w:r>
        <w:rPr/>
        <w:t>El extracto se preparo de acuerdo a la técnica propuesta  por Salem et al. (2011),  la cual consiste en colectar de forma aleatoria hojas frescas de por lo menos 5 árboles de </w:t>
      </w:r>
      <w:r>
        <w:rPr>
          <w:i/>
        </w:rPr>
        <w:t>Salix babylonica </w:t>
      </w:r>
      <w:r>
        <w:rPr/>
        <w:t>en diferentes estados fenológicos, una vez colectadas las hojas se molieron  y mezclaron con una solución previamente preparada (1kg  de hojas previemanete colectadas en 8L de solución) a base de agua destilada, etanol (99/100, analytical grade, Fermont®, Monterrey, México) y metanol  (99.8/100, analytical grade, Fermont®, Monterrey, México) en una proporción 80:10:10 (Salem et al.,</w:t>
      </w:r>
      <w:r>
        <w:rPr>
          <w:spacing w:val="33"/>
        </w:rPr>
        <w:t> </w:t>
      </w:r>
      <w:r>
        <w:rPr/>
        <w:t>2011b).</w:t>
      </w:r>
    </w:p>
    <w:p>
      <w:pPr>
        <w:pStyle w:val="BodyText"/>
        <w:rPr>
          <w:sz w:val="22"/>
        </w:rPr>
      </w:pPr>
    </w:p>
    <w:p>
      <w:pPr>
        <w:pStyle w:val="BodyText"/>
        <w:spacing w:line="333" w:lineRule="auto" w:before="155"/>
        <w:ind w:left="115" w:right="121"/>
        <w:jc w:val="both"/>
      </w:pPr>
      <w:r>
        <w:rPr/>
        <w:t>La mezcla de hojas y solución se incubo por 48 a 72 h a una temperatura de 25 a 30 </w:t>
      </w:r>
      <w:r>
        <w:rPr>
          <w:position w:val="11"/>
          <w:sz w:val="15"/>
        </w:rPr>
        <w:t>o</w:t>
      </w:r>
      <w:r>
        <w:rPr/>
        <w:t>C; una vez transcurrido este tiempo la mezcla se incubo por 1 h en baño de agua a 39 </w:t>
      </w:r>
      <w:r>
        <w:rPr>
          <w:position w:val="11"/>
          <w:sz w:val="15"/>
        </w:rPr>
        <w:t>o</w:t>
      </w:r>
      <w:r>
        <w:rPr/>
        <w:t>C, para posteriormente, filtrarse y almacenarse a 4 </w:t>
      </w:r>
      <w:r>
        <w:rPr>
          <w:spacing w:val="13"/>
        </w:rPr>
        <w:t> </w:t>
      </w:r>
      <w:r>
        <w:rPr/>
        <w:t>ºC.</w:t>
      </w:r>
    </w:p>
    <w:p>
      <w:pPr>
        <w:spacing w:after="0" w:line="333"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Heading1"/>
        <w:numPr>
          <w:ilvl w:val="1"/>
          <w:numId w:val="12"/>
        </w:numPr>
        <w:tabs>
          <w:tab w:pos="570" w:val="left" w:leader="none"/>
        </w:tabs>
        <w:spacing w:line="240" w:lineRule="auto" w:before="74" w:after="0"/>
        <w:ind w:left="569" w:right="0" w:hanging="453"/>
        <w:jc w:val="both"/>
      </w:pPr>
      <w:bookmarkStart w:name="_TOC_250018" w:id="22"/>
      <w:r>
        <w:rPr/>
        <w:t>4. Determinación de metabolitos secundarios en el </w:t>
      </w:r>
      <w:r>
        <w:rPr>
          <w:spacing w:val="11"/>
        </w:rPr>
        <w:t> </w:t>
      </w:r>
      <w:bookmarkEnd w:id="22"/>
      <w:r>
        <w:rPr/>
        <w:t>extracto</w:t>
      </w:r>
    </w:p>
    <w:p>
      <w:pPr>
        <w:pStyle w:val="BodyText"/>
        <w:rPr>
          <w:b/>
          <w:sz w:val="22"/>
        </w:rPr>
      </w:pPr>
    </w:p>
    <w:p>
      <w:pPr>
        <w:pStyle w:val="BodyText"/>
        <w:spacing w:line="364" w:lineRule="auto" w:before="197"/>
        <w:ind w:left="115" w:right="117"/>
        <w:jc w:val="both"/>
      </w:pPr>
      <w:r>
        <w:rPr/>
        <w:t>Para la determinación de los metabolitos secundarios presentes en el extracto,se utilizaron 10 ml de extracto de </w:t>
      </w:r>
      <w:r>
        <w:rPr>
          <w:i/>
        </w:rPr>
        <w:t>Salix babylonica  </w:t>
      </w:r>
      <w:r>
        <w:rPr/>
        <w:t>el cual se mezcló en un embudo   de separación con un volumen doble de acetato de etilo  (99.7/100,  analytical grade, Fermont®, Monterrey, México) para determinar el contenido de compuestos fenólicos totales, una vez separados los fenólicos totales se agregó un volumen doble de n- butanol (99.9/100, analytical grade,  Fermont®,  Monterrey,  México) para determinar el contenido de saponinas (Ahmed et al., 1990). La fracción restante, se consideró como la fracción acuosa del extracto la cual contiene  lectinas, polipéptidos y almidón (Cowan,</w:t>
      </w:r>
      <w:r>
        <w:rPr>
          <w:spacing w:val="48"/>
        </w:rPr>
        <w:t> </w:t>
      </w:r>
      <w:r>
        <w:rPr/>
        <w:t>1999).</w:t>
      </w:r>
    </w:p>
    <w:p>
      <w:pPr>
        <w:pStyle w:val="BodyText"/>
        <w:rPr>
          <w:sz w:val="22"/>
        </w:rPr>
      </w:pPr>
    </w:p>
    <w:p>
      <w:pPr>
        <w:pStyle w:val="BodyText"/>
        <w:spacing w:before="5"/>
        <w:rPr>
          <w:sz w:val="18"/>
        </w:rPr>
      </w:pPr>
    </w:p>
    <w:p>
      <w:pPr>
        <w:pStyle w:val="Heading1"/>
        <w:numPr>
          <w:ilvl w:val="2"/>
          <w:numId w:val="12"/>
        </w:numPr>
        <w:tabs>
          <w:tab w:pos="764" w:val="left" w:leader="none"/>
        </w:tabs>
        <w:spacing w:line="240" w:lineRule="auto" w:before="1" w:after="0"/>
        <w:ind w:left="763" w:right="0" w:hanging="647"/>
        <w:jc w:val="both"/>
      </w:pPr>
      <w:bookmarkStart w:name="_TOC_250017" w:id="23"/>
      <w:bookmarkEnd w:id="23"/>
      <w:r>
        <w:rPr/>
        <w:t>Muestreo</w:t>
      </w:r>
    </w:p>
    <w:p>
      <w:pPr>
        <w:pStyle w:val="BodyText"/>
        <w:rPr>
          <w:b/>
          <w:sz w:val="22"/>
        </w:rPr>
      </w:pPr>
    </w:p>
    <w:p>
      <w:pPr>
        <w:pStyle w:val="BodyText"/>
        <w:rPr>
          <w:b/>
          <w:sz w:val="22"/>
        </w:rPr>
      </w:pPr>
    </w:p>
    <w:p>
      <w:pPr>
        <w:pStyle w:val="ListParagraph"/>
        <w:numPr>
          <w:ilvl w:val="3"/>
          <w:numId w:val="12"/>
        </w:numPr>
        <w:tabs>
          <w:tab w:pos="1650" w:val="left" w:leader="none"/>
        </w:tabs>
        <w:spacing w:line="240" w:lineRule="auto" w:before="139" w:after="0"/>
        <w:ind w:left="1649" w:right="0" w:hanging="845"/>
        <w:jc w:val="left"/>
        <w:rPr>
          <w:sz w:val="23"/>
        </w:rPr>
      </w:pPr>
      <w:r>
        <w:rPr>
          <w:sz w:val="23"/>
        </w:rPr>
        <w:t>Pesaje de</w:t>
      </w:r>
      <w:r>
        <w:rPr>
          <w:spacing w:val="23"/>
          <w:sz w:val="23"/>
        </w:rPr>
        <w:t> </w:t>
      </w:r>
      <w:r>
        <w:rPr>
          <w:sz w:val="23"/>
        </w:rPr>
        <w:t>animales</w:t>
      </w:r>
    </w:p>
    <w:p>
      <w:pPr>
        <w:pStyle w:val="BodyText"/>
        <w:rPr>
          <w:sz w:val="22"/>
        </w:rPr>
      </w:pPr>
    </w:p>
    <w:p>
      <w:pPr>
        <w:pStyle w:val="BodyText"/>
        <w:spacing w:line="364" w:lineRule="auto" w:before="195"/>
        <w:ind w:left="116" w:right="119"/>
        <w:jc w:val="both"/>
      </w:pPr>
      <w:r>
        <w:rPr/>
        <w:t>Todas las unidades experimentales se pesaron al inicio del experimento y cada 15 días, antes de proporcionarles el alimento, con ayuda de una báscula (Báscula de recibo TOROREY, EQB 100kg/200lb).</w:t>
      </w:r>
    </w:p>
    <w:p>
      <w:pPr>
        <w:pStyle w:val="BodyText"/>
        <w:rPr>
          <w:sz w:val="22"/>
        </w:rPr>
      </w:pPr>
    </w:p>
    <w:p>
      <w:pPr>
        <w:pStyle w:val="BodyText"/>
        <w:spacing w:before="4"/>
        <w:rPr>
          <w:sz w:val="30"/>
        </w:rPr>
      </w:pPr>
    </w:p>
    <w:p>
      <w:pPr>
        <w:pStyle w:val="ListParagraph"/>
        <w:numPr>
          <w:ilvl w:val="3"/>
          <w:numId w:val="12"/>
        </w:numPr>
        <w:tabs>
          <w:tab w:pos="1650" w:val="left" w:leader="none"/>
        </w:tabs>
        <w:spacing w:line="240" w:lineRule="auto" w:before="0" w:after="0"/>
        <w:ind w:left="1649" w:right="0" w:hanging="845"/>
        <w:jc w:val="left"/>
        <w:rPr>
          <w:sz w:val="23"/>
        </w:rPr>
      </w:pPr>
      <w:r>
        <w:rPr>
          <w:sz w:val="23"/>
        </w:rPr>
        <w:t>Colecta de</w:t>
      </w:r>
      <w:r>
        <w:rPr>
          <w:spacing w:val="21"/>
          <w:sz w:val="23"/>
        </w:rPr>
        <w:t> </w:t>
      </w:r>
      <w:r>
        <w:rPr>
          <w:sz w:val="23"/>
        </w:rPr>
        <w:t>muestras</w:t>
      </w:r>
    </w:p>
    <w:p>
      <w:pPr>
        <w:pStyle w:val="BodyText"/>
        <w:rPr>
          <w:sz w:val="22"/>
        </w:rPr>
      </w:pPr>
    </w:p>
    <w:p>
      <w:pPr>
        <w:pStyle w:val="BodyText"/>
        <w:spacing w:line="364" w:lineRule="auto" w:before="195"/>
        <w:ind w:left="116" w:right="116"/>
        <w:jc w:val="both"/>
      </w:pPr>
      <w:r>
        <w:rPr/>
        <w:t>Se colectaron 3 muestras de sangre vía venopunción yugular de cada uno de los animales los días 0, 15, 30, 45 y 60 del experimento, haciendo uso de tubos vacutainer (BD tube, Monterrey, México), sin anticoagulante para obtener suero y hacer una bioquímica sanguínea, con EDTA para la realización de un hemograma completo y con heparina para desarrollar un análisis de inmunofenotipo por citometría de flujo.</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Heading1"/>
        <w:numPr>
          <w:ilvl w:val="2"/>
          <w:numId w:val="12"/>
        </w:numPr>
        <w:tabs>
          <w:tab w:pos="769" w:val="left" w:leader="none"/>
        </w:tabs>
        <w:spacing w:line="240" w:lineRule="auto" w:before="74" w:after="0"/>
        <w:ind w:left="768" w:right="0" w:hanging="652"/>
        <w:jc w:val="both"/>
      </w:pPr>
      <w:bookmarkStart w:name="_TOC_250016" w:id="24"/>
      <w:r>
        <w:rPr/>
        <w:t>Análisis de las</w:t>
      </w:r>
      <w:r>
        <w:rPr>
          <w:spacing w:val="26"/>
        </w:rPr>
        <w:t> </w:t>
      </w:r>
      <w:bookmarkEnd w:id="24"/>
      <w:r>
        <w:rPr/>
        <w:t>muestras</w:t>
      </w:r>
    </w:p>
    <w:p>
      <w:pPr>
        <w:pStyle w:val="BodyText"/>
        <w:rPr>
          <w:b/>
          <w:sz w:val="22"/>
        </w:rPr>
      </w:pPr>
    </w:p>
    <w:p>
      <w:pPr>
        <w:pStyle w:val="BodyText"/>
        <w:spacing w:before="2"/>
        <w:rPr>
          <w:b/>
          <w:sz w:val="22"/>
        </w:rPr>
      </w:pPr>
    </w:p>
    <w:p>
      <w:pPr>
        <w:pStyle w:val="ListParagraph"/>
        <w:numPr>
          <w:ilvl w:val="3"/>
          <w:numId w:val="12"/>
        </w:numPr>
        <w:tabs>
          <w:tab w:pos="1650" w:val="left" w:leader="none"/>
        </w:tabs>
        <w:spacing w:line="240" w:lineRule="auto" w:before="0" w:after="0"/>
        <w:ind w:left="1649" w:right="0" w:hanging="845"/>
        <w:jc w:val="left"/>
        <w:rPr>
          <w:sz w:val="23"/>
        </w:rPr>
      </w:pPr>
      <w:r>
        <w:rPr>
          <w:sz w:val="23"/>
        </w:rPr>
        <w:t>Bioquímica</w:t>
      </w:r>
      <w:r>
        <w:rPr>
          <w:spacing w:val="28"/>
          <w:sz w:val="23"/>
        </w:rPr>
        <w:t> </w:t>
      </w:r>
      <w:r>
        <w:rPr>
          <w:sz w:val="23"/>
        </w:rPr>
        <w:t>sanguínea</w:t>
      </w:r>
    </w:p>
    <w:p>
      <w:pPr>
        <w:pStyle w:val="BodyText"/>
        <w:rPr>
          <w:sz w:val="22"/>
        </w:rPr>
      </w:pPr>
    </w:p>
    <w:p>
      <w:pPr>
        <w:pStyle w:val="BodyText"/>
        <w:spacing w:line="355" w:lineRule="auto" w:before="195"/>
        <w:ind w:left="115" w:right="98"/>
        <w:jc w:val="both"/>
      </w:pPr>
      <w:r>
        <w:rPr/>
        <w:t>Para la realización de este análisis, las muestras de sangre fueron mantenidas a temperatura ambiente durante un periodo de 1h; posteriormente, fueron centrifugadas a 1500 rpm por 10 minutos, y posteriormente extraer el  suero, el  cual fue congelado a -20</w:t>
      </w:r>
      <w:r>
        <w:rPr>
          <w:position w:val="11"/>
          <w:sz w:val="15"/>
        </w:rPr>
        <w:t>º</w:t>
      </w:r>
      <w:r>
        <w:rPr/>
        <w:t>C para su análisis ser analizadas </w:t>
      </w:r>
      <w:r>
        <w:rPr>
          <w:spacing w:val="12"/>
        </w:rPr>
        <w:t> </w:t>
      </w:r>
      <w:r>
        <w:rPr/>
        <w:t>después.</w:t>
      </w:r>
    </w:p>
    <w:p>
      <w:pPr>
        <w:pStyle w:val="BodyText"/>
        <w:spacing w:before="9"/>
        <w:rPr>
          <w:sz w:val="34"/>
        </w:rPr>
      </w:pPr>
    </w:p>
    <w:p>
      <w:pPr>
        <w:pStyle w:val="BodyText"/>
        <w:spacing w:line="364" w:lineRule="auto"/>
        <w:ind w:left="115" w:right="99"/>
        <w:jc w:val="both"/>
      </w:pPr>
      <w:r>
        <w:rPr/>
        <w:t>Una vez colectadas las 100 muestras de suero, estas se analizaron en un espectrofotómetro semiautomático BTS350 (Instrumentation Labotarory®), para determinar las concentraciones de proteína total, glucosa, creatinina, urea, ALP (fosfatasa alcalina), AST (aspartato aninotransferasa), ALT (alanino aminotransferasa), fosforo, calcio y magnesio  (mmol/L).</w:t>
      </w:r>
    </w:p>
    <w:p>
      <w:pPr>
        <w:pStyle w:val="BodyText"/>
        <w:rPr>
          <w:sz w:val="22"/>
        </w:rPr>
      </w:pPr>
    </w:p>
    <w:p>
      <w:pPr>
        <w:pStyle w:val="BodyText"/>
        <w:spacing w:before="4"/>
        <w:rPr>
          <w:sz w:val="30"/>
        </w:rPr>
      </w:pPr>
    </w:p>
    <w:p>
      <w:pPr>
        <w:pStyle w:val="ListParagraph"/>
        <w:numPr>
          <w:ilvl w:val="3"/>
          <w:numId w:val="12"/>
        </w:numPr>
        <w:tabs>
          <w:tab w:pos="1650" w:val="left" w:leader="none"/>
        </w:tabs>
        <w:spacing w:line="240" w:lineRule="auto" w:before="0" w:after="0"/>
        <w:ind w:left="1649" w:right="0" w:hanging="845"/>
        <w:jc w:val="left"/>
        <w:rPr>
          <w:sz w:val="23"/>
        </w:rPr>
      </w:pPr>
      <w:r>
        <w:rPr>
          <w:sz w:val="23"/>
        </w:rPr>
        <w:t>Hemograma</w:t>
      </w:r>
      <w:r>
        <w:rPr>
          <w:spacing w:val="27"/>
          <w:sz w:val="23"/>
        </w:rPr>
        <w:t> </w:t>
      </w:r>
      <w:r>
        <w:rPr>
          <w:sz w:val="23"/>
        </w:rPr>
        <w:t>Completo</w:t>
      </w:r>
    </w:p>
    <w:p>
      <w:pPr>
        <w:pStyle w:val="BodyText"/>
        <w:rPr>
          <w:sz w:val="22"/>
        </w:rPr>
      </w:pPr>
    </w:p>
    <w:p>
      <w:pPr>
        <w:pStyle w:val="BodyText"/>
        <w:spacing w:line="352" w:lineRule="auto" w:before="197"/>
        <w:ind w:left="115" w:right="99"/>
        <w:jc w:val="both"/>
      </w:pPr>
      <w:r>
        <w:rPr/>
        <w:t>Las muestras de sangre colectadas en tubos con EDTA se mantuvieron y transportaron a una temperatura de 4 ºC, para posteriormente determinar concentraciones de eritrocitos (10</w:t>
      </w:r>
      <w:r>
        <w:rPr>
          <w:position w:val="11"/>
          <w:sz w:val="15"/>
        </w:rPr>
        <w:t>12</w:t>
      </w:r>
      <w:r>
        <w:rPr/>
        <w:t>/L), hemoglobina (g/L),  hematocrito  (L/L), conteo total (10</w:t>
      </w:r>
      <w:r>
        <w:rPr>
          <w:position w:val="11"/>
          <w:sz w:val="15"/>
        </w:rPr>
        <w:t>9</w:t>
      </w:r>
      <w:r>
        <w:rPr/>
        <w:t>/L) y diferencial de leucocitos (10</w:t>
      </w:r>
      <w:r>
        <w:rPr>
          <w:position w:val="11"/>
          <w:sz w:val="15"/>
        </w:rPr>
        <w:t>9</w:t>
      </w:r>
      <w:r>
        <w:rPr/>
        <w:t>/L), volumen corpuscular medio (VCM en Fl), concentración de hemoglobina corpuscular media (CHCM en g/L) y proteína plasmática (g/Dl).</w:t>
      </w:r>
    </w:p>
    <w:p>
      <w:pPr>
        <w:pStyle w:val="BodyText"/>
        <w:rPr>
          <w:sz w:val="22"/>
        </w:rPr>
      </w:pPr>
    </w:p>
    <w:p>
      <w:pPr>
        <w:pStyle w:val="BodyText"/>
        <w:spacing w:line="364" w:lineRule="auto" w:before="168"/>
        <w:ind w:left="115" w:right="99"/>
        <w:jc w:val="both"/>
      </w:pPr>
      <w:r>
        <w:rPr/>
        <w:t>Para el conteo de eritrocitos, así como para el análisis total y diferencial de leucocitos se utilizó un hemocitometro (Cámara de Recuento BLAUBRAND®), la concentración de hemoglobina se determinó con el método de la cianometahemoglobina, el hematocrito se obtuvo mediante la técnica del microhematocrito, la proteína plasmática se determinó con un refractómetro. Se determinaron los índices de Wintrobe VCM y CHCM para diagnosticar algún tipo</w:t>
      </w:r>
    </w:p>
    <w:p>
      <w:pPr>
        <w:spacing w:after="0" w:line="364" w:lineRule="auto"/>
        <w:jc w:val="both"/>
        <w:sectPr>
          <w:pgSz w:w="11900" w:h="16840"/>
          <w:pgMar w:header="0" w:footer="1679" w:top="1600" w:bottom="1860" w:left="1540" w:right="1540"/>
        </w:sectPr>
      </w:pPr>
    </w:p>
    <w:p>
      <w:pPr>
        <w:pStyle w:val="BodyText"/>
        <w:rPr>
          <w:sz w:val="20"/>
        </w:rPr>
      </w:pPr>
    </w:p>
    <w:p>
      <w:pPr>
        <w:pStyle w:val="BodyText"/>
        <w:spacing w:before="10"/>
        <w:rPr>
          <w:sz w:val="16"/>
        </w:rPr>
      </w:pPr>
    </w:p>
    <w:p>
      <w:pPr>
        <w:pStyle w:val="BodyText"/>
        <w:tabs>
          <w:tab w:pos="7181" w:val="left" w:leader="none"/>
        </w:tabs>
        <w:spacing w:line="364" w:lineRule="auto" w:before="74"/>
        <w:ind w:left="115" w:right="118"/>
      </w:pPr>
      <w:r>
        <w:rPr/>
        <w:t>de   anemia   teniendo   en   cuenta   los   valores   </w:t>
      </w:r>
      <w:r>
        <w:rPr>
          <w:spacing w:val="29"/>
        </w:rPr>
        <w:t> </w:t>
      </w:r>
      <w:r>
        <w:rPr/>
        <w:t>de  </w:t>
      </w:r>
      <w:r>
        <w:rPr>
          <w:spacing w:val="14"/>
        </w:rPr>
        <w:t> </w:t>
      </w:r>
      <w:r>
        <w:rPr/>
        <w:t>eritrocitos,</w:t>
        <w:tab/>
        <w:t>hematocrito  </w:t>
      </w:r>
      <w:r>
        <w:rPr>
          <w:spacing w:val="23"/>
        </w:rPr>
        <w:t> </w:t>
      </w:r>
      <w:r>
        <w:rPr/>
        <w:t>y</w:t>
      </w:r>
      <w:r>
        <w:rPr>
          <w:w w:val="101"/>
        </w:rPr>
        <w:t> </w:t>
      </w:r>
      <w:r>
        <w:rPr/>
        <w:t>hemoglobina (Coffin et al., 1959; Archer and Jeffcott, 1977; Smith, </w:t>
      </w:r>
      <w:r>
        <w:rPr>
          <w:spacing w:val="15"/>
        </w:rPr>
        <w:t> </w:t>
      </w:r>
      <w:r>
        <w:rPr/>
        <w:t>2007).</w:t>
      </w:r>
    </w:p>
    <w:p>
      <w:pPr>
        <w:pStyle w:val="BodyText"/>
        <w:rPr>
          <w:sz w:val="22"/>
        </w:rPr>
      </w:pPr>
    </w:p>
    <w:p>
      <w:pPr>
        <w:pStyle w:val="BodyText"/>
        <w:spacing w:line="364" w:lineRule="auto" w:before="155"/>
        <w:ind w:left="115" w:right="224"/>
      </w:pPr>
      <w:r>
        <w:rPr/>
        <w:t>Las siguientes formulas se utilizaron para para calcular los índices de Wintrobe de acuerdo con (Smith, 2007).</w:t>
      </w:r>
    </w:p>
    <w:p>
      <w:pPr>
        <w:pStyle w:val="BodyText"/>
        <w:spacing w:before="5"/>
        <w:rPr>
          <w:sz w:val="27"/>
        </w:rPr>
      </w:pPr>
    </w:p>
    <w:p>
      <w:pPr>
        <w:spacing w:after="0"/>
        <w:rPr>
          <w:sz w:val="27"/>
        </w:rPr>
        <w:sectPr>
          <w:pgSz w:w="11900" w:h="16840"/>
          <w:pgMar w:header="0" w:footer="1679" w:top="1600" w:bottom="1860" w:left="1540" w:right="1520"/>
        </w:sectPr>
      </w:pPr>
    </w:p>
    <w:p>
      <w:pPr>
        <w:pStyle w:val="BodyText"/>
        <w:spacing w:before="8"/>
        <w:rPr>
          <w:sz w:val="20"/>
        </w:rPr>
      </w:pPr>
    </w:p>
    <w:p>
      <w:pPr>
        <w:pStyle w:val="BodyText"/>
        <w:spacing w:before="1"/>
        <w:jc w:val="right"/>
        <w:rPr>
          <w:rFonts w:ascii="Cambria Math"/>
        </w:rPr>
      </w:pPr>
      <w:r>
        <w:rPr>
          <w:rFonts w:ascii="Cambria Math"/>
          <w:w w:val="105"/>
        </w:rPr>
        <w:t>VCM =</w:t>
      </w:r>
    </w:p>
    <w:p>
      <w:pPr>
        <w:pStyle w:val="BodyText"/>
        <w:spacing w:line="297" w:lineRule="auto" w:before="63"/>
        <w:ind w:left="25" w:right="-11" w:firstLine="232"/>
        <w:rPr>
          <w:rFonts w:ascii="Cambria Math"/>
        </w:rPr>
      </w:pPr>
      <w:r>
        <w:rPr/>
        <w:br w:type="column"/>
      </w:r>
      <w:r>
        <w:rPr>
          <w:rFonts w:ascii="Cambria Math"/>
          <w:w w:val="110"/>
        </w:rPr>
        <w:t>Hematocrito % Total de</w:t>
      </w:r>
      <w:r>
        <w:rPr>
          <w:rFonts w:ascii="Cambria Math"/>
          <w:spacing w:val="-19"/>
          <w:w w:val="110"/>
        </w:rPr>
        <w:t> </w:t>
      </w:r>
      <w:r>
        <w:rPr>
          <w:rFonts w:ascii="Cambria Math"/>
          <w:w w:val="110"/>
        </w:rPr>
        <w:t>eritrocitos</w:t>
      </w:r>
    </w:p>
    <w:p>
      <w:pPr>
        <w:pStyle w:val="BodyText"/>
        <w:spacing w:before="4"/>
        <w:rPr>
          <w:rFonts w:ascii="Cambria Math"/>
          <w:sz w:val="20"/>
        </w:rPr>
      </w:pPr>
      <w:r>
        <w:rPr/>
        <w:br w:type="column"/>
      </w:r>
      <w:r>
        <w:rPr>
          <w:rFonts w:ascii="Cambria Math"/>
          <w:sz w:val="20"/>
        </w:rPr>
      </w:r>
    </w:p>
    <w:p>
      <w:pPr>
        <w:pStyle w:val="BodyText"/>
        <w:ind w:left="17"/>
        <w:rPr>
          <w:rFonts w:ascii="Cambria Math" w:hAnsi="Cambria Math"/>
        </w:rPr>
      </w:pPr>
      <w:r>
        <w:rPr/>
        <w:pict>
          <v:line style="position:absolute;mso-position-horizontal-relative:page;mso-position-vertical-relative:paragraph;z-index:-137752" from="252.839996pt,7.626594pt" to="356.159994pt,7.626594pt" stroked="true" strokeweight=".84pt" strokecolor="#000000">
            <w10:wrap type="none"/>
          </v:line>
        </w:pict>
      </w:r>
      <w:r>
        <w:rPr>
          <w:rFonts w:ascii="Cambria Math" w:hAnsi="Cambria Math"/>
        </w:rPr>
        <w:t>× 10</w:t>
      </w:r>
    </w:p>
    <w:p>
      <w:pPr>
        <w:spacing w:after="0"/>
        <w:rPr>
          <w:rFonts w:ascii="Cambria Math" w:hAnsi="Cambria Math"/>
        </w:rPr>
        <w:sectPr>
          <w:type w:val="continuous"/>
          <w:pgSz w:w="11900" w:h="16840"/>
          <w:pgMar w:top="1600" w:bottom="1860" w:left="1540" w:right="1520"/>
          <w:cols w:num="3" w:equalWidth="0">
            <w:col w:w="3452" w:space="40"/>
            <w:col w:w="2086" w:space="40"/>
            <w:col w:w="3222"/>
          </w:cols>
        </w:sectPr>
      </w:pPr>
    </w:p>
    <w:p>
      <w:pPr>
        <w:pStyle w:val="BodyText"/>
        <w:spacing w:before="11"/>
        <w:rPr>
          <w:rFonts w:ascii="Cambria Math"/>
          <w:sz w:val="11"/>
        </w:rPr>
      </w:pPr>
    </w:p>
    <w:p>
      <w:pPr>
        <w:spacing w:after="0"/>
        <w:rPr>
          <w:rFonts w:ascii="Cambria Math"/>
          <w:sz w:val="11"/>
        </w:rPr>
        <w:sectPr>
          <w:type w:val="continuous"/>
          <w:pgSz w:w="11900" w:h="16840"/>
          <w:pgMar w:top="1600" w:bottom="1860" w:left="1540" w:right="1520"/>
        </w:sectPr>
      </w:pPr>
    </w:p>
    <w:p>
      <w:pPr>
        <w:pStyle w:val="BodyText"/>
        <w:spacing w:before="6"/>
        <w:rPr>
          <w:rFonts w:ascii="Cambria Math"/>
          <w:sz w:val="20"/>
        </w:rPr>
      </w:pPr>
    </w:p>
    <w:p>
      <w:pPr>
        <w:pStyle w:val="BodyText"/>
        <w:jc w:val="right"/>
        <w:rPr>
          <w:rFonts w:ascii="Cambria Math"/>
        </w:rPr>
      </w:pPr>
      <w:r>
        <w:rPr>
          <w:rFonts w:ascii="Cambria Math"/>
          <w:w w:val="105"/>
        </w:rPr>
        <w:t>CHCM =</w:t>
      </w:r>
    </w:p>
    <w:p>
      <w:pPr>
        <w:pStyle w:val="BodyText"/>
        <w:spacing w:line="297" w:lineRule="auto" w:before="63"/>
        <w:ind w:left="349" w:hanging="324"/>
        <w:rPr>
          <w:rFonts w:ascii="Cambria Math"/>
        </w:rPr>
      </w:pPr>
      <w:r>
        <w:rPr/>
        <w:br w:type="column"/>
      </w:r>
      <w:r>
        <w:rPr>
          <w:rFonts w:ascii="Cambria Math"/>
          <w:w w:val="105"/>
        </w:rPr>
        <w:t>Hemoglobina g/dL </w:t>
      </w:r>
      <w:r>
        <w:rPr>
          <w:rFonts w:ascii="Cambria Math"/>
          <w:w w:val="110"/>
        </w:rPr>
        <w:t>Hematocrito</w:t>
      </w:r>
    </w:p>
    <w:p>
      <w:pPr>
        <w:pStyle w:val="BodyText"/>
        <w:spacing w:before="6"/>
        <w:rPr>
          <w:rFonts w:ascii="Cambria Math"/>
          <w:sz w:val="20"/>
        </w:rPr>
      </w:pPr>
      <w:r>
        <w:rPr/>
        <w:br w:type="column"/>
      </w:r>
      <w:r>
        <w:rPr>
          <w:rFonts w:ascii="Cambria Math"/>
          <w:sz w:val="20"/>
        </w:rPr>
      </w:r>
    </w:p>
    <w:p>
      <w:pPr>
        <w:pStyle w:val="BodyText"/>
        <w:ind w:left="15"/>
        <w:rPr>
          <w:rFonts w:ascii="Cambria Math" w:hAnsi="Cambria Math"/>
        </w:rPr>
      </w:pPr>
      <w:r>
        <w:rPr/>
        <w:pict>
          <v:line style="position:absolute;mso-position-horizontal-relative:page;mso-position-vertical-relative:paragraph;z-index:-137728" from="255.479996pt,7.506641pt" to="355.199993pt,7.506641pt" stroked="true" strokeweight=".84pt" strokecolor="#000000">
            <w10:wrap type="none"/>
          </v:line>
        </w:pict>
      </w:r>
      <w:r>
        <w:rPr>
          <w:rFonts w:ascii="Cambria Math" w:hAnsi="Cambria Math"/>
        </w:rPr>
        <w:t>× 100</w:t>
      </w:r>
    </w:p>
    <w:p>
      <w:pPr>
        <w:spacing w:after="0"/>
        <w:rPr>
          <w:rFonts w:ascii="Cambria Math" w:hAnsi="Cambria Math"/>
        </w:rPr>
        <w:sectPr>
          <w:type w:val="continuous"/>
          <w:pgSz w:w="11900" w:h="16840"/>
          <w:pgMar w:top="1600" w:bottom="1860" w:left="1540" w:right="1520"/>
          <w:cols w:num="3" w:equalWidth="0">
            <w:col w:w="3505" w:space="40"/>
            <w:col w:w="2015" w:space="40"/>
            <w:col w:w="3240"/>
          </w:cols>
        </w:sectPr>
      </w:pPr>
    </w:p>
    <w:p>
      <w:pPr>
        <w:pStyle w:val="BodyText"/>
        <w:rPr>
          <w:rFonts w:ascii="Cambria Math"/>
          <w:sz w:val="20"/>
        </w:rPr>
      </w:pPr>
    </w:p>
    <w:p>
      <w:pPr>
        <w:pStyle w:val="BodyText"/>
        <w:spacing w:before="8"/>
        <w:rPr>
          <w:rFonts w:ascii="Cambria Math"/>
          <w:sz w:val="27"/>
        </w:rPr>
      </w:pPr>
    </w:p>
    <w:p>
      <w:pPr>
        <w:pStyle w:val="ListParagraph"/>
        <w:numPr>
          <w:ilvl w:val="3"/>
          <w:numId w:val="12"/>
        </w:numPr>
        <w:tabs>
          <w:tab w:pos="1650" w:val="left" w:leader="none"/>
        </w:tabs>
        <w:spacing w:line="240" w:lineRule="auto" w:before="74" w:after="0"/>
        <w:ind w:left="1649" w:right="0" w:hanging="845"/>
        <w:jc w:val="left"/>
        <w:rPr>
          <w:sz w:val="23"/>
        </w:rPr>
      </w:pPr>
      <w:r>
        <w:rPr>
          <w:sz w:val="23"/>
        </w:rPr>
        <w:t>Inmunofenotipo por citometría de</w:t>
      </w:r>
      <w:r>
        <w:rPr>
          <w:spacing w:val="37"/>
          <w:sz w:val="23"/>
        </w:rPr>
        <w:t> </w:t>
      </w:r>
      <w:r>
        <w:rPr>
          <w:sz w:val="23"/>
        </w:rPr>
        <w:t>flujo</w:t>
      </w:r>
    </w:p>
    <w:p>
      <w:pPr>
        <w:pStyle w:val="BodyText"/>
        <w:rPr>
          <w:sz w:val="22"/>
        </w:rPr>
      </w:pPr>
    </w:p>
    <w:p>
      <w:pPr>
        <w:pStyle w:val="BodyText"/>
        <w:spacing w:line="364" w:lineRule="auto" w:before="195"/>
        <w:ind w:left="116" w:right="224"/>
      </w:pPr>
      <w:r>
        <w:rPr/>
        <w:t>Para este análisis se utilizaron las muestras de sangre colectadas en tubos con heparina, las cuales de igual manera se mantuvieron a una temperatura de  4ºC.  Los inmunofenotipos determinados  en cada una de las muestras  fueron linfocitos  T colaboradores (Ab mouse anti sheep CD4RPE/MCA2213PE), linfocitos T citotóxicos (Ab mouse anti sheep CD8FITC/MCA2216F, D.F, México), granulocitos (Ab mouse anti bovine CD11bFITC/MCA1425F,.D.F, México) y monocitos (Ab mouse anti human CD14RPE/ MCA1568PE, D.F, México) usando anticuerpos de AbDSerotec® (Macey,</w:t>
      </w:r>
      <w:r>
        <w:rPr>
          <w:spacing w:val="37"/>
        </w:rPr>
        <w:t> </w:t>
      </w:r>
      <w:r>
        <w:rPr/>
        <w:t>2007).</w:t>
      </w:r>
    </w:p>
    <w:p>
      <w:pPr>
        <w:pStyle w:val="BodyText"/>
        <w:rPr>
          <w:sz w:val="22"/>
        </w:rPr>
      </w:pPr>
    </w:p>
    <w:p>
      <w:pPr>
        <w:pStyle w:val="BodyText"/>
        <w:spacing w:line="364" w:lineRule="auto" w:before="153"/>
        <w:ind w:left="116" w:right="118"/>
        <w:jc w:val="both"/>
      </w:pPr>
      <w:r>
        <w:rPr/>
        <w:t>La muestras de sangre se sometieron a un gradiente celular con Ficoll (Limphoprep® BD) para separar únicamente linfocitos (colaboradores  y  citotóxicos), granulocitos (neutrófilos, eosinófilos, basófilos) y macrófagos, este proceso consistió en hacer dilución 1:1 con sangre y PBS 1x, la cual fue colocada en 3ml de Ficoll, para posteriormente centrifugar a 1500rpm (centrifuga análoga para 12 tubos 3500 rpm),  20 min.  a temperatura ambiente.Para la segunda fase  se colectaron las células, de interés las cuales se mezclaron   con 2ml PBS 1x, y   se centrifugaron a 1500 rpm x 5</w:t>
      </w:r>
      <w:r>
        <w:rPr>
          <w:spacing w:val="47"/>
        </w:rPr>
        <w:t> </w:t>
      </w:r>
      <w:r>
        <w:rPr/>
        <w:t>minutos.</w:t>
      </w:r>
    </w:p>
    <w:p>
      <w:pPr>
        <w:spacing w:after="0" w:line="364" w:lineRule="auto"/>
        <w:jc w:val="both"/>
        <w:sectPr>
          <w:type w:val="continuous"/>
          <w:pgSz w:w="11900" w:h="16840"/>
          <w:pgMar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17"/>
        <w:jc w:val="both"/>
      </w:pPr>
      <w:r>
        <w:rPr/>
        <w:t>Una vez obtenida la suspensión de células blancas, se colocaron 20µl de la suspensión en placas de 96 pozos. Además de la suspensión, se le agrego a    cada pozo 100 µl de PBS 1x y se centrifugo a 1500 rpm,  5  minutos.  Posteriormente se elimino al sobrenadante y se dejo únicamente las células, a las cuales se les agrego 50µl del anticuerpo correspondiente (CD4RPE, CD8FITC, CD11FITC o CD14RPE). La mezcla se incubo por 30 minutos a 4 ºC y posteriormente se lavo con PBS 1x. Se agrego  el segundo anticuerpo, se incubo  de</w:t>
      </w:r>
      <w:r>
        <w:rPr>
          <w:spacing w:val="34"/>
        </w:rPr>
        <w:t> </w:t>
      </w:r>
      <w:r>
        <w:rPr/>
        <w:t>nuevo</w:t>
      </w:r>
      <w:r>
        <w:rPr>
          <w:spacing w:val="36"/>
        </w:rPr>
        <w:t> </w:t>
      </w:r>
      <w:r>
        <w:rPr/>
        <w:t>por</w:t>
      </w:r>
      <w:r>
        <w:rPr>
          <w:spacing w:val="36"/>
        </w:rPr>
        <w:t> </w:t>
      </w:r>
      <w:r>
        <w:rPr/>
        <w:t>30</w:t>
      </w:r>
      <w:r>
        <w:rPr>
          <w:spacing w:val="34"/>
        </w:rPr>
        <w:t> </w:t>
      </w:r>
      <w:r>
        <w:rPr/>
        <w:t>minutos</w:t>
      </w:r>
      <w:r>
        <w:rPr>
          <w:spacing w:val="33"/>
        </w:rPr>
        <w:t> </w:t>
      </w:r>
      <w:r>
        <w:rPr/>
        <w:t>a</w:t>
      </w:r>
      <w:r>
        <w:rPr>
          <w:spacing w:val="36"/>
        </w:rPr>
        <w:t> </w:t>
      </w:r>
      <w:r>
        <w:rPr/>
        <w:t>4ºC</w:t>
      </w:r>
      <w:r>
        <w:rPr>
          <w:spacing w:val="39"/>
        </w:rPr>
        <w:t> </w:t>
      </w:r>
      <w:r>
        <w:rPr/>
        <w:t>y</w:t>
      </w:r>
      <w:r>
        <w:rPr>
          <w:spacing w:val="33"/>
        </w:rPr>
        <w:t> </w:t>
      </w:r>
      <w:r>
        <w:rPr/>
        <w:t>finalmente</w:t>
      </w:r>
      <w:r>
        <w:rPr>
          <w:spacing w:val="34"/>
        </w:rPr>
        <w:t> </w:t>
      </w:r>
      <w:r>
        <w:rPr/>
        <w:t>se  </w:t>
      </w:r>
      <w:r>
        <w:rPr>
          <w:spacing w:val="5"/>
        </w:rPr>
        <w:t> </w:t>
      </w:r>
      <w:r>
        <w:rPr/>
        <w:t>lavo</w:t>
      </w:r>
      <w:r>
        <w:rPr>
          <w:spacing w:val="33"/>
        </w:rPr>
        <w:t> </w:t>
      </w:r>
      <w:r>
        <w:rPr/>
        <w:t>con</w:t>
      </w:r>
      <w:r>
        <w:rPr>
          <w:spacing w:val="32"/>
        </w:rPr>
        <w:t> </w:t>
      </w:r>
      <w:r>
        <w:rPr/>
        <w:t>PBX</w:t>
      </w:r>
      <w:r>
        <w:rPr>
          <w:spacing w:val="34"/>
        </w:rPr>
        <w:t> </w:t>
      </w:r>
      <w:r>
        <w:rPr/>
        <w:t>1x</w:t>
      </w:r>
      <w:r>
        <w:rPr>
          <w:spacing w:val="35"/>
        </w:rPr>
        <w:t> </w:t>
      </w:r>
      <w:r>
        <w:rPr/>
        <w:t>se</w:t>
      </w:r>
      <w:r>
        <w:rPr>
          <w:spacing w:val="32"/>
        </w:rPr>
        <w:t> </w:t>
      </w:r>
      <w:r>
        <w:rPr/>
        <w:t>leyó</w:t>
      </w:r>
      <w:r>
        <w:rPr>
          <w:spacing w:val="36"/>
        </w:rPr>
        <w:t> </w:t>
      </w:r>
      <w:r>
        <w:rPr/>
        <w:t>en</w:t>
      </w:r>
      <w:r>
        <w:rPr>
          <w:spacing w:val="34"/>
        </w:rPr>
        <w:t> </w:t>
      </w:r>
      <w:r>
        <w:rPr/>
        <w:t>el</w:t>
      </w:r>
    </w:p>
    <w:p>
      <w:pPr>
        <w:pStyle w:val="BodyText"/>
        <w:spacing w:line="270" w:lineRule="exact"/>
        <w:ind w:left="115"/>
        <w:jc w:val="both"/>
      </w:pPr>
      <w:r>
        <w:rPr/>
        <w:t>citómetro de flujo BD FACS (Calibur </w:t>
      </w:r>
      <w:r>
        <w:rPr>
          <w:position w:val="11"/>
          <w:sz w:val="15"/>
        </w:rPr>
        <w:t>TM  </w:t>
      </w:r>
      <w:r>
        <w:rPr/>
        <w:t>USA).</w:t>
      </w:r>
    </w:p>
    <w:p>
      <w:pPr>
        <w:pStyle w:val="BodyText"/>
        <w:rPr>
          <w:sz w:val="28"/>
        </w:rPr>
      </w:pPr>
    </w:p>
    <w:p>
      <w:pPr>
        <w:pStyle w:val="BodyText"/>
        <w:spacing w:before="9"/>
        <w:rPr>
          <w:sz w:val="35"/>
        </w:rPr>
      </w:pPr>
    </w:p>
    <w:p>
      <w:pPr>
        <w:pStyle w:val="Heading1"/>
        <w:numPr>
          <w:ilvl w:val="2"/>
          <w:numId w:val="12"/>
        </w:numPr>
        <w:tabs>
          <w:tab w:pos="769" w:val="left" w:leader="none"/>
        </w:tabs>
        <w:spacing w:line="240" w:lineRule="auto" w:before="0" w:after="0"/>
        <w:ind w:left="768" w:right="0" w:hanging="652"/>
        <w:jc w:val="both"/>
      </w:pPr>
      <w:bookmarkStart w:name="_TOC_250015" w:id="25"/>
      <w:r>
        <w:rPr/>
        <w:t>Análisis</w:t>
      </w:r>
      <w:r>
        <w:rPr>
          <w:spacing w:val="14"/>
        </w:rPr>
        <w:t> </w:t>
      </w:r>
      <w:bookmarkEnd w:id="25"/>
      <w:r>
        <w:rPr/>
        <w:t>estadístico</w:t>
      </w:r>
    </w:p>
    <w:p>
      <w:pPr>
        <w:pStyle w:val="BodyText"/>
        <w:rPr>
          <w:b/>
          <w:sz w:val="22"/>
        </w:rPr>
      </w:pPr>
    </w:p>
    <w:p>
      <w:pPr>
        <w:pStyle w:val="BodyText"/>
        <w:spacing w:line="364" w:lineRule="auto" w:before="195"/>
        <w:ind w:left="116" w:right="117"/>
        <w:jc w:val="both"/>
      </w:pPr>
      <w:r>
        <w:rPr/>
        <w:t>Los resultados de los análisis realizados en la muestras de sangre (bioquímica sanguínea, hemograma completo e inmunofenotipos) de cada animal fueron analizadas utilizando el procedimiento MIXED de SAS (2002) con medidas repetidas, el modelo incluye 4 tratamientos (Control, EZ, SB y EZSB) y cinco días de muestreo (0, 15, 30, 45 y 60) a los cuales se les determinaron los efectos lineales, cuadráticos y cúbicos. A los resultados de los cuatro inmunofenotipos (células T CD4, células T CD8, granulocitos y macrófagos) además se les realizó  un análisis de correlación con la ganancia diaria de peso por tratamiento y día de muestreo en PROC CORR de SAS 2002 (SAS, </w:t>
      </w:r>
      <w:r>
        <w:rPr>
          <w:spacing w:val="4"/>
        </w:rPr>
        <w:t> </w:t>
      </w:r>
      <w:r>
        <w:rPr/>
        <w:t>2002).</w:t>
      </w:r>
    </w:p>
    <w:p>
      <w:pPr>
        <w:pStyle w:val="BodyText"/>
        <w:rPr>
          <w:sz w:val="22"/>
        </w:rPr>
      </w:pPr>
    </w:p>
    <w:p>
      <w:pPr>
        <w:pStyle w:val="BodyText"/>
        <w:spacing w:before="8"/>
        <w:rPr>
          <w:sz w:val="18"/>
        </w:rPr>
      </w:pPr>
    </w:p>
    <w:p>
      <w:pPr>
        <w:pStyle w:val="Heading1"/>
        <w:numPr>
          <w:ilvl w:val="1"/>
          <w:numId w:val="13"/>
        </w:numPr>
        <w:tabs>
          <w:tab w:pos="570" w:val="left" w:leader="none"/>
        </w:tabs>
        <w:spacing w:line="240" w:lineRule="auto" w:before="0" w:after="0"/>
        <w:ind w:left="569" w:right="0" w:hanging="453"/>
        <w:jc w:val="both"/>
      </w:pPr>
      <w:bookmarkStart w:name="_TOC_250014" w:id="26"/>
      <w:r>
        <w:rPr/>
        <w:t>Experimento</w:t>
      </w:r>
      <w:r>
        <w:rPr>
          <w:spacing w:val="18"/>
        </w:rPr>
        <w:t> </w:t>
      </w:r>
      <w:bookmarkEnd w:id="26"/>
      <w:r>
        <w:rPr/>
        <w:t>2</w:t>
      </w:r>
    </w:p>
    <w:p>
      <w:pPr>
        <w:pStyle w:val="BodyText"/>
        <w:rPr>
          <w:b/>
          <w:sz w:val="22"/>
        </w:rPr>
      </w:pPr>
    </w:p>
    <w:p>
      <w:pPr>
        <w:pStyle w:val="BodyText"/>
        <w:rPr>
          <w:b/>
          <w:sz w:val="22"/>
        </w:rPr>
      </w:pPr>
    </w:p>
    <w:p>
      <w:pPr>
        <w:pStyle w:val="Heading1"/>
        <w:numPr>
          <w:ilvl w:val="2"/>
          <w:numId w:val="13"/>
        </w:numPr>
        <w:tabs>
          <w:tab w:pos="769" w:val="left" w:leader="none"/>
        </w:tabs>
        <w:spacing w:line="240" w:lineRule="auto" w:before="134" w:after="0"/>
        <w:ind w:left="768" w:right="0" w:hanging="652"/>
        <w:jc w:val="both"/>
      </w:pPr>
      <w:bookmarkStart w:name="_TOC_250013" w:id="27"/>
      <w:bookmarkEnd w:id="27"/>
      <w:r>
        <w:rPr/>
        <w:t>Animales</w:t>
      </w:r>
    </w:p>
    <w:p>
      <w:pPr>
        <w:pStyle w:val="BodyText"/>
        <w:rPr>
          <w:b/>
          <w:sz w:val="22"/>
        </w:rPr>
      </w:pPr>
    </w:p>
    <w:p>
      <w:pPr>
        <w:pStyle w:val="BodyText"/>
        <w:spacing w:line="364" w:lineRule="auto" w:before="197"/>
        <w:ind w:left="116" w:right="117"/>
        <w:jc w:val="both"/>
      </w:pPr>
      <w:r>
        <w:rPr/>
        <w:t>Para la realización de este experimento se utilizaron 4 corderos raza Suffolk de entre 3 y 4 meses de edad con un peso de 24kg (±2.27) y 4 cabras raza Saanen   de entre 5 a 8 meses de edad con un peso de 20kg (±2.5). Los animales se sometieron a un periodo de adaptación a la dieta por 2 semanas, la cual fue balanceada  de  acuerdo  a  los  requerimientos  de  animales  de  su  edad  y </w:t>
      </w:r>
      <w:r>
        <w:rPr>
          <w:spacing w:val="15"/>
        </w:rPr>
        <w:t> </w:t>
      </w:r>
      <w:r>
        <w:rPr/>
        <w:t>peso</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10"/>
        <w:rPr>
          <w:sz w:val="16"/>
        </w:rPr>
      </w:pPr>
    </w:p>
    <w:p>
      <w:pPr>
        <w:pStyle w:val="BodyText"/>
        <w:spacing w:line="364" w:lineRule="auto" w:before="74"/>
        <w:ind w:left="115" w:right="117"/>
        <w:jc w:val="both"/>
        <w:rPr>
          <w:i/>
        </w:rPr>
      </w:pPr>
      <w:r>
        <w:rPr/>
        <w:t>(NRC, 2007). Trascurridas las dos semanas, cada uno de los ocho animales se colocaron en jaulas metabólicas. El alimento y el agua se les ofreció forma  individual </w:t>
      </w:r>
      <w:r>
        <w:rPr>
          <w:i/>
        </w:rPr>
        <w:t>ad</w:t>
      </w:r>
      <w:r>
        <w:rPr>
          <w:i/>
          <w:spacing w:val="17"/>
        </w:rPr>
        <w:t> </w:t>
      </w:r>
      <w:r>
        <w:rPr>
          <w:i/>
        </w:rPr>
        <w:t>libitum.</w:t>
      </w:r>
    </w:p>
    <w:p>
      <w:pPr>
        <w:pStyle w:val="BodyText"/>
        <w:rPr>
          <w:i/>
          <w:sz w:val="22"/>
        </w:rPr>
      </w:pPr>
    </w:p>
    <w:p>
      <w:pPr>
        <w:pStyle w:val="BodyText"/>
        <w:spacing w:before="5"/>
        <w:rPr>
          <w:i/>
          <w:sz w:val="18"/>
        </w:rPr>
      </w:pPr>
    </w:p>
    <w:p>
      <w:pPr>
        <w:pStyle w:val="Heading1"/>
        <w:numPr>
          <w:ilvl w:val="2"/>
          <w:numId w:val="13"/>
        </w:numPr>
        <w:tabs>
          <w:tab w:pos="767" w:val="left" w:leader="none"/>
        </w:tabs>
        <w:spacing w:line="240" w:lineRule="auto" w:before="1" w:after="0"/>
        <w:ind w:left="766" w:right="0" w:hanging="650"/>
        <w:jc w:val="both"/>
      </w:pPr>
      <w:bookmarkStart w:name="_TOC_250012" w:id="28"/>
      <w:r>
        <w:rPr/>
        <w:t>Grupos</w:t>
      </w:r>
      <w:r>
        <w:rPr>
          <w:spacing w:val="28"/>
        </w:rPr>
        <w:t> </w:t>
      </w:r>
      <w:bookmarkEnd w:id="28"/>
      <w:r>
        <w:rPr/>
        <w:t>experimentales</w:t>
      </w:r>
    </w:p>
    <w:p>
      <w:pPr>
        <w:pStyle w:val="BodyText"/>
        <w:rPr>
          <w:b/>
          <w:sz w:val="22"/>
        </w:rPr>
      </w:pPr>
    </w:p>
    <w:p>
      <w:pPr>
        <w:pStyle w:val="BodyText"/>
        <w:spacing w:line="364" w:lineRule="auto" w:before="197"/>
        <w:ind w:left="115" w:right="119"/>
        <w:jc w:val="both"/>
      </w:pPr>
      <w:r>
        <w:rPr/>
        <w:t>Después de adaptarse a la dieta, los animales se asignaron de forma aleatoria a uno de cuatro tratamientos i) Control: administración de la dieta basal más 30ml de agua destilada, SB: dieta basal más 30ml de  extracto de </w:t>
      </w:r>
      <w:r>
        <w:rPr>
          <w:i/>
        </w:rPr>
        <w:t>Salix babylonica</w:t>
      </w:r>
      <w:r>
        <w:rPr/>
        <w:t>, EZ:  dieta basal más 1µl/g/MS ingerida de enzimas exógenas (Dyadic International Inc. Jupiter, FL) diluido en 30ml de agua destilada y SBEZ: dieta basal más 30ml de extracto de </w:t>
      </w:r>
      <w:r>
        <w:rPr>
          <w:i/>
        </w:rPr>
        <w:t>Salix babylonica </w:t>
      </w:r>
      <w:r>
        <w:rPr/>
        <w:t>y1µl/g/MS ingerida de enzimas exógenas diluida en 30ml de agua</w:t>
      </w:r>
      <w:r>
        <w:rPr>
          <w:spacing w:val="28"/>
        </w:rPr>
        <w:t> </w:t>
      </w:r>
      <w:r>
        <w:rPr/>
        <w:t>destilada.</w:t>
      </w:r>
    </w:p>
    <w:p>
      <w:pPr>
        <w:pStyle w:val="BodyText"/>
        <w:rPr>
          <w:sz w:val="22"/>
        </w:rPr>
      </w:pPr>
    </w:p>
    <w:p>
      <w:pPr>
        <w:pStyle w:val="BodyText"/>
        <w:spacing w:line="364" w:lineRule="auto" w:before="155"/>
        <w:ind w:left="115" w:right="119"/>
        <w:jc w:val="both"/>
      </w:pPr>
      <w:r>
        <w:rPr/>
        <w:t>Los tratamientos se administraron via oral mediante jeringa antes de proporcionarles el alimento. Cada tratamiento se ofrecio  por un  periodo de 15  días, por lo que el experimento completo duro 60</w:t>
      </w:r>
      <w:r>
        <w:rPr>
          <w:spacing w:val="58"/>
        </w:rPr>
        <w:t> </w:t>
      </w:r>
      <w:r>
        <w:rPr/>
        <w:t>días.</w:t>
      </w:r>
    </w:p>
    <w:p>
      <w:pPr>
        <w:pStyle w:val="BodyText"/>
        <w:rPr>
          <w:sz w:val="22"/>
        </w:rPr>
      </w:pPr>
    </w:p>
    <w:p>
      <w:pPr>
        <w:pStyle w:val="BodyText"/>
        <w:spacing w:before="11"/>
        <w:rPr>
          <w:sz w:val="29"/>
        </w:rPr>
      </w:pPr>
    </w:p>
    <w:p>
      <w:pPr>
        <w:pStyle w:val="Heading1"/>
        <w:numPr>
          <w:ilvl w:val="2"/>
          <w:numId w:val="13"/>
        </w:numPr>
        <w:tabs>
          <w:tab w:pos="764" w:val="left" w:leader="none"/>
        </w:tabs>
        <w:spacing w:line="240" w:lineRule="auto" w:before="0" w:after="0"/>
        <w:ind w:left="763" w:right="0" w:hanging="647"/>
        <w:jc w:val="both"/>
      </w:pPr>
      <w:bookmarkStart w:name="_TOC_250011" w:id="29"/>
      <w:r>
        <w:rPr/>
        <w:t>Preparación del</w:t>
      </w:r>
      <w:r>
        <w:rPr>
          <w:spacing w:val="33"/>
        </w:rPr>
        <w:t> </w:t>
      </w:r>
      <w:bookmarkEnd w:id="29"/>
      <w:r>
        <w:rPr/>
        <w:t>extracto</w:t>
      </w:r>
    </w:p>
    <w:p>
      <w:pPr>
        <w:pStyle w:val="BodyText"/>
        <w:rPr>
          <w:b/>
          <w:sz w:val="22"/>
        </w:rPr>
      </w:pPr>
    </w:p>
    <w:p>
      <w:pPr>
        <w:pStyle w:val="BodyText"/>
        <w:spacing w:line="364" w:lineRule="auto" w:before="197"/>
        <w:ind w:left="115" w:right="117"/>
        <w:jc w:val="both"/>
      </w:pPr>
      <w:r>
        <w:rPr/>
        <w:t>El extracto fue preparado de acuerdo a la técnica propuesta por Salem et al.   (2011), la cual consiste en colectar de forma aleatoria hojas frescas de por lo  menos 5 árboles de </w:t>
      </w:r>
      <w:r>
        <w:rPr>
          <w:i/>
        </w:rPr>
        <w:t>Salix babylonica </w:t>
      </w:r>
      <w:r>
        <w:rPr/>
        <w:t>en diferentes estados fenológicos, una vez colectadas las hojas se molieron y mezclaron con una solución preparada con anteriodidad (1kg de hojas de Salix babylonica previamente colectadas en 8L) a base de agua destilada, etanol (99/100, analytical grade, Fermont®, Monterrey, México) y metanol (99.8/100, analytical grade, Fermont®, Monterrey, México) en una proporción 80:10:10 (Salem et al.,</w:t>
      </w:r>
      <w:r>
        <w:rPr>
          <w:spacing w:val="49"/>
        </w:rPr>
        <w:t> </w:t>
      </w:r>
      <w:r>
        <w:rPr/>
        <w:t>2011b).</w:t>
      </w:r>
    </w:p>
    <w:p>
      <w:pPr>
        <w:pStyle w:val="BodyText"/>
        <w:rPr>
          <w:sz w:val="22"/>
        </w:rPr>
      </w:pPr>
    </w:p>
    <w:p>
      <w:pPr>
        <w:pStyle w:val="BodyText"/>
        <w:spacing w:line="331" w:lineRule="auto" w:before="155"/>
        <w:ind w:left="115" w:right="119"/>
        <w:jc w:val="both"/>
      </w:pPr>
      <w:r>
        <w:rPr/>
        <w:t>La mezcla de hojas y solución se incubo por 48 a 72 h a una temperatura de 25 a 30 </w:t>
      </w:r>
      <w:r>
        <w:rPr>
          <w:position w:val="11"/>
          <w:sz w:val="15"/>
        </w:rPr>
        <w:t>o</w:t>
      </w:r>
      <w:r>
        <w:rPr/>
        <w:t>C, una vez transcurrido este tiempo, la mezcla se incubo      </w:t>
      </w:r>
      <w:r>
        <w:rPr>
          <w:spacing w:val="11"/>
        </w:rPr>
        <w:t> </w:t>
      </w:r>
      <w:r>
        <w:rPr/>
        <w:t>por 1 h en baño de</w:t>
      </w:r>
    </w:p>
    <w:p>
      <w:pPr>
        <w:spacing w:after="0" w:line="331" w:lineRule="auto"/>
        <w:jc w:val="both"/>
        <w:sectPr>
          <w:pgSz w:w="11900" w:h="16840"/>
          <w:pgMar w:header="0" w:footer="1679" w:top="1600" w:bottom="1860" w:left="1540" w:right="1520"/>
        </w:sectPr>
      </w:pPr>
    </w:p>
    <w:p>
      <w:pPr>
        <w:pStyle w:val="BodyText"/>
        <w:rPr>
          <w:sz w:val="20"/>
        </w:rPr>
      </w:pPr>
    </w:p>
    <w:p>
      <w:pPr>
        <w:pStyle w:val="BodyText"/>
        <w:spacing w:before="2"/>
        <w:rPr>
          <w:sz w:val="20"/>
        </w:rPr>
      </w:pPr>
    </w:p>
    <w:p>
      <w:pPr>
        <w:pStyle w:val="BodyText"/>
        <w:spacing w:line="364" w:lineRule="auto" w:before="1"/>
        <w:ind w:left="115" w:right="120"/>
        <w:jc w:val="both"/>
      </w:pPr>
      <w:r>
        <w:rPr/>
        <w:t>agua a 39 </w:t>
      </w:r>
      <w:r>
        <w:rPr>
          <w:position w:val="11"/>
          <w:sz w:val="15"/>
        </w:rPr>
        <w:t>o</w:t>
      </w:r>
      <w:r>
        <w:rPr/>
        <w:t>C. Transcurrido este periodo se filtro y se almaceno a temperatura de refrigeración.</w:t>
      </w:r>
    </w:p>
    <w:p>
      <w:pPr>
        <w:pStyle w:val="BodyText"/>
        <w:rPr>
          <w:sz w:val="22"/>
        </w:rPr>
      </w:pPr>
    </w:p>
    <w:p>
      <w:pPr>
        <w:pStyle w:val="BodyText"/>
        <w:spacing w:before="2"/>
        <w:rPr>
          <w:sz w:val="30"/>
        </w:rPr>
      </w:pPr>
    </w:p>
    <w:p>
      <w:pPr>
        <w:pStyle w:val="Heading1"/>
        <w:numPr>
          <w:ilvl w:val="2"/>
          <w:numId w:val="13"/>
        </w:numPr>
        <w:tabs>
          <w:tab w:pos="764" w:val="left" w:leader="none"/>
        </w:tabs>
        <w:spacing w:line="240" w:lineRule="auto" w:before="0" w:after="0"/>
        <w:ind w:left="763" w:right="0" w:hanging="647"/>
        <w:jc w:val="both"/>
      </w:pPr>
      <w:bookmarkStart w:name="_TOC_250010" w:id="30"/>
      <w:r>
        <w:rPr/>
        <w:t>Determinación de metabolitos secundarios en el </w:t>
      </w:r>
      <w:r>
        <w:rPr>
          <w:spacing w:val="8"/>
        </w:rPr>
        <w:t> </w:t>
      </w:r>
      <w:bookmarkEnd w:id="30"/>
      <w:r>
        <w:rPr/>
        <w:t>extracto</w:t>
      </w:r>
    </w:p>
    <w:p>
      <w:pPr>
        <w:pStyle w:val="BodyText"/>
        <w:rPr>
          <w:b/>
          <w:sz w:val="22"/>
        </w:rPr>
      </w:pPr>
    </w:p>
    <w:p>
      <w:pPr>
        <w:pStyle w:val="BodyText"/>
        <w:spacing w:before="197"/>
        <w:ind w:left="115"/>
        <w:jc w:val="both"/>
      </w:pPr>
      <w:r>
        <w:rPr/>
        <w:t>Para la determinación  de  los  metabolitos  secundarios  en el  extracto se utilizaron</w:t>
      </w:r>
    </w:p>
    <w:p>
      <w:pPr>
        <w:pStyle w:val="BodyText"/>
        <w:spacing w:line="364" w:lineRule="auto" w:before="136"/>
        <w:ind w:left="116" w:right="119"/>
        <w:jc w:val="both"/>
      </w:pPr>
      <w:r>
        <w:rPr/>
        <w:t>10 ml de extracto de </w:t>
      </w:r>
      <w:r>
        <w:rPr>
          <w:i/>
        </w:rPr>
        <w:t>Salix babylonica </w:t>
      </w:r>
      <w:r>
        <w:rPr/>
        <w:t>el cual se mezclo en un embudo de separación con un volumen doble de acetato de etilo (99.7/100, analytical grade, Fermont®, Monterrey, México) para determinar el contenido de compuestos fenólicos totales, una vez separados los fenólicos totales se agregó un volumen doble de n- butanol (99.9/100, analytical grade,  Fermont®,  Monterrey,  México) para determinar el contenido de saponinas (Ahmed et al., 1990) La fracción restante, se consideró como la fracción acuosa del extracto la cual contiene  lectinas, polipéptidos y almidón (Cowan,</w:t>
      </w:r>
      <w:r>
        <w:rPr>
          <w:spacing w:val="48"/>
        </w:rPr>
        <w:t> </w:t>
      </w:r>
      <w:r>
        <w:rPr/>
        <w:t>1999).</w:t>
      </w:r>
    </w:p>
    <w:p>
      <w:pPr>
        <w:pStyle w:val="BodyText"/>
        <w:rPr>
          <w:sz w:val="22"/>
        </w:rPr>
      </w:pPr>
    </w:p>
    <w:p>
      <w:pPr>
        <w:pStyle w:val="BodyText"/>
        <w:spacing w:before="5"/>
        <w:rPr>
          <w:sz w:val="18"/>
        </w:rPr>
      </w:pPr>
    </w:p>
    <w:p>
      <w:pPr>
        <w:pStyle w:val="Heading1"/>
        <w:numPr>
          <w:ilvl w:val="2"/>
          <w:numId w:val="13"/>
        </w:numPr>
        <w:tabs>
          <w:tab w:pos="764" w:val="left" w:leader="none"/>
        </w:tabs>
        <w:spacing w:line="240" w:lineRule="auto" w:before="1" w:after="0"/>
        <w:ind w:left="763" w:right="0" w:hanging="647"/>
        <w:jc w:val="both"/>
      </w:pPr>
      <w:bookmarkStart w:name="_TOC_250009" w:id="31"/>
      <w:bookmarkEnd w:id="31"/>
      <w:r>
        <w:rPr/>
        <w:t>Muestreo</w:t>
      </w:r>
    </w:p>
    <w:p>
      <w:pPr>
        <w:pStyle w:val="BodyText"/>
        <w:rPr>
          <w:b/>
          <w:sz w:val="22"/>
        </w:rPr>
      </w:pPr>
    </w:p>
    <w:p>
      <w:pPr>
        <w:pStyle w:val="BodyText"/>
        <w:rPr>
          <w:b/>
          <w:sz w:val="22"/>
        </w:rPr>
      </w:pPr>
    </w:p>
    <w:p>
      <w:pPr>
        <w:pStyle w:val="ListParagraph"/>
        <w:numPr>
          <w:ilvl w:val="3"/>
          <w:numId w:val="13"/>
        </w:numPr>
        <w:tabs>
          <w:tab w:pos="1650" w:val="left" w:leader="none"/>
        </w:tabs>
        <w:spacing w:line="240" w:lineRule="auto" w:before="139" w:after="0"/>
        <w:ind w:left="1649" w:right="0" w:hanging="845"/>
        <w:jc w:val="left"/>
        <w:rPr>
          <w:sz w:val="23"/>
        </w:rPr>
      </w:pPr>
      <w:r>
        <w:rPr>
          <w:sz w:val="23"/>
        </w:rPr>
        <w:t>Colecta de</w:t>
      </w:r>
      <w:r>
        <w:rPr>
          <w:spacing w:val="20"/>
          <w:sz w:val="23"/>
        </w:rPr>
        <w:t> </w:t>
      </w:r>
      <w:r>
        <w:rPr>
          <w:sz w:val="23"/>
        </w:rPr>
        <w:t>muestras.</w:t>
      </w:r>
    </w:p>
    <w:p>
      <w:pPr>
        <w:pStyle w:val="BodyText"/>
        <w:rPr>
          <w:sz w:val="22"/>
        </w:rPr>
      </w:pPr>
    </w:p>
    <w:p>
      <w:pPr>
        <w:pStyle w:val="BodyText"/>
        <w:spacing w:line="364" w:lineRule="auto" w:before="193"/>
        <w:ind w:left="116" w:right="118"/>
        <w:jc w:val="both"/>
      </w:pPr>
      <w:r>
        <w:rPr/>
        <w:t>Se colectaron 2 muestras de sangre vía venopunción yugular de cada uno de los animales el día 15 de cada periodo experimental, mediante la utilización de tubos vacutainer (BD tube, Monterrey, México), sin anticoagulante para obtener suero y hacer una bioquímica sanguínea y con EDTA para la realización del hemograma completo.</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5"/>
        <w:rPr>
          <w:sz w:val="16"/>
        </w:rPr>
      </w:pPr>
    </w:p>
    <w:p>
      <w:pPr>
        <w:pStyle w:val="Heading1"/>
        <w:numPr>
          <w:ilvl w:val="2"/>
          <w:numId w:val="13"/>
        </w:numPr>
        <w:tabs>
          <w:tab w:pos="769" w:val="left" w:leader="none"/>
        </w:tabs>
        <w:spacing w:line="240" w:lineRule="auto" w:before="74" w:after="0"/>
        <w:ind w:left="768" w:right="0" w:hanging="652"/>
        <w:jc w:val="both"/>
      </w:pPr>
      <w:bookmarkStart w:name="_TOC_250008" w:id="32"/>
      <w:r>
        <w:rPr/>
        <w:t>Análisis de las</w:t>
      </w:r>
      <w:r>
        <w:rPr>
          <w:spacing w:val="26"/>
        </w:rPr>
        <w:t> </w:t>
      </w:r>
      <w:bookmarkEnd w:id="32"/>
      <w:r>
        <w:rPr/>
        <w:t>muestras</w:t>
      </w:r>
    </w:p>
    <w:p>
      <w:pPr>
        <w:pStyle w:val="BodyText"/>
        <w:rPr>
          <w:b/>
          <w:sz w:val="22"/>
        </w:rPr>
      </w:pPr>
    </w:p>
    <w:p>
      <w:pPr>
        <w:pStyle w:val="BodyText"/>
        <w:rPr>
          <w:b/>
          <w:sz w:val="22"/>
        </w:rPr>
      </w:pPr>
    </w:p>
    <w:p>
      <w:pPr>
        <w:pStyle w:val="ListParagraph"/>
        <w:numPr>
          <w:ilvl w:val="3"/>
          <w:numId w:val="13"/>
        </w:numPr>
        <w:tabs>
          <w:tab w:pos="1650" w:val="left" w:leader="none"/>
        </w:tabs>
        <w:spacing w:line="240" w:lineRule="auto" w:before="139" w:after="0"/>
        <w:ind w:left="1649" w:right="0" w:hanging="845"/>
        <w:jc w:val="left"/>
        <w:rPr>
          <w:sz w:val="23"/>
        </w:rPr>
      </w:pPr>
      <w:r>
        <w:rPr>
          <w:sz w:val="23"/>
        </w:rPr>
        <w:t>Bioquímica</w:t>
      </w:r>
      <w:r>
        <w:rPr>
          <w:spacing w:val="28"/>
          <w:sz w:val="23"/>
        </w:rPr>
        <w:t> </w:t>
      </w:r>
      <w:r>
        <w:rPr>
          <w:sz w:val="23"/>
        </w:rPr>
        <w:t>sanguínea</w:t>
      </w:r>
    </w:p>
    <w:p>
      <w:pPr>
        <w:pStyle w:val="BodyText"/>
        <w:rPr>
          <w:sz w:val="22"/>
        </w:rPr>
      </w:pPr>
    </w:p>
    <w:p>
      <w:pPr>
        <w:pStyle w:val="BodyText"/>
        <w:tabs>
          <w:tab w:pos="8588" w:val="left" w:leader="none"/>
        </w:tabs>
        <w:spacing w:line="355" w:lineRule="auto" w:before="195"/>
        <w:ind w:left="115" w:right="99"/>
      </w:pPr>
      <w:r>
        <w:rPr/>
        <w:t>Para</w:t>
      </w:r>
      <w:r>
        <w:rPr>
          <w:spacing w:val="45"/>
        </w:rPr>
        <w:t> </w:t>
      </w:r>
      <w:r>
        <w:rPr/>
        <w:t>la</w:t>
      </w:r>
      <w:r>
        <w:rPr>
          <w:spacing w:val="47"/>
        </w:rPr>
        <w:t> </w:t>
      </w:r>
      <w:r>
        <w:rPr/>
        <w:t>realización</w:t>
      </w:r>
      <w:r>
        <w:rPr>
          <w:spacing w:val="47"/>
        </w:rPr>
        <w:t> </w:t>
      </w:r>
      <w:r>
        <w:rPr/>
        <w:t>de</w:t>
      </w:r>
      <w:r>
        <w:rPr>
          <w:spacing w:val="47"/>
        </w:rPr>
        <w:t> </w:t>
      </w:r>
      <w:r>
        <w:rPr/>
        <w:t>este</w:t>
      </w:r>
      <w:r>
        <w:rPr>
          <w:spacing w:val="50"/>
        </w:rPr>
        <w:t> </w:t>
      </w:r>
      <w:r>
        <w:rPr/>
        <w:t>análisis,</w:t>
      </w:r>
      <w:r>
        <w:rPr>
          <w:spacing w:val="45"/>
        </w:rPr>
        <w:t> </w:t>
      </w:r>
      <w:r>
        <w:rPr/>
        <w:t>las</w:t>
      </w:r>
      <w:r>
        <w:rPr>
          <w:spacing w:val="46"/>
        </w:rPr>
        <w:t> </w:t>
      </w:r>
      <w:r>
        <w:rPr/>
        <w:t>muestras</w:t>
      </w:r>
      <w:r>
        <w:rPr>
          <w:spacing w:val="48"/>
        </w:rPr>
        <w:t> </w:t>
      </w:r>
      <w:r>
        <w:rPr/>
        <w:t>de</w:t>
      </w:r>
      <w:r>
        <w:rPr>
          <w:spacing w:val="47"/>
        </w:rPr>
        <w:t> </w:t>
      </w:r>
      <w:r>
        <w:rPr/>
        <w:t>sangre</w:t>
      </w:r>
      <w:r>
        <w:rPr>
          <w:spacing w:val="45"/>
        </w:rPr>
        <w:t> </w:t>
      </w:r>
      <w:r>
        <w:rPr/>
        <w:t>se</w:t>
      </w:r>
      <w:r>
        <w:rPr>
          <w:spacing w:val="47"/>
        </w:rPr>
        <w:t> </w:t>
      </w:r>
      <w:r>
        <w:rPr/>
        <w:t>mantuvieron</w:t>
        <w:tab/>
        <w:t>a temperatura ambiente durante un periodo de 1h, posteriormente se centrifugaron a 1500 rpm por 10 minutos. El suero se refrigero a -20</w:t>
      </w:r>
      <w:r>
        <w:rPr>
          <w:position w:val="11"/>
          <w:sz w:val="15"/>
        </w:rPr>
        <w:t>o</w:t>
      </w:r>
      <w:r>
        <w:rPr/>
        <w:t>C para su análisis posterior. Una   vez   colectadas   todas   las   muestras   de   suero,   se   analizaron   en   </w:t>
      </w:r>
      <w:r>
        <w:rPr>
          <w:spacing w:val="1"/>
        </w:rPr>
        <w:t> </w:t>
      </w:r>
      <w:r>
        <w:rPr/>
        <w:t>un</w:t>
      </w:r>
    </w:p>
    <w:p>
      <w:pPr>
        <w:pStyle w:val="BodyText"/>
        <w:spacing w:line="364" w:lineRule="auto" w:before="15"/>
        <w:ind w:left="115" w:right="99"/>
        <w:jc w:val="both"/>
      </w:pPr>
      <w:r>
        <w:rPr/>
        <w:t>espectrofotómetro semiautomático BTS350 (Instrumentation Labotarory®), para determinar las concentraciones de proteína total, glucosa, creatinina, urea, ALP (fosfatasa alcalina), AST (aspartato aninotransferasa), ALT (alanino aminotransferasa), fosforo, calcio y magnesio  (mmol/L).</w:t>
      </w:r>
    </w:p>
    <w:p>
      <w:pPr>
        <w:pStyle w:val="BodyText"/>
        <w:rPr>
          <w:sz w:val="22"/>
        </w:rPr>
      </w:pPr>
    </w:p>
    <w:p>
      <w:pPr>
        <w:pStyle w:val="BodyText"/>
        <w:spacing w:before="4"/>
        <w:rPr>
          <w:sz w:val="30"/>
        </w:rPr>
      </w:pPr>
    </w:p>
    <w:p>
      <w:pPr>
        <w:pStyle w:val="ListParagraph"/>
        <w:numPr>
          <w:ilvl w:val="3"/>
          <w:numId w:val="13"/>
        </w:numPr>
        <w:tabs>
          <w:tab w:pos="1650" w:val="left" w:leader="none"/>
        </w:tabs>
        <w:spacing w:line="240" w:lineRule="auto" w:before="0" w:after="0"/>
        <w:ind w:left="1649" w:right="0" w:hanging="845"/>
        <w:jc w:val="left"/>
        <w:rPr>
          <w:sz w:val="23"/>
        </w:rPr>
      </w:pPr>
      <w:r>
        <w:rPr>
          <w:sz w:val="23"/>
        </w:rPr>
        <w:t>Hemograma</w:t>
      </w:r>
      <w:r>
        <w:rPr>
          <w:spacing w:val="25"/>
          <w:sz w:val="23"/>
        </w:rPr>
        <w:t> </w:t>
      </w:r>
      <w:r>
        <w:rPr>
          <w:sz w:val="23"/>
        </w:rPr>
        <w:t>completo</w:t>
      </w:r>
    </w:p>
    <w:p>
      <w:pPr>
        <w:pStyle w:val="BodyText"/>
        <w:rPr>
          <w:sz w:val="22"/>
        </w:rPr>
      </w:pPr>
    </w:p>
    <w:p>
      <w:pPr>
        <w:pStyle w:val="BodyText"/>
        <w:spacing w:line="350" w:lineRule="auto" w:before="195"/>
        <w:ind w:left="115" w:right="98"/>
        <w:jc w:val="both"/>
      </w:pPr>
      <w:r>
        <w:rPr/>
        <w:t>Las muestras de sangre colectadas en tubos con EDTA, se mantuvieron y transportaron con un ambiente de 4 ºC. Se determinaron los perfiles de eritrocitos (10</w:t>
      </w:r>
      <w:r>
        <w:rPr>
          <w:position w:val="11"/>
          <w:sz w:val="15"/>
        </w:rPr>
        <w:t>12</w:t>
      </w:r>
      <w:r>
        <w:rPr/>
        <w:t>/L), hemoglobina (g/L), hematocrito (L/L), conteo total (10</w:t>
      </w:r>
      <w:r>
        <w:rPr>
          <w:position w:val="11"/>
          <w:sz w:val="15"/>
        </w:rPr>
        <w:t>9</w:t>
      </w:r>
      <w:r>
        <w:rPr/>
        <w:t>/L) y diferencial de leucocitos (10</w:t>
      </w:r>
      <w:r>
        <w:rPr>
          <w:position w:val="11"/>
          <w:sz w:val="15"/>
        </w:rPr>
        <w:t>9</w:t>
      </w:r>
      <w:r>
        <w:rPr/>
        <w:t>/L), volumen corpuscular medio (VCM en Fl), concentración de hemoglobina corpuscular media (CHCM en g/L) y proteína plasmática  (g/Dl).</w:t>
      </w:r>
    </w:p>
    <w:p>
      <w:pPr>
        <w:pStyle w:val="BodyText"/>
        <w:rPr>
          <w:sz w:val="22"/>
        </w:rPr>
      </w:pPr>
    </w:p>
    <w:p>
      <w:pPr>
        <w:pStyle w:val="BodyText"/>
        <w:spacing w:line="364" w:lineRule="auto" w:before="170"/>
        <w:ind w:left="115" w:right="98"/>
        <w:jc w:val="both"/>
      </w:pPr>
      <w:r>
        <w:rPr/>
        <w:t>Para el conteo de eritrocitos, así como para el análisis total y diferencial de leucocitos se utilizó un hemocitometro (Cámara de Recuento BLAUBRAND®), la concentración de hemoglobina se determinó con el método de la cianometahemoglobina, el hematocrito se obtuvo utilizando la técnica del microhematocrito, la proteína plasmática se determinó con un refractómetro. Se determinaron los índices de Wintrobe VCM y CHCM  para  diagnosticar algún tipo de anemia teniendo en cuenta los valores de eritrocitos, hematocrito  y  hemoglobina (Coffin et al., 1959, Archer and Jeffcott, 1977, Smith, </w:t>
      </w:r>
      <w:r>
        <w:rPr>
          <w:spacing w:val="17"/>
        </w:rPr>
        <w:t> </w:t>
      </w:r>
      <w:r>
        <w:rPr/>
        <w:t>2007).</w:t>
      </w:r>
    </w:p>
    <w:p>
      <w:pPr>
        <w:spacing w:after="0" w:line="364" w:lineRule="auto"/>
        <w:jc w:val="both"/>
        <w:sectPr>
          <w:pgSz w:w="11900" w:h="16840"/>
          <w:pgMar w:header="0" w:footer="1679" w:top="1600" w:bottom="1860" w:left="1540" w:right="1540"/>
        </w:sectPr>
      </w:pPr>
    </w:p>
    <w:p>
      <w:pPr>
        <w:pStyle w:val="BodyText"/>
        <w:rPr>
          <w:sz w:val="20"/>
        </w:rPr>
      </w:pPr>
    </w:p>
    <w:p>
      <w:pPr>
        <w:pStyle w:val="BodyText"/>
        <w:spacing w:before="10"/>
        <w:rPr>
          <w:sz w:val="16"/>
        </w:rPr>
      </w:pPr>
    </w:p>
    <w:p>
      <w:pPr>
        <w:pStyle w:val="BodyText"/>
        <w:spacing w:line="364" w:lineRule="auto" w:before="74"/>
        <w:ind w:left="115" w:right="224"/>
      </w:pPr>
      <w:r>
        <w:rPr/>
        <w:t>Se utilizaron las siguientes formulas para calcular los índices de Wintrobe de acuerdo con la metodología de Smith,</w:t>
      </w:r>
      <w:r>
        <w:rPr>
          <w:spacing w:val="50"/>
        </w:rPr>
        <w:t> </w:t>
      </w:r>
      <w:r>
        <w:rPr/>
        <w:t>(2007).</w:t>
      </w:r>
    </w:p>
    <w:p>
      <w:pPr>
        <w:pStyle w:val="BodyText"/>
        <w:spacing w:before="3"/>
        <w:rPr>
          <w:sz w:val="27"/>
        </w:rPr>
      </w:pPr>
    </w:p>
    <w:p>
      <w:pPr>
        <w:spacing w:after="0"/>
        <w:rPr>
          <w:sz w:val="27"/>
        </w:rPr>
        <w:sectPr>
          <w:footerReference w:type="default" r:id="rId15"/>
          <w:pgSz w:w="11900" w:h="16840"/>
          <w:pgMar w:footer="1679" w:header="0" w:top="1600" w:bottom="1860" w:left="1540" w:right="1520"/>
          <w:pgNumType w:start="40"/>
        </w:sectPr>
      </w:pPr>
    </w:p>
    <w:p>
      <w:pPr>
        <w:pStyle w:val="BodyText"/>
        <w:spacing w:before="10"/>
        <w:rPr>
          <w:sz w:val="20"/>
        </w:rPr>
      </w:pPr>
    </w:p>
    <w:p>
      <w:pPr>
        <w:pStyle w:val="BodyText"/>
        <w:spacing w:before="1"/>
        <w:jc w:val="right"/>
        <w:rPr>
          <w:rFonts w:ascii="Cambria Math"/>
        </w:rPr>
      </w:pPr>
      <w:r>
        <w:rPr>
          <w:rFonts w:ascii="Cambria Math"/>
          <w:w w:val="105"/>
        </w:rPr>
        <w:t>VCM =</w:t>
      </w:r>
    </w:p>
    <w:p>
      <w:pPr>
        <w:pStyle w:val="BodyText"/>
        <w:spacing w:line="300" w:lineRule="auto" w:before="63"/>
        <w:ind w:left="25" w:right="-11" w:firstLine="232"/>
        <w:rPr>
          <w:rFonts w:ascii="Cambria Math"/>
        </w:rPr>
      </w:pPr>
      <w:r>
        <w:rPr/>
        <w:br w:type="column"/>
      </w:r>
      <w:r>
        <w:rPr>
          <w:rFonts w:ascii="Cambria Math"/>
          <w:w w:val="110"/>
        </w:rPr>
        <w:t>Hematocrito % Total de</w:t>
      </w:r>
      <w:r>
        <w:rPr>
          <w:rFonts w:ascii="Cambria Math"/>
          <w:spacing w:val="-19"/>
          <w:w w:val="110"/>
        </w:rPr>
        <w:t> </w:t>
      </w:r>
      <w:r>
        <w:rPr>
          <w:rFonts w:ascii="Cambria Math"/>
          <w:w w:val="110"/>
        </w:rPr>
        <w:t>eritrocitos</w:t>
      </w:r>
    </w:p>
    <w:p>
      <w:pPr>
        <w:pStyle w:val="BodyText"/>
        <w:spacing w:before="6"/>
        <w:rPr>
          <w:rFonts w:ascii="Cambria Math"/>
          <w:sz w:val="20"/>
        </w:rPr>
      </w:pPr>
      <w:r>
        <w:rPr/>
        <w:br w:type="column"/>
      </w:r>
      <w:r>
        <w:rPr>
          <w:rFonts w:ascii="Cambria Math"/>
          <w:sz w:val="20"/>
        </w:rPr>
      </w:r>
    </w:p>
    <w:p>
      <w:pPr>
        <w:pStyle w:val="BodyText"/>
        <w:ind w:left="17"/>
        <w:rPr>
          <w:rFonts w:ascii="Cambria Math" w:hAnsi="Cambria Math"/>
        </w:rPr>
      </w:pPr>
      <w:r>
        <w:rPr/>
        <w:pict>
          <v:line style="position:absolute;mso-position-horizontal-relative:page;mso-position-vertical-relative:paragraph;z-index:-137704" from="252.839996pt,7.626575pt" to="356.159994pt,7.626575pt" stroked="true" strokeweight=".84pt" strokecolor="#000000">
            <w10:wrap type="none"/>
          </v:line>
        </w:pict>
      </w:r>
      <w:r>
        <w:rPr>
          <w:rFonts w:ascii="Cambria Math" w:hAnsi="Cambria Math"/>
        </w:rPr>
        <w:t>× 10</w:t>
      </w:r>
    </w:p>
    <w:p>
      <w:pPr>
        <w:spacing w:after="0"/>
        <w:rPr>
          <w:rFonts w:ascii="Cambria Math" w:hAnsi="Cambria Math"/>
        </w:rPr>
        <w:sectPr>
          <w:type w:val="continuous"/>
          <w:pgSz w:w="11900" w:h="16840"/>
          <w:pgMar w:top="1600" w:bottom="1860" w:left="1540" w:right="1520"/>
          <w:cols w:num="3" w:equalWidth="0">
            <w:col w:w="3452" w:space="40"/>
            <w:col w:w="2086" w:space="40"/>
            <w:col w:w="3222"/>
          </w:cols>
        </w:sectPr>
      </w:pPr>
    </w:p>
    <w:p>
      <w:pPr>
        <w:pStyle w:val="BodyText"/>
        <w:spacing w:before="8"/>
        <w:rPr>
          <w:rFonts w:ascii="Cambria Math"/>
          <w:sz w:val="11"/>
        </w:rPr>
      </w:pPr>
    </w:p>
    <w:p>
      <w:pPr>
        <w:spacing w:after="0"/>
        <w:rPr>
          <w:rFonts w:ascii="Cambria Math"/>
          <w:sz w:val="11"/>
        </w:rPr>
        <w:sectPr>
          <w:type w:val="continuous"/>
          <w:pgSz w:w="11900" w:h="16840"/>
          <w:pgMar w:top="1600" w:bottom="1860" w:left="1540" w:right="1520"/>
        </w:sectPr>
      </w:pPr>
    </w:p>
    <w:p>
      <w:pPr>
        <w:pStyle w:val="BodyText"/>
        <w:spacing w:before="7"/>
        <w:rPr>
          <w:rFonts w:ascii="Cambria Math"/>
          <w:sz w:val="20"/>
        </w:rPr>
      </w:pPr>
    </w:p>
    <w:p>
      <w:pPr>
        <w:pStyle w:val="BodyText"/>
        <w:jc w:val="right"/>
        <w:rPr>
          <w:rFonts w:ascii="Cambria Math"/>
        </w:rPr>
      </w:pPr>
      <w:r>
        <w:rPr>
          <w:rFonts w:ascii="Cambria Math"/>
          <w:w w:val="105"/>
        </w:rPr>
        <w:t>CHCM =</w:t>
      </w:r>
    </w:p>
    <w:p>
      <w:pPr>
        <w:pStyle w:val="BodyText"/>
        <w:spacing w:line="300" w:lineRule="auto" w:before="64"/>
        <w:ind w:left="349" w:hanging="324"/>
        <w:rPr>
          <w:rFonts w:ascii="Cambria Math"/>
        </w:rPr>
      </w:pPr>
      <w:r>
        <w:rPr/>
        <w:br w:type="column"/>
      </w:r>
      <w:r>
        <w:rPr>
          <w:rFonts w:ascii="Cambria Math"/>
          <w:w w:val="105"/>
        </w:rPr>
        <w:t>Hemoglobina g/dL </w:t>
      </w:r>
      <w:r>
        <w:rPr>
          <w:rFonts w:ascii="Cambria Math"/>
          <w:w w:val="110"/>
        </w:rPr>
        <w:t>Hematocrito</w:t>
      </w:r>
    </w:p>
    <w:p>
      <w:pPr>
        <w:pStyle w:val="BodyText"/>
        <w:spacing w:before="7"/>
        <w:rPr>
          <w:rFonts w:ascii="Cambria Math"/>
          <w:sz w:val="20"/>
        </w:rPr>
      </w:pPr>
      <w:r>
        <w:rPr/>
        <w:br w:type="column"/>
      </w:r>
      <w:r>
        <w:rPr>
          <w:rFonts w:ascii="Cambria Math"/>
          <w:sz w:val="20"/>
        </w:rPr>
      </w:r>
    </w:p>
    <w:p>
      <w:pPr>
        <w:pStyle w:val="BodyText"/>
        <w:ind w:left="15"/>
        <w:rPr>
          <w:rFonts w:ascii="Cambria Math" w:hAnsi="Cambria Math"/>
        </w:rPr>
      </w:pPr>
      <w:r>
        <w:rPr/>
        <w:pict>
          <v:line style="position:absolute;mso-position-horizontal-relative:page;mso-position-vertical-relative:paragraph;z-index:-137680" from="255.479996pt,7.626623pt" to="355.199993pt,7.626623pt" stroked="true" strokeweight=".84pt" strokecolor="#000000">
            <w10:wrap type="none"/>
          </v:line>
        </w:pict>
      </w:r>
      <w:r>
        <w:rPr>
          <w:rFonts w:ascii="Cambria Math" w:hAnsi="Cambria Math"/>
        </w:rPr>
        <w:t>× 100</w:t>
      </w:r>
    </w:p>
    <w:p>
      <w:pPr>
        <w:spacing w:after="0"/>
        <w:rPr>
          <w:rFonts w:ascii="Cambria Math" w:hAnsi="Cambria Math"/>
        </w:rPr>
        <w:sectPr>
          <w:type w:val="continuous"/>
          <w:pgSz w:w="11900" w:h="16840"/>
          <w:pgMar w:top="1600" w:bottom="1860" w:left="1540" w:right="1520"/>
          <w:cols w:num="3" w:equalWidth="0">
            <w:col w:w="3505" w:space="40"/>
            <w:col w:w="2015" w:space="40"/>
            <w:col w:w="3240"/>
          </w:cols>
        </w:sectPr>
      </w:pPr>
    </w:p>
    <w:p>
      <w:pPr>
        <w:pStyle w:val="BodyText"/>
        <w:rPr>
          <w:rFonts w:ascii="Cambria Math"/>
          <w:sz w:val="20"/>
        </w:rPr>
      </w:pPr>
    </w:p>
    <w:p>
      <w:pPr>
        <w:pStyle w:val="BodyText"/>
        <w:rPr>
          <w:rFonts w:ascii="Cambria Math"/>
          <w:sz w:val="20"/>
        </w:rPr>
      </w:pPr>
    </w:p>
    <w:p>
      <w:pPr>
        <w:pStyle w:val="BodyText"/>
        <w:spacing w:before="8"/>
        <w:rPr>
          <w:rFonts w:ascii="Cambria Math"/>
          <w:sz w:val="18"/>
        </w:rPr>
      </w:pPr>
    </w:p>
    <w:p>
      <w:pPr>
        <w:pStyle w:val="Heading1"/>
        <w:numPr>
          <w:ilvl w:val="2"/>
          <w:numId w:val="13"/>
        </w:numPr>
        <w:tabs>
          <w:tab w:pos="769" w:val="left" w:leader="none"/>
        </w:tabs>
        <w:spacing w:line="240" w:lineRule="auto" w:before="0" w:after="0"/>
        <w:ind w:left="768" w:right="0" w:hanging="652"/>
        <w:jc w:val="both"/>
      </w:pPr>
      <w:bookmarkStart w:name="_TOC_250007" w:id="33"/>
      <w:r>
        <w:rPr/>
        <w:t>Análisis</w:t>
      </w:r>
      <w:r>
        <w:rPr>
          <w:spacing w:val="14"/>
        </w:rPr>
        <w:t> </w:t>
      </w:r>
      <w:bookmarkEnd w:id="33"/>
      <w:r>
        <w:rPr/>
        <w:t>estadístico</w:t>
      </w:r>
    </w:p>
    <w:p>
      <w:pPr>
        <w:pStyle w:val="BodyText"/>
        <w:rPr>
          <w:b/>
          <w:sz w:val="22"/>
        </w:rPr>
      </w:pPr>
    </w:p>
    <w:p>
      <w:pPr>
        <w:pStyle w:val="BodyText"/>
        <w:spacing w:line="364" w:lineRule="auto" w:before="197"/>
        <w:ind w:left="115" w:right="117"/>
        <w:jc w:val="both"/>
      </w:pPr>
      <w:r>
        <w:rPr/>
        <w:t>Los resultados de los análisis realizados en la muestras de sangre (bioquímica sanguínea y hemograma completo) de cada animal en cada tratamiento en cada periodo fueron analizados utilizando el PROC GLM de SAS (2002) en un diseño    de cuadrado latino 4x4 donde se consideraron 4 animales corderos o cabras, 4 tratamientos y 4 periodos experimentales de 15 días cada uno (SAS, </w:t>
      </w:r>
      <w:r>
        <w:rPr>
          <w:spacing w:val="20"/>
        </w:rPr>
        <w:t> </w:t>
      </w:r>
      <w:r>
        <w:rPr/>
        <w:t>2002).</w:t>
      </w:r>
    </w:p>
    <w:p>
      <w:pPr>
        <w:spacing w:after="0" w:line="364" w:lineRule="auto"/>
        <w:jc w:val="both"/>
        <w:sectPr>
          <w:type w:val="continuous"/>
          <w:pgSz w:w="11900" w:h="16840"/>
          <w:pgMar w:top="1600" w:bottom="1860" w:left="1540" w:right="1520"/>
        </w:sectPr>
      </w:pPr>
    </w:p>
    <w:p>
      <w:pPr>
        <w:pStyle w:val="BodyText"/>
        <w:rPr>
          <w:sz w:val="20"/>
        </w:rPr>
      </w:pPr>
    </w:p>
    <w:p>
      <w:pPr>
        <w:pStyle w:val="BodyText"/>
        <w:spacing w:before="5"/>
        <w:rPr>
          <w:sz w:val="16"/>
        </w:rPr>
      </w:pPr>
    </w:p>
    <w:p>
      <w:pPr>
        <w:pStyle w:val="Heading1"/>
        <w:numPr>
          <w:ilvl w:val="0"/>
          <w:numId w:val="10"/>
        </w:numPr>
        <w:tabs>
          <w:tab w:pos="3822" w:val="left" w:leader="none"/>
        </w:tabs>
        <w:spacing w:line="240" w:lineRule="auto" w:before="74" w:after="0"/>
        <w:ind w:left="3821" w:right="0" w:hanging="417"/>
        <w:jc w:val="left"/>
      </w:pPr>
      <w:bookmarkStart w:name="_TOC_250006" w:id="34"/>
      <w:bookmarkEnd w:id="34"/>
      <w:r>
        <w:rPr/>
        <w:t>RESULTADOS</w:t>
      </w:r>
    </w:p>
    <w:p>
      <w:pPr>
        <w:pStyle w:val="BodyText"/>
        <w:spacing w:before="9"/>
        <w:rPr>
          <w:b/>
          <w:sz w:val="20"/>
        </w:rPr>
      </w:pPr>
    </w:p>
    <w:p>
      <w:pPr>
        <w:pStyle w:val="Heading1"/>
        <w:spacing w:line="283" w:lineRule="auto" w:after="6"/>
        <w:ind w:right="85"/>
        <w:jc w:val="left"/>
      </w:pPr>
      <w:bookmarkStart w:name="_TOC_250005" w:id="35"/>
      <w:r>
        <w:rPr/>
        <w:t>7. 1. Artículo Effect of exogenous enzyme and </w:t>
      </w:r>
      <w:r>
        <w:rPr>
          <w:i/>
        </w:rPr>
        <w:t>Salix babylonica </w:t>
      </w:r>
      <w:bookmarkEnd w:id="35"/>
      <w:r>
        <w:rPr/>
        <w:t>extract or their combination on haematological parameters in growing  lambs.</w:t>
      </w:r>
    </w:p>
    <w:p>
      <w:pPr>
        <w:pStyle w:val="BodyText"/>
        <w:ind w:left="610"/>
        <w:rPr>
          <w:sz w:val="20"/>
        </w:rPr>
      </w:pPr>
      <w:r>
        <w:rPr>
          <w:sz w:val="20"/>
        </w:rPr>
        <w:drawing>
          <wp:inline distT="0" distB="0" distL="0" distR="0">
            <wp:extent cx="4847720" cy="6987540"/>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17" cstate="print"/>
                    <a:stretch>
                      <a:fillRect/>
                    </a:stretch>
                  </pic:blipFill>
                  <pic:spPr>
                    <a:xfrm>
                      <a:off x="0" y="0"/>
                      <a:ext cx="4847720" cy="6987540"/>
                    </a:xfrm>
                    <a:prstGeom prst="rect">
                      <a:avLst/>
                    </a:prstGeom>
                  </pic:spPr>
                </pic:pic>
              </a:graphicData>
            </a:graphic>
          </wp:inline>
        </w:drawing>
      </w:r>
      <w:r>
        <w:rPr>
          <w:sz w:val="20"/>
        </w:rPr>
      </w:r>
    </w:p>
    <w:p>
      <w:pPr>
        <w:spacing w:after="0"/>
        <w:rPr>
          <w:sz w:val="20"/>
        </w:rPr>
        <w:sectPr>
          <w:footerReference w:type="default" r:id="rId16"/>
          <w:pgSz w:w="11900" w:h="16840"/>
          <w:pgMar w:footer="1679" w:header="0" w:top="1600" w:bottom="1860" w:left="1540" w:right="1680"/>
        </w:sectPr>
      </w:pPr>
    </w:p>
    <w:p>
      <w:pPr>
        <w:pStyle w:val="BodyText"/>
        <w:rPr>
          <w:b/>
          <w:sz w:val="20"/>
        </w:rPr>
      </w:pPr>
    </w:p>
    <w:p>
      <w:pPr>
        <w:pStyle w:val="BodyText"/>
        <w:rPr>
          <w:b/>
          <w:sz w:val="20"/>
        </w:rPr>
      </w:pPr>
    </w:p>
    <w:p>
      <w:pPr>
        <w:pStyle w:val="BodyText"/>
        <w:rPr>
          <w:b/>
          <w:sz w:val="20"/>
        </w:rPr>
      </w:pPr>
    </w:p>
    <w:p>
      <w:pPr>
        <w:pStyle w:val="BodyText"/>
        <w:spacing w:before="10"/>
        <w:rPr>
          <w:b/>
          <w:sz w:val="19"/>
        </w:rPr>
      </w:pPr>
    </w:p>
    <w:p>
      <w:pPr>
        <w:spacing w:before="65"/>
        <w:ind w:left="115" w:right="0" w:firstLine="0"/>
        <w:jc w:val="left"/>
        <w:rPr>
          <w:rFonts w:ascii="Calibri" w:hAnsi="Calibri"/>
          <w:i/>
          <w:sz w:val="19"/>
        </w:rPr>
      </w:pPr>
      <w:r>
        <w:rPr>
          <w:rFonts w:ascii="Calibri" w:hAnsi="Calibri"/>
          <w:i/>
          <w:sz w:val="19"/>
        </w:rPr>
        <w:t>Journal of Animal and Feed Sciences, 21, 2012,   577–587</w:t>
      </w:r>
    </w:p>
    <w:p>
      <w:pPr>
        <w:pStyle w:val="BodyText"/>
        <w:rPr>
          <w:rFonts w:ascii="Calibri"/>
          <w:i/>
          <w:sz w:val="18"/>
        </w:rPr>
      </w:pPr>
    </w:p>
    <w:p>
      <w:pPr>
        <w:pStyle w:val="BodyText"/>
        <w:rPr>
          <w:rFonts w:ascii="Calibri"/>
          <w:i/>
          <w:sz w:val="18"/>
        </w:rPr>
      </w:pPr>
    </w:p>
    <w:p>
      <w:pPr>
        <w:pStyle w:val="BodyText"/>
        <w:spacing w:before="10"/>
        <w:rPr>
          <w:rFonts w:ascii="Calibri"/>
          <w:i/>
        </w:rPr>
      </w:pPr>
    </w:p>
    <w:p>
      <w:pPr>
        <w:spacing w:line="249" w:lineRule="auto" w:before="0"/>
        <w:ind w:left="363" w:right="327" w:firstLine="0"/>
        <w:jc w:val="center"/>
        <w:rPr>
          <w:rFonts w:ascii="Times New Roman"/>
          <w:sz w:val="33"/>
        </w:rPr>
      </w:pPr>
      <w:r>
        <w:rPr>
          <w:rFonts w:ascii="Times New Roman"/>
          <w:sz w:val="33"/>
        </w:rPr>
        <w:t>Effect of exogenous enzymes and </w:t>
      </w:r>
      <w:r>
        <w:rPr>
          <w:rFonts w:ascii="Times New Roman"/>
          <w:i/>
          <w:sz w:val="33"/>
        </w:rPr>
        <w:t>Salix babylonica </w:t>
      </w:r>
      <w:r>
        <w:rPr>
          <w:rFonts w:ascii="Times New Roman"/>
          <w:sz w:val="33"/>
        </w:rPr>
        <w:t>extract or their combination on haematological parameters in growing lambs</w:t>
      </w:r>
    </w:p>
    <w:p>
      <w:pPr>
        <w:pStyle w:val="Heading1"/>
        <w:spacing w:line="292" w:lineRule="exact" w:before="232"/>
        <w:ind w:left="3034" w:hanging="2525"/>
        <w:jc w:val="left"/>
        <w:rPr>
          <w:rFonts w:ascii="Times New Roman" w:hAnsi="Times New Roman"/>
          <w:sz w:val="15"/>
        </w:rPr>
      </w:pPr>
      <w:r>
        <w:rPr>
          <w:rFonts w:ascii="Times New Roman" w:hAnsi="Times New Roman"/>
        </w:rPr>
        <w:t>N. Rivero</w:t>
      </w:r>
      <w:r>
        <w:rPr>
          <w:rFonts w:ascii="Times New Roman" w:hAnsi="Times New Roman"/>
          <w:position w:val="11"/>
          <w:sz w:val="15"/>
        </w:rPr>
        <w:t>1</w:t>
      </w:r>
      <w:r>
        <w:rPr>
          <w:rFonts w:ascii="Times New Roman" w:hAnsi="Times New Roman"/>
        </w:rPr>
        <w:t>, A.Z.M. Salem</w:t>
      </w:r>
      <w:r>
        <w:rPr>
          <w:rFonts w:ascii="Times New Roman" w:hAnsi="Times New Roman"/>
          <w:position w:val="11"/>
          <w:sz w:val="15"/>
        </w:rPr>
        <w:t>1,4,5</w:t>
      </w:r>
      <w:r>
        <w:rPr>
          <w:rFonts w:ascii="Times New Roman" w:hAnsi="Times New Roman"/>
        </w:rPr>
        <w:t>, H.M. Gado</w:t>
      </w:r>
      <w:r>
        <w:rPr>
          <w:rFonts w:ascii="Times New Roman" w:hAnsi="Times New Roman"/>
          <w:position w:val="11"/>
          <w:sz w:val="15"/>
        </w:rPr>
        <w:t>2</w:t>
      </w:r>
      <w:r>
        <w:rPr>
          <w:rFonts w:ascii="Times New Roman" w:hAnsi="Times New Roman"/>
        </w:rPr>
        <w:t>, M.G. Ronquillo</w:t>
      </w:r>
      <w:r>
        <w:rPr>
          <w:rFonts w:ascii="Times New Roman" w:hAnsi="Times New Roman"/>
          <w:position w:val="11"/>
          <w:sz w:val="15"/>
        </w:rPr>
        <w:t>1</w:t>
      </w:r>
      <w:r>
        <w:rPr>
          <w:rFonts w:ascii="Times New Roman" w:hAnsi="Times New Roman"/>
        </w:rPr>
        <w:t>, A.B. Pliego</w:t>
      </w:r>
      <w:r>
        <w:rPr>
          <w:rFonts w:ascii="Times New Roman" w:hAnsi="Times New Roman"/>
          <w:position w:val="11"/>
          <w:sz w:val="15"/>
        </w:rPr>
        <w:t>1</w:t>
      </w:r>
      <w:r>
        <w:rPr>
          <w:rFonts w:ascii="Times New Roman" w:hAnsi="Times New Roman"/>
        </w:rPr>
        <w:t>, C.G. Peñuelas</w:t>
      </w:r>
      <w:r>
        <w:rPr>
          <w:rFonts w:ascii="Times New Roman" w:hAnsi="Times New Roman"/>
          <w:position w:val="11"/>
          <w:sz w:val="15"/>
        </w:rPr>
        <w:t>1  </w:t>
      </w:r>
      <w:r>
        <w:rPr>
          <w:rFonts w:ascii="Times New Roman" w:hAnsi="Times New Roman"/>
        </w:rPr>
        <w:t>and N.E. Odongo</w:t>
      </w:r>
      <w:r>
        <w:rPr>
          <w:rFonts w:ascii="Times New Roman" w:hAnsi="Times New Roman"/>
          <w:position w:val="11"/>
          <w:sz w:val="15"/>
        </w:rPr>
        <w:t>3</w:t>
      </w:r>
    </w:p>
    <w:p>
      <w:pPr>
        <w:spacing w:line="249" w:lineRule="auto" w:before="234"/>
        <w:ind w:left="1788" w:right="1750" w:firstLine="0"/>
        <w:jc w:val="center"/>
        <w:rPr>
          <w:rFonts w:ascii="Times New Roman"/>
          <w:i/>
          <w:sz w:val="17"/>
        </w:rPr>
      </w:pPr>
      <w:r>
        <w:rPr>
          <w:rFonts w:ascii="Times New Roman"/>
          <w:i/>
          <w:w w:val="105"/>
          <w:sz w:val="17"/>
        </w:rPr>
        <w:t>1Autonomous</w:t>
      </w:r>
      <w:r>
        <w:rPr>
          <w:rFonts w:ascii="Times New Roman"/>
          <w:i/>
          <w:spacing w:val="-15"/>
          <w:w w:val="105"/>
          <w:sz w:val="17"/>
        </w:rPr>
        <w:t> </w:t>
      </w:r>
      <w:r>
        <w:rPr>
          <w:rFonts w:ascii="Times New Roman"/>
          <w:i/>
          <w:w w:val="105"/>
          <w:sz w:val="17"/>
        </w:rPr>
        <w:t>University</w:t>
      </w:r>
      <w:r>
        <w:rPr>
          <w:rFonts w:ascii="Times New Roman"/>
          <w:i/>
          <w:spacing w:val="-15"/>
          <w:w w:val="105"/>
          <w:sz w:val="17"/>
        </w:rPr>
        <w:t> </w:t>
      </w:r>
      <w:r>
        <w:rPr>
          <w:rFonts w:ascii="Times New Roman"/>
          <w:i/>
          <w:w w:val="105"/>
          <w:sz w:val="17"/>
        </w:rPr>
        <w:t>of</w:t>
      </w:r>
      <w:r>
        <w:rPr>
          <w:rFonts w:ascii="Times New Roman"/>
          <w:i/>
          <w:spacing w:val="-13"/>
          <w:w w:val="105"/>
          <w:sz w:val="17"/>
        </w:rPr>
        <w:t> </w:t>
      </w:r>
      <w:r>
        <w:rPr>
          <w:rFonts w:ascii="Times New Roman"/>
          <w:i/>
          <w:w w:val="105"/>
          <w:sz w:val="17"/>
        </w:rPr>
        <w:t>Mexico</w:t>
      </w:r>
      <w:r>
        <w:rPr>
          <w:rFonts w:ascii="Times New Roman"/>
          <w:i/>
          <w:spacing w:val="-15"/>
          <w:w w:val="105"/>
          <w:sz w:val="17"/>
        </w:rPr>
        <w:t> </w:t>
      </w:r>
      <w:r>
        <w:rPr>
          <w:rFonts w:ascii="Times New Roman"/>
          <w:i/>
          <w:w w:val="105"/>
          <w:sz w:val="17"/>
        </w:rPr>
        <w:t>State,</w:t>
      </w:r>
      <w:r>
        <w:rPr>
          <w:rFonts w:ascii="Times New Roman"/>
          <w:i/>
          <w:spacing w:val="-17"/>
          <w:w w:val="105"/>
          <w:sz w:val="17"/>
        </w:rPr>
        <w:t> </w:t>
      </w:r>
      <w:r>
        <w:rPr>
          <w:rFonts w:ascii="Times New Roman"/>
          <w:i/>
          <w:w w:val="105"/>
          <w:sz w:val="17"/>
        </w:rPr>
        <w:t>Department</w:t>
      </w:r>
      <w:r>
        <w:rPr>
          <w:rFonts w:ascii="Times New Roman"/>
          <w:i/>
          <w:spacing w:val="-15"/>
          <w:w w:val="105"/>
          <w:sz w:val="17"/>
        </w:rPr>
        <w:t> </w:t>
      </w:r>
      <w:r>
        <w:rPr>
          <w:rFonts w:ascii="Times New Roman"/>
          <w:i/>
          <w:w w:val="105"/>
          <w:sz w:val="17"/>
        </w:rPr>
        <w:t>of</w:t>
      </w:r>
      <w:r>
        <w:rPr>
          <w:rFonts w:ascii="Times New Roman"/>
          <w:i/>
          <w:spacing w:val="-15"/>
          <w:w w:val="105"/>
          <w:sz w:val="17"/>
        </w:rPr>
        <w:t> </w:t>
      </w:r>
      <w:r>
        <w:rPr>
          <w:rFonts w:ascii="Times New Roman"/>
          <w:i/>
          <w:w w:val="105"/>
          <w:sz w:val="17"/>
        </w:rPr>
        <w:t>Animal</w:t>
      </w:r>
      <w:r>
        <w:rPr>
          <w:rFonts w:ascii="Times New Roman"/>
          <w:i/>
          <w:spacing w:val="-15"/>
          <w:w w:val="105"/>
          <w:sz w:val="17"/>
        </w:rPr>
        <w:t> </w:t>
      </w:r>
      <w:r>
        <w:rPr>
          <w:rFonts w:ascii="Times New Roman"/>
          <w:i/>
          <w:w w:val="105"/>
          <w:sz w:val="17"/>
        </w:rPr>
        <w:t>Nutrition, </w:t>
      </w:r>
      <w:r>
        <w:rPr>
          <w:rFonts w:ascii="Times New Roman"/>
          <w:i/>
          <w:w w:val="105"/>
          <w:sz w:val="17"/>
        </w:rPr>
        <w:t>Faculty</w:t>
      </w:r>
      <w:r>
        <w:rPr>
          <w:rFonts w:ascii="Times New Roman"/>
          <w:i/>
          <w:spacing w:val="-16"/>
          <w:w w:val="105"/>
          <w:sz w:val="17"/>
        </w:rPr>
        <w:t> </w:t>
      </w:r>
      <w:r>
        <w:rPr>
          <w:rFonts w:ascii="Times New Roman"/>
          <w:i/>
          <w:w w:val="105"/>
          <w:sz w:val="17"/>
        </w:rPr>
        <w:t>of</w:t>
      </w:r>
      <w:r>
        <w:rPr>
          <w:rFonts w:ascii="Times New Roman"/>
          <w:i/>
          <w:spacing w:val="-14"/>
          <w:w w:val="105"/>
          <w:sz w:val="17"/>
        </w:rPr>
        <w:t> </w:t>
      </w:r>
      <w:r>
        <w:rPr>
          <w:rFonts w:ascii="Times New Roman"/>
          <w:i/>
          <w:w w:val="105"/>
          <w:sz w:val="17"/>
        </w:rPr>
        <w:t>Veterinary</w:t>
      </w:r>
      <w:r>
        <w:rPr>
          <w:rFonts w:ascii="Times New Roman"/>
          <w:i/>
          <w:spacing w:val="-16"/>
          <w:w w:val="105"/>
          <w:sz w:val="17"/>
        </w:rPr>
        <w:t> </w:t>
      </w:r>
      <w:r>
        <w:rPr>
          <w:rFonts w:ascii="Times New Roman"/>
          <w:i/>
          <w:w w:val="105"/>
          <w:sz w:val="17"/>
        </w:rPr>
        <w:t>Medicine</w:t>
      </w:r>
      <w:r>
        <w:rPr>
          <w:rFonts w:ascii="Times New Roman"/>
          <w:i/>
          <w:spacing w:val="-16"/>
          <w:w w:val="105"/>
          <w:sz w:val="17"/>
        </w:rPr>
        <w:t> </w:t>
      </w:r>
      <w:r>
        <w:rPr>
          <w:rFonts w:ascii="Times New Roman"/>
          <w:i/>
          <w:w w:val="105"/>
          <w:sz w:val="17"/>
        </w:rPr>
        <w:t>and</w:t>
      </w:r>
      <w:r>
        <w:rPr>
          <w:rFonts w:ascii="Times New Roman"/>
          <w:i/>
          <w:spacing w:val="-13"/>
          <w:w w:val="105"/>
          <w:sz w:val="17"/>
        </w:rPr>
        <w:t> </w:t>
      </w:r>
      <w:r>
        <w:rPr>
          <w:rFonts w:ascii="Times New Roman"/>
          <w:i/>
          <w:w w:val="105"/>
          <w:sz w:val="17"/>
        </w:rPr>
        <w:t>Zootechnic</w:t>
      </w:r>
    </w:p>
    <w:p>
      <w:pPr>
        <w:spacing w:line="194" w:lineRule="exact" w:before="0"/>
        <w:ind w:left="359" w:right="327" w:firstLine="0"/>
        <w:jc w:val="center"/>
        <w:rPr>
          <w:rFonts w:ascii="Times New Roman"/>
          <w:i/>
          <w:sz w:val="17"/>
        </w:rPr>
      </w:pPr>
      <w:r>
        <w:rPr>
          <w:rFonts w:ascii="Times New Roman"/>
          <w:i/>
          <w:w w:val="105"/>
          <w:sz w:val="17"/>
        </w:rPr>
        <w:t>Toluca 50000, Mexico State, Mexico</w:t>
      </w:r>
    </w:p>
    <w:p>
      <w:pPr>
        <w:spacing w:line="247" w:lineRule="auto" w:before="3"/>
        <w:ind w:left="1541" w:right="1507" w:firstLine="0"/>
        <w:jc w:val="center"/>
        <w:rPr>
          <w:rFonts w:ascii="Times New Roman"/>
          <w:i/>
          <w:sz w:val="17"/>
        </w:rPr>
      </w:pPr>
      <w:r>
        <w:rPr>
          <w:rFonts w:ascii="Times New Roman"/>
          <w:i/>
          <w:w w:val="105"/>
          <w:sz w:val="17"/>
        </w:rPr>
        <w:t>2Ain</w:t>
      </w:r>
      <w:r>
        <w:rPr>
          <w:rFonts w:ascii="Times New Roman"/>
          <w:i/>
          <w:spacing w:val="-13"/>
          <w:w w:val="105"/>
          <w:sz w:val="17"/>
        </w:rPr>
        <w:t> </w:t>
      </w:r>
      <w:r>
        <w:rPr>
          <w:rFonts w:ascii="Times New Roman"/>
          <w:i/>
          <w:w w:val="105"/>
          <w:sz w:val="17"/>
        </w:rPr>
        <w:t>Shams</w:t>
      </w:r>
      <w:r>
        <w:rPr>
          <w:rFonts w:ascii="Times New Roman"/>
          <w:i/>
          <w:spacing w:val="-15"/>
          <w:w w:val="105"/>
          <w:sz w:val="17"/>
        </w:rPr>
        <w:t> </w:t>
      </w:r>
      <w:r>
        <w:rPr>
          <w:rFonts w:ascii="Times New Roman"/>
          <w:i/>
          <w:w w:val="105"/>
          <w:sz w:val="17"/>
        </w:rPr>
        <w:t>University,</w:t>
      </w:r>
      <w:r>
        <w:rPr>
          <w:rFonts w:ascii="Times New Roman"/>
          <w:i/>
          <w:spacing w:val="-14"/>
          <w:w w:val="105"/>
          <w:sz w:val="17"/>
        </w:rPr>
        <w:t> </w:t>
      </w:r>
      <w:r>
        <w:rPr>
          <w:rFonts w:ascii="Times New Roman"/>
          <w:i/>
          <w:w w:val="105"/>
          <w:sz w:val="17"/>
        </w:rPr>
        <w:t>Department</w:t>
      </w:r>
      <w:r>
        <w:rPr>
          <w:rFonts w:ascii="Times New Roman"/>
          <w:i/>
          <w:spacing w:val="-14"/>
          <w:w w:val="105"/>
          <w:sz w:val="17"/>
        </w:rPr>
        <w:t> </w:t>
      </w:r>
      <w:r>
        <w:rPr>
          <w:rFonts w:ascii="Times New Roman"/>
          <w:i/>
          <w:w w:val="105"/>
          <w:sz w:val="17"/>
        </w:rPr>
        <w:t>of</w:t>
      </w:r>
      <w:r>
        <w:rPr>
          <w:rFonts w:ascii="Times New Roman"/>
          <w:i/>
          <w:spacing w:val="-14"/>
          <w:w w:val="105"/>
          <w:sz w:val="17"/>
        </w:rPr>
        <w:t> </w:t>
      </w:r>
      <w:r>
        <w:rPr>
          <w:rFonts w:ascii="Times New Roman"/>
          <w:i/>
          <w:w w:val="105"/>
          <w:sz w:val="17"/>
        </w:rPr>
        <w:t>Animal</w:t>
      </w:r>
      <w:r>
        <w:rPr>
          <w:rFonts w:ascii="Times New Roman"/>
          <w:i/>
          <w:spacing w:val="-14"/>
          <w:w w:val="105"/>
          <w:sz w:val="17"/>
        </w:rPr>
        <w:t> </w:t>
      </w:r>
      <w:r>
        <w:rPr>
          <w:rFonts w:ascii="Times New Roman"/>
          <w:i/>
          <w:w w:val="105"/>
          <w:sz w:val="17"/>
        </w:rPr>
        <w:t>Production,</w:t>
      </w:r>
      <w:r>
        <w:rPr>
          <w:rFonts w:ascii="Times New Roman"/>
          <w:i/>
          <w:spacing w:val="-16"/>
          <w:w w:val="105"/>
          <w:sz w:val="17"/>
        </w:rPr>
        <w:t> </w:t>
      </w:r>
      <w:r>
        <w:rPr>
          <w:rFonts w:ascii="Times New Roman"/>
          <w:i/>
          <w:w w:val="105"/>
          <w:sz w:val="17"/>
        </w:rPr>
        <w:t>Faculty</w:t>
      </w:r>
      <w:r>
        <w:rPr>
          <w:rFonts w:ascii="Times New Roman"/>
          <w:i/>
          <w:spacing w:val="-15"/>
          <w:w w:val="105"/>
          <w:sz w:val="17"/>
        </w:rPr>
        <w:t> </w:t>
      </w:r>
      <w:r>
        <w:rPr>
          <w:rFonts w:ascii="Times New Roman"/>
          <w:i/>
          <w:w w:val="105"/>
          <w:sz w:val="17"/>
        </w:rPr>
        <w:t>of</w:t>
      </w:r>
      <w:r>
        <w:rPr>
          <w:rFonts w:ascii="Times New Roman"/>
          <w:i/>
          <w:spacing w:val="-16"/>
          <w:w w:val="105"/>
          <w:sz w:val="17"/>
        </w:rPr>
        <w:t> </w:t>
      </w:r>
      <w:r>
        <w:rPr>
          <w:rFonts w:ascii="Times New Roman"/>
          <w:i/>
          <w:w w:val="105"/>
          <w:sz w:val="17"/>
        </w:rPr>
        <w:t>Agriculture </w:t>
      </w:r>
      <w:r>
        <w:rPr>
          <w:rFonts w:ascii="Times New Roman"/>
          <w:i/>
          <w:w w:val="105"/>
          <w:sz w:val="17"/>
        </w:rPr>
        <w:t>11566 Cairo,</w:t>
      </w:r>
      <w:r>
        <w:rPr>
          <w:rFonts w:ascii="Times New Roman"/>
          <w:i/>
          <w:spacing w:val="-32"/>
          <w:w w:val="105"/>
          <w:sz w:val="17"/>
        </w:rPr>
        <w:t> </w:t>
      </w:r>
      <w:r>
        <w:rPr>
          <w:rFonts w:ascii="Times New Roman"/>
          <w:i/>
          <w:w w:val="105"/>
          <w:sz w:val="17"/>
        </w:rPr>
        <w:t>Egypt</w:t>
      </w:r>
    </w:p>
    <w:p>
      <w:pPr>
        <w:spacing w:line="247" w:lineRule="auto" w:before="3"/>
        <w:ind w:left="826" w:right="794" w:firstLine="0"/>
        <w:jc w:val="center"/>
        <w:rPr>
          <w:rFonts w:ascii="Times New Roman"/>
          <w:i/>
          <w:sz w:val="17"/>
        </w:rPr>
      </w:pPr>
      <w:r>
        <w:rPr>
          <w:rFonts w:ascii="Times New Roman"/>
          <w:i/>
          <w:w w:val="105"/>
          <w:sz w:val="17"/>
        </w:rPr>
        <w:t>3Animal</w:t>
      </w:r>
      <w:r>
        <w:rPr>
          <w:rFonts w:ascii="Times New Roman"/>
          <w:i/>
          <w:spacing w:val="-15"/>
          <w:w w:val="105"/>
          <w:sz w:val="17"/>
        </w:rPr>
        <w:t> </w:t>
      </w:r>
      <w:r>
        <w:rPr>
          <w:rFonts w:ascii="Times New Roman"/>
          <w:i/>
          <w:w w:val="105"/>
          <w:sz w:val="17"/>
        </w:rPr>
        <w:t>Production</w:t>
      </w:r>
      <w:r>
        <w:rPr>
          <w:rFonts w:ascii="Times New Roman"/>
          <w:i/>
          <w:spacing w:val="-15"/>
          <w:w w:val="105"/>
          <w:sz w:val="17"/>
        </w:rPr>
        <w:t> </w:t>
      </w:r>
      <w:r>
        <w:rPr>
          <w:rFonts w:ascii="Times New Roman"/>
          <w:i/>
          <w:w w:val="105"/>
          <w:sz w:val="17"/>
        </w:rPr>
        <w:t>and</w:t>
      </w:r>
      <w:r>
        <w:rPr>
          <w:rFonts w:ascii="Times New Roman"/>
          <w:i/>
          <w:spacing w:val="-14"/>
          <w:w w:val="105"/>
          <w:sz w:val="17"/>
        </w:rPr>
        <w:t> </w:t>
      </w:r>
      <w:r>
        <w:rPr>
          <w:rFonts w:ascii="Times New Roman"/>
          <w:i/>
          <w:w w:val="105"/>
          <w:sz w:val="17"/>
        </w:rPr>
        <w:t>Health</w:t>
      </w:r>
      <w:r>
        <w:rPr>
          <w:rFonts w:ascii="Times New Roman"/>
          <w:i/>
          <w:spacing w:val="-14"/>
          <w:w w:val="105"/>
          <w:sz w:val="17"/>
        </w:rPr>
        <w:t> </w:t>
      </w:r>
      <w:r>
        <w:rPr>
          <w:rFonts w:ascii="Times New Roman"/>
          <w:i/>
          <w:w w:val="105"/>
          <w:sz w:val="17"/>
        </w:rPr>
        <w:t>Section,</w:t>
      </w:r>
      <w:r>
        <w:rPr>
          <w:rFonts w:ascii="Times New Roman"/>
          <w:i/>
          <w:spacing w:val="-17"/>
          <w:w w:val="105"/>
          <w:sz w:val="17"/>
        </w:rPr>
        <w:t> </w:t>
      </w:r>
      <w:r>
        <w:rPr>
          <w:rFonts w:ascii="Times New Roman"/>
          <w:i/>
          <w:w w:val="105"/>
          <w:sz w:val="17"/>
        </w:rPr>
        <w:t>International</w:t>
      </w:r>
      <w:r>
        <w:rPr>
          <w:rFonts w:ascii="Times New Roman"/>
          <w:i/>
          <w:spacing w:val="-15"/>
          <w:w w:val="105"/>
          <w:sz w:val="17"/>
        </w:rPr>
        <w:t> </w:t>
      </w:r>
      <w:r>
        <w:rPr>
          <w:rFonts w:ascii="Times New Roman"/>
          <w:i/>
          <w:w w:val="105"/>
          <w:sz w:val="17"/>
        </w:rPr>
        <w:t>Atomic</w:t>
      </w:r>
      <w:r>
        <w:rPr>
          <w:rFonts w:ascii="Times New Roman"/>
          <w:i/>
          <w:spacing w:val="-15"/>
          <w:w w:val="105"/>
          <w:sz w:val="17"/>
        </w:rPr>
        <w:t> </w:t>
      </w:r>
      <w:r>
        <w:rPr>
          <w:rFonts w:ascii="Times New Roman"/>
          <w:i/>
          <w:w w:val="105"/>
          <w:sz w:val="17"/>
        </w:rPr>
        <w:t>Energy</w:t>
      </w:r>
      <w:r>
        <w:rPr>
          <w:rFonts w:ascii="Times New Roman"/>
          <w:i/>
          <w:spacing w:val="-17"/>
          <w:w w:val="105"/>
          <w:sz w:val="17"/>
        </w:rPr>
        <w:t> </w:t>
      </w:r>
      <w:r>
        <w:rPr>
          <w:rFonts w:ascii="Times New Roman"/>
          <w:i/>
          <w:w w:val="105"/>
          <w:sz w:val="17"/>
        </w:rPr>
        <w:t>Agency</w:t>
      </w:r>
      <w:r>
        <w:rPr>
          <w:rFonts w:ascii="Times New Roman"/>
          <w:i/>
          <w:spacing w:val="-15"/>
          <w:w w:val="105"/>
          <w:sz w:val="17"/>
        </w:rPr>
        <w:t> </w:t>
      </w:r>
      <w:r>
        <w:rPr>
          <w:rFonts w:ascii="Times New Roman"/>
          <w:i/>
          <w:w w:val="105"/>
          <w:sz w:val="17"/>
        </w:rPr>
        <w:t>A-1400</w:t>
      </w:r>
      <w:r>
        <w:rPr>
          <w:rFonts w:ascii="Times New Roman"/>
          <w:i/>
          <w:spacing w:val="-14"/>
          <w:w w:val="105"/>
          <w:sz w:val="17"/>
        </w:rPr>
        <w:t> </w:t>
      </w:r>
      <w:r>
        <w:rPr>
          <w:rFonts w:ascii="Times New Roman"/>
          <w:i/>
          <w:w w:val="105"/>
          <w:sz w:val="17"/>
        </w:rPr>
        <w:t>Vienna,</w:t>
      </w:r>
      <w:r>
        <w:rPr>
          <w:rFonts w:ascii="Times New Roman"/>
          <w:i/>
          <w:spacing w:val="-17"/>
          <w:w w:val="105"/>
          <w:sz w:val="17"/>
        </w:rPr>
        <w:t> </w:t>
      </w:r>
      <w:r>
        <w:rPr>
          <w:rFonts w:ascii="Times New Roman"/>
          <w:i/>
          <w:w w:val="105"/>
          <w:sz w:val="17"/>
        </w:rPr>
        <w:t>Austria </w:t>
      </w:r>
      <w:r>
        <w:rPr>
          <w:rFonts w:ascii="Times New Roman"/>
          <w:i/>
          <w:w w:val="105"/>
          <w:sz w:val="17"/>
        </w:rPr>
        <w:t>4Alexandria</w:t>
      </w:r>
      <w:r>
        <w:rPr>
          <w:rFonts w:ascii="Times New Roman"/>
          <w:i/>
          <w:spacing w:val="-20"/>
          <w:w w:val="105"/>
          <w:sz w:val="17"/>
        </w:rPr>
        <w:t> </w:t>
      </w:r>
      <w:r>
        <w:rPr>
          <w:rFonts w:ascii="Times New Roman"/>
          <w:i/>
          <w:w w:val="105"/>
          <w:sz w:val="17"/>
        </w:rPr>
        <w:t>University,</w:t>
      </w:r>
      <w:r>
        <w:rPr>
          <w:rFonts w:ascii="Times New Roman"/>
          <w:i/>
          <w:spacing w:val="-21"/>
          <w:w w:val="105"/>
          <w:sz w:val="17"/>
        </w:rPr>
        <w:t> </w:t>
      </w:r>
      <w:r>
        <w:rPr>
          <w:rFonts w:ascii="Times New Roman"/>
          <w:i/>
          <w:w w:val="105"/>
          <w:sz w:val="17"/>
        </w:rPr>
        <w:t>Faculty</w:t>
      </w:r>
      <w:r>
        <w:rPr>
          <w:rFonts w:ascii="Times New Roman"/>
          <w:i/>
          <w:spacing w:val="-20"/>
          <w:w w:val="105"/>
          <w:sz w:val="17"/>
        </w:rPr>
        <w:t> </w:t>
      </w:r>
      <w:r>
        <w:rPr>
          <w:rFonts w:ascii="Times New Roman"/>
          <w:i/>
          <w:w w:val="105"/>
          <w:sz w:val="17"/>
        </w:rPr>
        <w:t>of</w:t>
      </w:r>
      <w:r>
        <w:rPr>
          <w:rFonts w:ascii="Times New Roman"/>
          <w:i/>
          <w:spacing w:val="-19"/>
          <w:w w:val="105"/>
          <w:sz w:val="17"/>
        </w:rPr>
        <w:t> </w:t>
      </w:r>
      <w:r>
        <w:rPr>
          <w:rFonts w:ascii="Times New Roman"/>
          <w:i/>
          <w:w w:val="105"/>
          <w:sz w:val="17"/>
        </w:rPr>
        <w:t>Agriculture</w:t>
      </w:r>
      <w:r>
        <w:rPr>
          <w:rFonts w:ascii="Times New Roman"/>
          <w:i/>
          <w:spacing w:val="-18"/>
          <w:w w:val="105"/>
          <w:sz w:val="17"/>
        </w:rPr>
        <w:t> </w:t>
      </w:r>
      <w:r>
        <w:rPr>
          <w:rFonts w:ascii="Times New Roman"/>
          <w:i/>
          <w:w w:val="105"/>
          <w:sz w:val="17"/>
        </w:rPr>
        <w:t>(El-Shatby)</w:t>
      </w:r>
    </w:p>
    <w:p>
      <w:pPr>
        <w:spacing w:line="194" w:lineRule="exact" w:before="0"/>
        <w:ind w:left="358" w:right="327" w:firstLine="0"/>
        <w:jc w:val="center"/>
        <w:rPr>
          <w:rFonts w:ascii="Times New Roman"/>
          <w:i/>
          <w:sz w:val="17"/>
        </w:rPr>
      </w:pPr>
      <w:r>
        <w:rPr>
          <w:rFonts w:ascii="Times New Roman"/>
          <w:i/>
          <w:w w:val="105"/>
          <w:sz w:val="17"/>
        </w:rPr>
        <w:t>21545 Egypt</w:t>
      </w:r>
    </w:p>
    <w:p>
      <w:pPr>
        <w:spacing w:before="6"/>
        <w:ind w:left="361" w:right="327" w:firstLine="0"/>
        <w:jc w:val="center"/>
        <w:rPr>
          <w:rFonts w:ascii="Times New Roman"/>
          <w:i/>
          <w:sz w:val="17"/>
        </w:rPr>
      </w:pPr>
      <w:r>
        <w:rPr>
          <w:rFonts w:ascii="Times New Roman"/>
          <w:i/>
          <w:w w:val="105"/>
          <w:sz w:val="17"/>
        </w:rPr>
        <w:t>(Received 12 July 2012; revised version 25 September 2012; accepted 2012)</w:t>
      </w:r>
    </w:p>
    <w:p>
      <w:pPr>
        <w:spacing w:before="2"/>
        <w:ind w:left="101" w:right="0" w:firstLine="0"/>
        <w:jc w:val="left"/>
        <w:rPr>
          <w:rFonts w:ascii="Times New Roman"/>
          <w:sz w:val="21"/>
        </w:rPr>
      </w:pPr>
      <w:r>
        <w:rPr>
          <w:rFonts w:ascii="Times New Roman"/>
          <w:sz w:val="21"/>
        </w:rPr>
        <w:t>ABSTRACT</w:t>
      </w:r>
    </w:p>
    <w:p>
      <w:pPr>
        <w:pStyle w:val="BodyText"/>
        <w:spacing w:before="8"/>
        <w:rPr>
          <w:rFonts w:ascii="Times New Roman"/>
          <w:sz w:val="19"/>
        </w:rPr>
      </w:pPr>
    </w:p>
    <w:p>
      <w:pPr>
        <w:spacing w:line="264" w:lineRule="auto" w:before="0"/>
        <w:ind w:left="101" w:right="112" w:firstLine="278"/>
        <w:jc w:val="both"/>
        <w:rPr>
          <w:rFonts w:ascii="Times New Roman" w:hAnsi="Times New Roman"/>
          <w:sz w:val="21"/>
        </w:rPr>
      </w:pPr>
      <w:r>
        <w:rPr>
          <w:rFonts w:ascii="Times New Roman" w:hAnsi="Times New Roman"/>
          <w:sz w:val="21"/>
        </w:rPr>
        <w:t>The aim of this study was to compare the use of exogenous enzyme preparations (EZ) and/or  </w:t>
      </w:r>
      <w:r>
        <w:rPr>
          <w:rFonts w:ascii="Times New Roman" w:hAnsi="Times New Roman"/>
          <w:i/>
          <w:sz w:val="21"/>
        </w:rPr>
        <w:t>Salix babylonica </w:t>
      </w:r>
      <w:r>
        <w:rPr>
          <w:rFonts w:ascii="Times New Roman" w:hAnsi="Times New Roman"/>
          <w:sz w:val="21"/>
        </w:rPr>
        <w:t>extract (SB) or their combination as feed additives on some haematological parameters in growing lambs. Twenty Suffolk lambs of 6 to 8-months-old with 24±0.3 </w:t>
      </w:r>
      <w:r>
        <w:rPr>
          <w:rFonts w:ascii="Times New Roman" w:hAnsi="Times New Roman"/>
          <w:spacing w:val="-3"/>
          <w:sz w:val="21"/>
        </w:rPr>
        <w:t>kg </w:t>
      </w:r>
      <w:r>
        <w:rPr>
          <w:rFonts w:ascii="Times New Roman" w:hAnsi="Times New Roman"/>
          <w:sz w:val="21"/>
        </w:rPr>
        <w:t>body weight were used in the study. Lambs were divided into 4 groups of 5 animals each in a completely randomized design and the treatments were: 1.control: fed a basal diet of concentrate (30%) and maize silage (70%); 2. EZ: fed the basal diet plus 10 g of enzyme; 3. SB: fed the basal diet plus 30   ml of </w:t>
      </w:r>
      <w:r>
        <w:rPr>
          <w:rFonts w:ascii="Times New Roman" w:hAnsi="Times New Roman"/>
          <w:i/>
          <w:sz w:val="21"/>
        </w:rPr>
        <w:t>S. babylonica</w:t>
      </w:r>
      <w:r>
        <w:rPr>
          <w:rFonts w:ascii="Times New Roman" w:hAnsi="Times New Roman"/>
          <w:sz w:val="21"/>
        </w:rPr>
        <w:t>extract, and 4. EZSB: fed the basal diet plus 10 g enzyme and 30 ml of </w:t>
      </w:r>
      <w:r>
        <w:rPr>
          <w:rFonts w:ascii="Times New Roman" w:hAnsi="Times New Roman"/>
          <w:i/>
          <w:sz w:val="21"/>
        </w:rPr>
        <w:t>S. </w:t>
      </w:r>
      <w:r>
        <w:rPr>
          <w:rFonts w:ascii="Times New Roman" w:hAnsi="Times New Roman"/>
          <w:i/>
          <w:sz w:val="21"/>
        </w:rPr>
        <w:t>babylonica </w:t>
      </w:r>
      <w:r>
        <w:rPr>
          <w:rFonts w:ascii="Times New Roman" w:hAnsi="Times New Roman"/>
          <w:sz w:val="21"/>
        </w:rPr>
        <w:t>extract</w:t>
      </w:r>
      <w:r>
        <w:rPr>
          <w:rFonts w:ascii="Times New Roman" w:hAnsi="Times New Roman"/>
          <w:i/>
          <w:sz w:val="21"/>
        </w:rPr>
        <w:t>. </w:t>
      </w:r>
      <w:r>
        <w:rPr>
          <w:rFonts w:ascii="Times New Roman" w:hAnsi="Times New Roman"/>
          <w:sz w:val="21"/>
        </w:rPr>
        <w:t>Lambs were housed in individual cages and the experiment was conducted for    60 days. The </w:t>
      </w:r>
      <w:r>
        <w:rPr>
          <w:rFonts w:ascii="Times New Roman" w:hAnsi="Times New Roman"/>
          <w:spacing w:val="-3"/>
          <w:sz w:val="21"/>
        </w:rPr>
        <w:t>SB </w:t>
      </w:r>
      <w:r>
        <w:rPr>
          <w:rFonts w:ascii="Times New Roman" w:hAnsi="Times New Roman"/>
          <w:sz w:val="21"/>
        </w:rPr>
        <w:t>was given orally while the EZ was mixed with a small amount of the concentrate  and maize silage and was offered </w:t>
      </w:r>
      <w:r>
        <w:rPr>
          <w:rFonts w:ascii="Times New Roman" w:hAnsi="Times New Roman"/>
          <w:i/>
          <w:sz w:val="21"/>
        </w:rPr>
        <w:t>ad libitum</w:t>
      </w:r>
      <w:r>
        <w:rPr>
          <w:rFonts w:ascii="Times New Roman" w:hAnsi="Times New Roman"/>
          <w:sz w:val="21"/>
        </w:rPr>
        <w:t>. Blood samples were collected from each animal  on  days 0, 15, 30, 45 and 60</w:t>
      </w:r>
      <w:r>
        <w:rPr>
          <w:rFonts w:ascii="Times New Roman" w:hAnsi="Times New Roman"/>
          <w:spacing w:val="38"/>
          <w:sz w:val="21"/>
        </w:rPr>
        <w:t> </w:t>
      </w:r>
      <w:r>
        <w:rPr>
          <w:rFonts w:ascii="Times New Roman" w:hAnsi="Times New Roman"/>
          <w:sz w:val="21"/>
        </w:rPr>
        <w:t>of</w:t>
      </w:r>
    </w:p>
    <w:p>
      <w:pPr>
        <w:pStyle w:val="BodyText"/>
        <w:rPr>
          <w:rFonts w:ascii="Times New Roman"/>
          <w:sz w:val="20"/>
        </w:rPr>
      </w:pPr>
    </w:p>
    <w:p>
      <w:pPr>
        <w:pStyle w:val="BodyText"/>
        <w:spacing w:before="3"/>
        <w:rPr>
          <w:rFonts w:ascii="Times New Roman"/>
          <w:sz w:val="14"/>
        </w:rPr>
      </w:pPr>
      <w:r>
        <w:rPr/>
        <w:pict>
          <v:line style="position:absolute;mso-position-horizontal-relative:page;mso-position-vertical-relative:paragraph;z-index:1360;mso-wrap-distance-left:0;mso-wrap-distance-right:0" from="83.159996pt,10.506428pt" to="134.039995pt,10.506428pt" stroked="true" strokeweight=".681372pt" strokecolor="#171616">
            <w10:wrap type="topAndBottom"/>
          </v:line>
        </w:pict>
      </w:r>
    </w:p>
    <w:p>
      <w:pPr>
        <w:spacing w:line="271" w:lineRule="auto" w:before="74"/>
        <w:ind w:left="115" w:right="1583" w:hanging="15"/>
        <w:jc w:val="left"/>
        <w:rPr>
          <w:rFonts w:ascii="Times New Roman"/>
          <w:sz w:val="17"/>
        </w:rPr>
      </w:pPr>
      <w:r>
        <w:rPr>
          <w:rFonts w:ascii="Times New Roman"/>
          <w:w w:val="105"/>
          <w:position w:val="8"/>
          <w:sz w:val="11"/>
        </w:rPr>
        <w:t>* </w:t>
      </w:r>
      <w:r>
        <w:rPr>
          <w:rFonts w:ascii="Times New Roman"/>
          <w:w w:val="105"/>
          <w:sz w:val="17"/>
        </w:rPr>
        <w:t>Supported by the IAEA, Vienna (Austria), Research Contract No.MEX16307 within the D3.10.27 Coordinated Research Project</w:t>
      </w:r>
    </w:p>
    <w:p>
      <w:pPr>
        <w:pStyle w:val="BodyText"/>
        <w:spacing w:before="8"/>
        <w:rPr>
          <w:rFonts w:ascii="Times New Roman"/>
          <w:sz w:val="16"/>
        </w:rPr>
      </w:pPr>
    </w:p>
    <w:p>
      <w:pPr>
        <w:spacing w:line="259" w:lineRule="auto" w:before="1"/>
        <w:ind w:left="101" w:right="0" w:firstLine="0"/>
        <w:jc w:val="left"/>
        <w:rPr>
          <w:rFonts w:ascii="Times New Roman" w:hAnsi="Times New Roman"/>
          <w:sz w:val="17"/>
        </w:rPr>
      </w:pPr>
      <w:r>
        <w:rPr>
          <w:rFonts w:ascii="Times New Roman" w:hAnsi="Times New Roman"/>
          <w:w w:val="105"/>
          <w:sz w:val="17"/>
        </w:rPr>
        <w:t>First author wishes to thank the National Council for Science and Technology (CONACYT, Mexico) for the scholarship for her PhD at the Universidad Autónomadel Estado de México</w:t>
      </w:r>
    </w:p>
    <w:p>
      <w:pPr>
        <w:spacing w:line="201" w:lineRule="exact" w:before="0"/>
        <w:ind w:left="101" w:right="0" w:firstLine="0"/>
        <w:jc w:val="left"/>
        <w:rPr>
          <w:rFonts w:ascii="Times New Roman"/>
          <w:sz w:val="17"/>
        </w:rPr>
      </w:pPr>
      <w:r>
        <w:rPr>
          <w:rFonts w:ascii="Times New Roman"/>
          <w:w w:val="105"/>
          <w:position w:val="8"/>
          <w:sz w:val="11"/>
        </w:rPr>
        <w:t>5 </w:t>
      </w:r>
      <w:r>
        <w:rPr>
          <w:rFonts w:ascii="Times New Roman"/>
          <w:w w:val="105"/>
          <w:sz w:val="17"/>
        </w:rPr>
        <w:t>Corresponding author: e-mail: </w:t>
      </w:r>
      <w:hyperlink r:id="rId18">
        <w:r>
          <w:rPr>
            <w:rFonts w:ascii="Times New Roman"/>
            <w:w w:val="105"/>
            <w:sz w:val="17"/>
          </w:rPr>
          <w:t>asalem70@yahoo.com</w:t>
        </w:r>
      </w:hyperlink>
    </w:p>
    <w:p>
      <w:pPr>
        <w:spacing w:after="0" w:line="201" w:lineRule="exact"/>
        <w:jc w:val="left"/>
        <w:rPr>
          <w:rFonts w:ascii="Times New Roman"/>
          <w:sz w:val="17"/>
        </w:rPr>
        <w:sectPr>
          <w:pgSz w:w="11900" w:h="16840"/>
          <w:pgMar w:header="0" w:footer="1679" w:top="1600" w:bottom="1860" w:left="1540" w:right="15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1"/>
        </w:rPr>
      </w:pPr>
    </w:p>
    <w:p>
      <w:pPr>
        <w:spacing w:line="266" w:lineRule="auto" w:before="0"/>
        <w:ind w:left="115" w:right="116" w:firstLine="0"/>
        <w:jc w:val="both"/>
        <w:rPr>
          <w:rFonts w:ascii="Times New Roman"/>
          <w:sz w:val="19"/>
        </w:rPr>
      </w:pPr>
      <w:r>
        <w:rPr>
          <w:rFonts w:ascii="Times New Roman"/>
          <w:sz w:val="19"/>
        </w:rPr>
        <w:t>experiment and analysed for haematological parameters. The treatments of EZ, SB or EZSB did not affect      any of the measured blood parameters. Day of sampling modified concentrations of red blood cells (P=0.001; linear effect), haematocrit (P=0.01; quadratic effect), haemoglobin (P=0.01; linear effect), mean corpuscular volume (P=0.01; linear effect), monocytes (P=0.004; quadratic effect) and plasma protein (P=0.0002, linear effect).  It  could be concluded that  </w:t>
      </w:r>
      <w:r>
        <w:rPr>
          <w:rFonts w:ascii="Times New Roman"/>
          <w:i/>
          <w:sz w:val="19"/>
        </w:rPr>
        <w:t>Salix babylonica  </w:t>
      </w:r>
      <w:r>
        <w:rPr>
          <w:rFonts w:ascii="Times New Roman"/>
          <w:sz w:val="19"/>
        </w:rPr>
        <w:t>extract, exogenous enzymes and their combination as   feed additives had not a negative effects on the blood parameters measured and therefore on the health of the lambs.</w:t>
      </w:r>
    </w:p>
    <w:p>
      <w:pPr>
        <w:pStyle w:val="BodyText"/>
        <w:spacing w:before="11"/>
        <w:rPr>
          <w:rFonts w:ascii="Times New Roman"/>
          <w:sz w:val="17"/>
        </w:rPr>
      </w:pPr>
    </w:p>
    <w:p>
      <w:pPr>
        <w:spacing w:before="0"/>
        <w:ind w:left="101" w:right="0" w:firstLine="0"/>
        <w:jc w:val="both"/>
        <w:rPr>
          <w:rFonts w:ascii="Times New Roman"/>
          <w:sz w:val="17"/>
        </w:rPr>
      </w:pPr>
      <w:r>
        <w:rPr>
          <w:rFonts w:ascii="Times New Roman"/>
          <w:w w:val="105"/>
          <w:sz w:val="17"/>
        </w:rPr>
        <w:t>KEY WORDS: </w:t>
      </w:r>
      <w:r>
        <w:rPr>
          <w:rFonts w:ascii="Times New Roman"/>
          <w:i/>
          <w:w w:val="105"/>
          <w:sz w:val="17"/>
        </w:rPr>
        <w:t>Salix babylonica </w:t>
      </w:r>
      <w:r>
        <w:rPr>
          <w:rFonts w:ascii="Times New Roman"/>
          <w:w w:val="105"/>
          <w:sz w:val="17"/>
        </w:rPr>
        <w:t>extract, exogenous enzymes, haemotological parameters, lambs</w:t>
      </w:r>
    </w:p>
    <w:p>
      <w:pPr>
        <w:pStyle w:val="BodyText"/>
        <w:rPr>
          <w:rFonts w:ascii="Times New Roman"/>
          <w:sz w:val="18"/>
        </w:rPr>
      </w:pPr>
    </w:p>
    <w:p>
      <w:pPr>
        <w:pStyle w:val="BodyText"/>
        <w:rPr>
          <w:rFonts w:ascii="Times New Roman"/>
          <w:sz w:val="18"/>
        </w:rPr>
      </w:pPr>
    </w:p>
    <w:p>
      <w:pPr>
        <w:pStyle w:val="BodyText"/>
        <w:rPr>
          <w:rFonts w:ascii="Times New Roman"/>
          <w:sz w:val="24"/>
        </w:rPr>
      </w:pPr>
    </w:p>
    <w:p>
      <w:pPr>
        <w:spacing w:before="0"/>
        <w:ind w:left="101" w:right="0" w:firstLine="0"/>
        <w:jc w:val="both"/>
        <w:rPr>
          <w:rFonts w:ascii="Times New Roman"/>
          <w:sz w:val="17"/>
        </w:rPr>
      </w:pPr>
      <w:r>
        <w:rPr>
          <w:rFonts w:ascii="Times New Roman"/>
          <w:w w:val="105"/>
          <w:sz w:val="17"/>
        </w:rPr>
        <w:t>INTRODUCTION</w:t>
      </w:r>
    </w:p>
    <w:p>
      <w:pPr>
        <w:pStyle w:val="BodyText"/>
        <w:spacing w:before="11"/>
        <w:rPr>
          <w:rFonts w:ascii="Times New Roman"/>
          <w:sz w:val="22"/>
        </w:rPr>
      </w:pPr>
    </w:p>
    <w:p>
      <w:pPr>
        <w:spacing w:line="280" w:lineRule="auto" w:before="0"/>
        <w:ind w:left="101" w:right="114" w:firstLine="0"/>
        <w:jc w:val="both"/>
        <w:rPr>
          <w:rFonts w:ascii="Times New Roman"/>
          <w:sz w:val="21"/>
        </w:rPr>
      </w:pPr>
      <w:r>
        <w:rPr>
          <w:rFonts w:ascii="Times New Roman"/>
          <w:sz w:val="21"/>
        </w:rPr>
        <w:t>The cost of feeding livestock accounts for more than 50% of the total production costs. Use of feed additives such as pre- and probiotics, ionophores, enzymes, and fodder  shrubs and trees  extracts  have been used recently mainly in ruminant nutrition (Salem et al., 2006, 2010; Chung et al., 2012). Commercial exogenous enzymes provide the benefits of reducing the antinutritional factors  in  dietary components to improve digestibility (Salem et al., 2012). Some enzyme formulations increased dry matter intake,  </w:t>
      </w:r>
      <w:r>
        <w:rPr>
          <w:rFonts w:ascii="Times New Roman"/>
          <w:i/>
          <w:sz w:val="21"/>
        </w:rPr>
        <w:t>in vivo </w:t>
      </w:r>
      <w:r>
        <w:rPr>
          <w:rFonts w:ascii="Times New Roman"/>
          <w:sz w:val="21"/>
        </w:rPr>
        <w:t>fibredigestibility,  and milk production of dairy cows (Gado et  al., 2009, 2011). However, effects of enzyme additives vary depending on the type  of  animals (energy requirement of the animal and level of feeding), diet  composition,  enzyme formulation,  dose rate, and delivery method of enzyme products (Chung et al., </w:t>
      </w:r>
      <w:r>
        <w:rPr>
          <w:rFonts w:ascii="Times New Roman"/>
          <w:spacing w:val="38"/>
          <w:sz w:val="21"/>
        </w:rPr>
        <w:t> </w:t>
      </w:r>
      <w:r>
        <w:rPr>
          <w:rFonts w:ascii="Times New Roman"/>
          <w:sz w:val="21"/>
        </w:rPr>
        <w:t>2012).</w:t>
      </w:r>
    </w:p>
    <w:p>
      <w:pPr>
        <w:pStyle w:val="BodyText"/>
        <w:spacing w:before="3"/>
        <w:rPr>
          <w:rFonts w:ascii="Times New Roman"/>
          <w:sz w:val="17"/>
        </w:rPr>
      </w:pPr>
    </w:p>
    <w:p>
      <w:pPr>
        <w:spacing w:line="280" w:lineRule="auto" w:before="0"/>
        <w:ind w:left="101" w:right="115" w:firstLine="0"/>
        <w:jc w:val="both"/>
        <w:rPr>
          <w:rFonts w:ascii="Times New Roman" w:hAnsi="Times New Roman"/>
          <w:sz w:val="21"/>
        </w:rPr>
      </w:pPr>
      <w:r>
        <w:rPr>
          <w:rFonts w:ascii="Times New Roman" w:hAnsi="Times New Roman"/>
          <w:sz w:val="21"/>
        </w:rPr>
        <w:t>Plant extracts rich in secondary compounds have been shown to have positive effects on daily gain, voluntary intake, milk production and ruminal fermentation parameters (Salem et  al.,  2011b),  besides having a protective effect on the protein in the rumen to promote duodenal absorption, minimizes the excretion of nitrogen, modify the acetate to propionate ratio in rumen fluid and decrease parasitic load (Athanasiadou and Kyriazakis, 2004; Salem et al.,  2010; Jiménez et al.,  2011). Although, the use of plant extract could be limit by  their  secondary  compound concentrations, consumption of large amounts of tannins or saponins(Athanasiadou and Kyriazakis, 2004) may have a direct haemolytic effect and may even cause death. Moreover, long-term feeding  of plants rich in secondary compounds may have detrimental effects on animal health and even    cause death (Mahgoub et al., 2008). Increasing the cost of commercial feed additives  (i.e.,  exogenous enzymes) provide the opportunity for researchers to search for other alternative feed additive such as plant</w:t>
      </w:r>
      <w:r>
        <w:rPr>
          <w:rFonts w:ascii="Times New Roman" w:hAnsi="Times New Roman"/>
          <w:spacing w:val="34"/>
          <w:sz w:val="21"/>
        </w:rPr>
        <w:t> </w:t>
      </w:r>
      <w:r>
        <w:rPr>
          <w:rFonts w:ascii="Times New Roman" w:hAnsi="Times New Roman"/>
          <w:sz w:val="21"/>
        </w:rPr>
        <w:t>extract.</w:t>
      </w:r>
    </w:p>
    <w:p>
      <w:pPr>
        <w:pStyle w:val="BodyText"/>
        <w:spacing w:before="3"/>
        <w:rPr>
          <w:rFonts w:ascii="Times New Roman"/>
          <w:sz w:val="17"/>
        </w:rPr>
      </w:pPr>
    </w:p>
    <w:p>
      <w:pPr>
        <w:spacing w:line="280" w:lineRule="auto" w:before="0"/>
        <w:ind w:left="101" w:right="115" w:firstLine="0"/>
        <w:jc w:val="both"/>
        <w:rPr>
          <w:rFonts w:ascii="Times New Roman"/>
          <w:sz w:val="21"/>
        </w:rPr>
      </w:pPr>
      <w:r>
        <w:rPr>
          <w:rFonts w:ascii="Times New Roman"/>
          <w:sz w:val="21"/>
        </w:rPr>
        <w:t>It was hypothesized that using the exogenous enzymes alone or in combination with tree extracts would have a synergetic effect and infer health benefits to the lambs. Therefore, the aim of this    study was to compare the use of exogenous enzymes and </w:t>
      </w:r>
      <w:r>
        <w:rPr>
          <w:rFonts w:ascii="Times New Roman"/>
          <w:i/>
          <w:spacing w:val="-3"/>
          <w:sz w:val="21"/>
        </w:rPr>
        <w:t>S. </w:t>
      </w:r>
      <w:r>
        <w:rPr>
          <w:rFonts w:ascii="Times New Roman"/>
          <w:i/>
          <w:sz w:val="21"/>
        </w:rPr>
        <w:t>babylonica </w:t>
      </w:r>
      <w:r>
        <w:rPr>
          <w:rFonts w:ascii="Times New Roman"/>
          <w:sz w:val="21"/>
        </w:rPr>
        <w:t>extract or their combination  as feed additives on haematological parameters in growing </w:t>
      </w:r>
      <w:r>
        <w:rPr>
          <w:rFonts w:ascii="Times New Roman"/>
          <w:spacing w:val="30"/>
          <w:sz w:val="21"/>
        </w:rPr>
        <w:t> </w:t>
      </w:r>
      <w:r>
        <w:rPr>
          <w:rFonts w:ascii="Times New Roman"/>
          <w:sz w:val="21"/>
        </w:rPr>
        <w:t>lambs.</w:t>
      </w:r>
    </w:p>
    <w:p>
      <w:pPr>
        <w:spacing w:after="0" w:line="280" w:lineRule="auto"/>
        <w:jc w:val="both"/>
        <w:rPr>
          <w:rFonts w:ascii="Times New Roman"/>
          <w:sz w:val="21"/>
        </w:rPr>
        <w:sectPr>
          <w:footerReference w:type="default" r:id="rId19"/>
          <w:pgSz w:w="11900" w:h="16840"/>
          <w:pgMar w:footer="1616" w:header="0" w:top="1600" w:bottom="1800" w:left="1540" w:right="1560"/>
          <w:pgNumType w:start="42"/>
        </w:sectPr>
      </w:pPr>
    </w:p>
    <w:p>
      <w:pPr>
        <w:pStyle w:val="BodyText"/>
        <w:rPr>
          <w:rFonts w:ascii="Times New Roman"/>
          <w:sz w:val="20"/>
        </w:rPr>
      </w:pPr>
    </w:p>
    <w:p>
      <w:pPr>
        <w:pStyle w:val="BodyText"/>
        <w:rPr>
          <w:rFonts w:ascii="Times New Roman"/>
          <w:sz w:val="16"/>
        </w:rPr>
      </w:pPr>
    </w:p>
    <w:p>
      <w:pPr>
        <w:spacing w:before="77"/>
        <w:ind w:left="101" w:right="417" w:firstLine="0"/>
        <w:jc w:val="left"/>
        <w:rPr>
          <w:rFonts w:ascii="Times New Roman"/>
          <w:sz w:val="21"/>
        </w:rPr>
      </w:pPr>
      <w:r>
        <w:rPr>
          <w:rFonts w:ascii="Times New Roman"/>
          <w:sz w:val="21"/>
        </w:rPr>
        <w:t>MATERIAL AND METHODS</w:t>
      </w:r>
    </w:p>
    <w:p>
      <w:pPr>
        <w:pStyle w:val="BodyText"/>
        <w:spacing w:before="6"/>
        <w:rPr>
          <w:rFonts w:ascii="Times New Roman"/>
          <w:sz w:val="20"/>
        </w:rPr>
      </w:pPr>
    </w:p>
    <w:p>
      <w:pPr>
        <w:spacing w:line="280" w:lineRule="auto" w:before="0"/>
        <w:ind w:left="101" w:right="417" w:firstLine="0"/>
        <w:jc w:val="left"/>
        <w:rPr>
          <w:rFonts w:ascii="Times New Roman"/>
          <w:sz w:val="21"/>
        </w:rPr>
      </w:pPr>
      <w:r>
        <w:rPr>
          <w:rFonts w:ascii="Times New Roman"/>
          <w:sz w:val="21"/>
        </w:rPr>
        <w:t>This study was conducted at the experimental farm of the Faculty of Veterinary Medicine of the Autonomous University of Mexico State. The handling of animals was done according to international bioethical standards and NOM-062 -  ZOO1999.</w:t>
      </w:r>
    </w:p>
    <w:p>
      <w:pPr>
        <w:pStyle w:val="BodyText"/>
        <w:spacing w:before="8"/>
        <w:rPr>
          <w:rFonts w:ascii="Times New Roman"/>
          <w:sz w:val="22"/>
        </w:rPr>
      </w:pPr>
    </w:p>
    <w:p>
      <w:pPr>
        <w:spacing w:before="0"/>
        <w:ind w:left="115" w:right="417" w:firstLine="0"/>
        <w:jc w:val="left"/>
        <w:rPr>
          <w:rFonts w:ascii="Times New Roman"/>
          <w:i/>
          <w:sz w:val="21"/>
        </w:rPr>
      </w:pPr>
      <w:r>
        <w:rPr>
          <w:rFonts w:ascii="Times New Roman"/>
          <w:i/>
          <w:sz w:val="21"/>
        </w:rPr>
        <w:t>Animals and treatments</w:t>
      </w:r>
    </w:p>
    <w:p>
      <w:pPr>
        <w:pStyle w:val="BodyText"/>
        <w:spacing w:before="6"/>
        <w:rPr>
          <w:rFonts w:ascii="Times New Roman"/>
          <w:i/>
          <w:sz w:val="20"/>
        </w:rPr>
      </w:pPr>
    </w:p>
    <w:p>
      <w:pPr>
        <w:spacing w:line="278" w:lineRule="auto" w:before="0"/>
        <w:ind w:left="115" w:right="109" w:firstLine="0"/>
        <w:jc w:val="both"/>
        <w:rPr>
          <w:rFonts w:ascii="Times New Roman" w:hAnsi="Times New Roman"/>
          <w:sz w:val="21"/>
        </w:rPr>
      </w:pPr>
      <w:r>
        <w:rPr>
          <w:rFonts w:ascii="Times New Roman" w:hAnsi="Times New Roman"/>
          <w:sz w:val="21"/>
        </w:rPr>
        <w:t>Twenty Suffolk lambs of 6 to 8-months-old with 24 ± 0.3 kg body weight (BW) were used in the study. The lambs were housed in individual cages (1.5×1.5 m) in a completely randomized design  and the experiment was conducted for 60 days. After 2 weeks of adaptation to the basal diet of 70% maize silage and 30% commercial concentrate (Purina</w:t>
      </w:r>
      <w:r>
        <w:rPr>
          <w:rFonts w:ascii="Times New Roman" w:hAnsi="Times New Roman"/>
          <w:position w:val="10"/>
          <w:sz w:val="13"/>
        </w:rPr>
        <w:t>®</w:t>
      </w:r>
      <w:r>
        <w:rPr>
          <w:rFonts w:ascii="Times New Roman" w:hAnsi="Times New Roman"/>
          <w:sz w:val="21"/>
        </w:rPr>
        <w:t>, Cuautitlan, Mexico) formulated according  to NRC (1985) nutrient requirements; the lambs were weighed and randomly distributed into 4 groups of 5 animals each. The treatments comprised: 1. control: lambs were fed the basal diet of concentrate and maize silage only, 2. EZ: lambs were fed the basal diet plus 10 g of exogenous enzyme preparations (ZADO</w:t>
      </w:r>
      <w:r>
        <w:rPr>
          <w:rFonts w:ascii="Times New Roman" w:hAnsi="Times New Roman"/>
          <w:position w:val="10"/>
          <w:sz w:val="13"/>
        </w:rPr>
        <w:t>®</w:t>
      </w:r>
      <w:r>
        <w:rPr>
          <w:rFonts w:ascii="Times New Roman" w:hAnsi="Times New Roman"/>
          <w:sz w:val="21"/>
        </w:rPr>
        <w:t>, Cairo, Egypt), </w:t>
      </w:r>
      <w:r>
        <w:rPr>
          <w:rFonts w:ascii="Times New Roman" w:hAnsi="Times New Roman"/>
          <w:spacing w:val="-3"/>
          <w:sz w:val="21"/>
        </w:rPr>
        <w:t>3. </w:t>
      </w:r>
      <w:r>
        <w:rPr>
          <w:rFonts w:ascii="Times New Roman" w:hAnsi="Times New Roman"/>
          <w:sz w:val="21"/>
        </w:rPr>
        <w:t>SB: lambs were fed the basal diet plus 30 ml </w:t>
      </w:r>
      <w:r>
        <w:rPr>
          <w:rFonts w:ascii="Times New Roman" w:hAnsi="Times New Roman"/>
          <w:spacing w:val="-3"/>
          <w:sz w:val="21"/>
        </w:rPr>
        <w:t>of  </w:t>
      </w:r>
      <w:r>
        <w:rPr>
          <w:rFonts w:ascii="Times New Roman" w:hAnsi="Times New Roman"/>
          <w:i/>
          <w:sz w:val="21"/>
        </w:rPr>
        <w:t>Salix babylonica</w:t>
      </w:r>
      <w:r>
        <w:rPr>
          <w:rFonts w:ascii="Times New Roman" w:hAnsi="Times New Roman"/>
          <w:sz w:val="21"/>
        </w:rPr>
        <w:t>extract, and 4. EZSB: lambs were fed the basal diet plus 10 g exogenous enzymes and 30 ml of </w:t>
      </w:r>
      <w:r>
        <w:rPr>
          <w:rFonts w:ascii="Times New Roman" w:hAnsi="Times New Roman"/>
          <w:i/>
          <w:sz w:val="21"/>
        </w:rPr>
        <w:t>S. babylonica </w:t>
      </w:r>
      <w:r>
        <w:rPr>
          <w:rFonts w:ascii="Times New Roman" w:hAnsi="Times New Roman"/>
          <w:sz w:val="21"/>
        </w:rPr>
        <w:t>extract. The daily dose of SB was given orally before the morning feeding, while the EZ was fed to the lambs mixed with a small amount of the concentrate (200 </w:t>
      </w:r>
      <w:r>
        <w:rPr>
          <w:rFonts w:ascii="Times New Roman" w:hAnsi="Times New Roman"/>
          <w:spacing w:val="-3"/>
          <w:sz w:val="21"/>
        </w:rPr>
        <w:t>g)     </w:t>
      </w:r>
      <w:r>
        <w:rPr>
          <w:rFonts w:ascii="Times New Roman" w:hAnsi="Times New Roman"/>
          <w:sz w:val="21"/>
        </w:rPr>
        <w:t>for 20 min and then mixed with the rest of the concentrate and was offered for 1 h before feeding    the maize silage </w:t>
      </w:r>
      <w:r>
        <w:rPr>
          <w:rFonts w:ascii="Times New Roman" w:hAnsi="Times New Roman"/>
          <w:i/>
          <w:sz w:val="21"/>
        </w:rPr>
        <w:t>ad libitum </w:t>
      </w:r>
      <w:r>
        <w:rPr>
          <w:rFonts w:ascii="Times New Roman" w:hAnsi="Times New Roman"/>
          <w:sz w:val="21"/>
        </w:rPr>
        <w:t>for the rest of the day. The chemical composition of the basal diets is presented in Table</w:t>
      </w:r>
      <w:r>
        <w:rPr>
          <w:rFonts w:ascii="Times New Roman" w:hAnsi="Times New Roman"/>
          <w:spacing w:val="24"/>
          <w:sz w:val="21"/>
        </w:rPr>
        <w:t> </w:t>
      </w:r>
      <w:r>
        <w:rPr>
          <w:rFonts w:ascii="Times New Roman" w:hAnsi="Times New Roman"/>
          <w:sz w:val="21"/>
        </w:rPr>
        <w:t>1.</w:t>
      </w:r>
    </w:p>
    <w:p>
      <w:pPr>
        <w:pStyle w:val="BodyText"/>
        <w:spacing w:before="1"/>
        <w:rPr>
          <w:rFonts w:ascii="Times New Roman"/>
          <w:sz w:val="25"/>
        </w:rPr>
      </w:pPr>
    </w:p>
    <w:p>
      <w:pPr>
        <w:spacing w:line="288" w:lineRule="auto" w:before="0"/>
        <w:ind w:left="101" w:right="417" w:firstLine="0"/>
        <w:jc w:val="left"/>
        <w:rPr>
          <w:rFonts w:ascii="Times New Roman"/>
          <w:sz w:val="17"/>
        </w:rPr>
      </w:pPr>
      <w:r>
        <w:rPr>
          <w:rFonts w:ascii="Times New Roman"/>
          <w:w w:val="105"/>
          <w:sz w:val="17"/>
        </w:rPr>
        <w:t>Table</w:t>
      </w:r>
      <w:r>
        <w:rPr>
          <w:rFonts w:ascii="Times New Roman"/>
          <w:spacing w:val="-17"/>
          <w:w w:val="105"/>
          <w:sz w:val="17"/>
        </w:rPr>
        <w:t> </w:t>
      </w:r>
      <w:r>
        <w:rPr>
          <w:rFonts w:ascii="Times New Roman"/>
          <w:w w:val="105"/>
          <w:sz w:val="17"/>
        </w:rPr>
        <w:t>1.Chemical</w:t>
      </w:r>
      <w:r>
        <w:rPr>
          <w:rFonts w:ascii="Times New Roman"/>
          <w:spacing w:val="-11"/>
          <w:w w:val="105"/>
          <w:sz w:val="17"/>
        </w:rPr>
        <w:t> </w:t>
      </w:r>
      <w:r>
        <w:rPr>
          <w:rFonts w:ascii="Times New Roman"/>
          <w:w w:val="105"/>
          <w:sz w:val="17"/>
        </w:rPr>
        <w:t>composition</w:t>
      </w:r>
      <w:r>
        <w:rPr>
          <w:rFonts w:ascii="Times New Roman"/>
          <w:spacing w:val="-12"/>
          <w:w w:val="105"/>
          <w:sz w:val="17"/>
        </w:rPr>
        <w:t> </w:t>
      </w:r>
      <w:r>
        <w:rPr>
          <w:rFonts w:ascii="Times New Roman"/>
          <w:w w:val="105"/>
          <w:sz w:val="17"/>
        </w:rPr>
        <w:t>of</w:t>
      </w:r>
      <w:r>
        <w:rPr>
          <w:rFonts w:ascii="Times New Roman"/>
          <w:spacing w:val="-9"/>
          <w:w w:val="105"/>
          <w:sz w:val="17"/>
        </w:rPr>
        <w:t> </w:t>
      </w:r>
      <w:r>
        <w:rPr>
          <w:rFonts w:ascii="Times New Roman"/>
          <w:w w:val="105"/>
          <w:sz w:val="17"/>
        </w:rPr>
        <w:t>the</w:t>
      </w:r>
      <w:r>
        <w:rPr>
          <w:rFonts w:ascii="Times New Roman"/>
          <w:spacing w:val="-15"/>
          <w:w w:val="105"/>
          <w:sz w:val="17"/>
        </w:rPr>
        <w:t> </w:t>
      </w:r>
      <w:r>
        <w:rPr>
          <w:rFonts w:ascii="Times New Roman"/>
          <w:w w:val="105"/>
          <w:sz w:val="17"/>
        </w:rPr>
        <w:t>basal</w:t>
      </w:r>
      <w:r>
        <w:rPr>
          <w:rFonts w:ascii="Times New Roman"/>
          <w:spacing w:val="-15"/>
          <w:w w:val="105"/>
          <w:sz w:val="17"/>
        </w:rPr>
        <w:t> </w:t>
      </w:r>
      <w:r>
        <w:rPr>
          <w:rFonts w:ascii="Times New Roman"/>
          <w:w w:val="105"/>
          <w:sz w:val="17"/>
        </w:rPr>
        <w:t>diet</w:t>
      </w:r>
      <w:r>
        <w:rPr>
          <w:rFonts w:ascii="Times New Roman"/>
          <w:spacing w:val="-13"/>
          <w:w w:val="105"/>
          <w:sz w:val="17"/>
        </w:rPr>
        <w:t> </w:t>
      </w:r>
      <w:r>
        <w:rPr>
          <w:rFonts w:ascii="Times New Roman"/>
          <w:w w:val="105"/>
          <w:sz w:val="17"/>
        </w:rPr>
        <w:t>(commercial</w:t>
      </w:r>
      <w:r>
        <w:rPr>
          <w:rFonts w:ascii="Times New Roman"/>
          <w:spacing w:val="-11"/>
          <w:w w:val="105"/>
          <w:sz w:val="17"/>
        </w:rPr>
        <w:t> </w:t>
      </w:r>
      <w:r>
        <w:rPr>
          <w:rFonts w:ascii="Times New Roman"/>
          <w:w w:val="105"/>
          <w:sz w:val="17"/>
        </w:rPr>
        <w:t>concentrate</w:t>
      </w:r>
      <w:r>
        <w:rPr>
          <w:rFonts w:ascii="Times New Roman"/>
          <w:spacing w:val="-13"/>
          <w:w w:val="105"/>
          <w:sz w:val="17"/>
        </w:rPr>
        <w:t> </w:t>
      </w:r>
      <w:r>
        <w:rPr>
          <w:rFonts w:ascii="Times New Roman"/>
          <w:w w:val="105"/>
          <w:sz w:val="17"/>
        </w:rPr>
        <w:t>and</w:t>
      </w:r>
      <w:r>
        <w:rPr>
          <w:rFonts w:ascii="Times New Roman"/>
          <w:spacing w:val="-12"/>
          <w:w w:val="105"/>
          <w:sz w:val="17"/>
        </w:rPr>
        <w:t> </w:t>
      </w:r>
      <w:r>
        <w:rPr>
          <w:rFonts w:ascii="Times New Roman"/>
          <w:w w:val="105"/>
          <w:sz w:val="17"/>
        </w:rPr>
        <w:t>maize</w:t>
      </w:r>
      <w:r>
        <w:rPr>
          <w:rFonts w:ascii="Times New Roman"/>
          <w:spacing w:val="-13"/>
          <w:w w:val="105"/>
          <w:sz w:val="17"/>
        </w:rPr>
        <w:t> </w:t>
      </w:r>
      <w:r>
        <w:rPr>
          <w:rFonts w:ascii="Times New Roman"/>
          <w:w w:val="105"/>
          <w:sz w:val="17"/>
        </w:rPr>
        <w:t>silage)</w:t>
      </w:r>
      <w:r>
        <w:rPr>
          <w:rFonts w:ascii="Times New Roman"/>
          <w:spacing w:val="-11"/>
          <w:w w:val="105"/>
          <w:sz w:val="17"/>
        </w:rPr>
        <w:t> </w:t>
      </w:r>
      <w:r>
        <w:rPr>
          <w:rFonts w:ascii="Times New Roman"/>
          <w:w w:val="105"/>
          <w:sz w:val="17"/>
        </w:rPr>
        <w:t>and</w:t>
      </w:r>
      <w:r>
        <w:rPr>
          <w:rFonts w:ascii="Times New Roman"/>
          <w:spacing w:val="-12"/>
          <w:w w:val="105"/>
          <w:sz w:val="17"/>
        </w:rPr>
        <w:t> </w:t>
      </w:r>
      <w:r>
        <w:rPr>
          <w:rFonts w:ascii="Times New Roman"/>
          <w:w w:val="105"/>
          <w:sz w:val="17"/>
        </w:rPr>
        <w:t>levels</w:t>
      </w:r>
      <w:r>
        <w:rPr>
          <w:rFonts w:ascii="Times New Roman"/>
          <w:spacing w:val="-13"/>
          <w:w w:val="105"/>
          <w:sz w:val="17"/>
        </w:rPr>
        <w:t> </w:t>
      </w:r>
      <w:r>
        <w:rPr>
          <w:rFonts w:ascii="Times New Roman"/>
          <w:w w:val="105"/>
          <w:sz w:val="17"/>
        </w:rPr>
        <w:t>of</w:t>
      </w:r>
      <w:r>
        <w:rPr>
          <w:rFonts w:ascii="Times New Roman"/>
          <w:spacing w:val="-13"/>
          <w:w w:val="105"/>
          <w:sz w:val="17"/>
        </w:rPr>
        <w:t> </w:t>
      </w:r>
      <w:r>
        <w:rPr>
          <w:rFonts w:ascii="Times New Roman"/>
          <w:w w:val="105"/>
          <w:sz w:val="17"/>
        </w:rPr>
        <w:t>secondary metabolites</w:t>
      </w:r>
      <w:r>
        <w:rPr>
          <w:rFonts w:ascii="Times New Roman"/>
          <w:spacing w:val="-15"/>
          <w:w w:val="105"/>
          <w:sz w:val="17"/>
        </w:rPr>
        <w:t> </w:t>
      </w:r>
      <w:r>
        <w:rPr>
          <w:rFonts w:ascii="Times New Roman"/>
          <w:w w:val="105"/>
          <w:sz w:val="17"/>
        </w:rPr>
        <w:t>in</w:t>
      </w:r>
      <w:r>
        <w:rPr>
          <w:rFonts w:ascii="Times New Roman"/>
          <w:spacing w:val="-15"/>
          <w:w w:val="105"/>
          <w:sz w:val="17"/>
        </w:rPr>
        <w:t> </w:t>
      </w:r>
      <w:r>
        <w:rPr>
          <w:rFonts w:ascii="Times New Roman"/>
          <w:w w:val="105"/>
          <w:sz w:val="17"/>
        </w:rPr>
        <w:t>the</w:t>
      </w:r>
      <w:r>
        <w:rPr>
          <w:rFonts w:ascii="Times New Roman"/>
          <w:spacing w:val="-16"/>
          <w:w w:val="105"/>
          <w:sz w:val="17"/>
        </w:rPr>
        <w:t> </w:t>
      </w:r>
      <w:r>
        <w:rPr>
          <w:rFonts w:ascii="Times New Roman"/>
          <w:i/>
          <w:w w:val="105"/>
          <w:sz w:val="17"/>
        </w:rPr>
        <w:t>Salix</w:t>
      </w:r>
      <w:r>
        <w:rPr>
          <w:rFonts w:ascii="Times New Roman"/>
          <w:i/>
          <w:spacing w:val="-17"/>
          <w:w w:val="105"/>
          <w:sz w:val="17"/>
        </w:rPr>
        <w:t> </w:t>
      </w:r>
      <w:r>
        <w:rPr>
          <w:rFonts w:ascii="Times New Roman"/>
          <w:i/>
          <w:w w:val="105"/>
          <w:sz w:val="17"/>
        </w:rPr>
        <w:t>babylonica</w:t>
      </w:r>
      <w:r>
        <w:rPr>
          <w:rFonts w:ascii="Times New Roman"/>
          <w:w w:val="105"/>
          <w:sz w:val="17"/>
        </w:rPr>
        <w:t>extract,</w:t>
      </w:r>
      <w:r>
        <w:rPr>
          <w:rFonts w:ascii="Times New Roman"/>
          <w:spacing w:val="-15"/>
          <w:w w:val="105"/>
          <w:sz w:val="17"/>
        </w:rPr>
        <w:t> </w:t>
      </w:r>
      <w:r>
        <w:rPr>
          <w:rFonts w:ascii="Times New Roman"/>
          <w:w w:val="105"/>
          <w:sz w:val="17"/>
        </w:rPr>
        <w:t>g/kg</w:t>
      </w:r>
      <w:r>
        <w:rPr>
          <w:rFonts w:ascii="Times New Roman"/>
          <w:spacing w:val="-17"/>
          <w:w w:val="105"/>
          <w:sz w:val="17"/>
        </w:rPr>
        <w:t> </w:t>
      </w:r>
      <w:r>
        <w:rPr>
          <w:rFonts w:ascii="Times New Roman"/>
          <w:w w:val="105"/>
          <w:sz w:val="17"/>
        </w:rPr>
        <w:t>DM</w:t>
      </w:r>
    </w:p>
    <w:p>
      <w:pPr>
        <w:pStyle w:val="BodyText"/>
        <w:spacing w:before="3"/>
        <w:rPr>
          <w:rFonts w:ascii="Times New Roman"/>
          <w:sz w:val="13"/>
        </w:rPr>
      </w:pPr>
      <w:r>
        <w:rPr/>
        <w:pict>
          <v:group style="position:absolute;margin-left:123.954994pt;margin-top:9.593198pt;width:347.8pt;height:.25pt;mso-position-horizontal-relative:page;mso-position-vertical-relative:paragraph;z-index:1384;mso-wrap-distance-left:0;mso-wrap-distance-right:0" coordorigin="2479,192" coordsize="6956,5">
            <v:line style="position:absolute" from="2482,194" to="5268,194" stroked="true" strokeweight=".24pt" strokecolor="#171616"/>
            <v:line style="position:absolute" from="5268,194" to="5273,194" stroked="true" strokeweight=".24pt" strokecolor="#171616"/>
            <v:line style="position:absolute" from="5273,194" to="6998,194" stroked="true" strokeweight=".24pt" strokecolor="#171616"/>
            <v:line style="position:absolute" from="6998,194" to="7003,194" stroked="true" strokeweight=".24pt" strokecolor="#171616"/>
            <v:line style="position:absolute" from="7003,194" to="8045,194" stroked="true" strokeweight=".24pt" strokecolor="#171616"/>
            <v:line style="position:absolute" from="8045,194" to="8050,194" stroked="true" strokeweight=".24pt" strokecolor="#171616"/>
            <v:line style="position:absolute" from="8050,194" to="9432,194" stroked="true" strokeweight=".24pt" strokecolor="#171616"/>
            <w10:wrap type="topAndBottom"/>
          </v:group>
        </w:pict>
      </w:r>
    </w:p>
    <w:p>
      <w:pPr>
        <w:spacing w:line="204" w:lineRule="exact" w:before="0" w:after="26"/>
        <w:ind w:left="5455" w:right="417" w:firstLine="0"/>
        <w:jc w:val="left"/>
        <w:rPr>
          <w:rFonts w:ascii="Times New Roman"/>
          <w:i/>
          <w:sz w:val="19"/>
        </w:rPr>
      </w:pPr>
      <w:r>
        <w:rPr>
          <w:rFonts w:ascii="Times New Roman"/>
          <w:sz w:val="19"/>
        </w:rPr>
        <w:t>Maizesilage  </w:t>
      </w:r>
      <w:r>
        <w:rPr>
          <w:rFonts w:ascii="Times New Roman"/>
          <w:i/>
          <w:sz w:val="19"/>
        </w:rPr>
        <w:t>Salix</w:t>
      </w:r>
    </w:p>
    <w:tbl>
      <w:tblPr>
        <w:tblW w:w="0" w:type="auto"/>
        <w:jc w:val="left"/>
        <w:tblInd w:w="9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61"/>
        <w:gridCol w:w="1696"/>
        <w:gridCol w:w="1136"/>
        <w:gridCol w:w="1203"/>
      </w:tblGrid>
      <w:tr>
        <w:trPr>
          <w:trHeight w:val="449" w:hRule="exact"/>
        </w:trPr>
        <w:tc>
          <w:tcPr>
            <w:tcW w:w="2461" w:type="dxa"/>
          </w:tcPr>
          <w:p>
            <w:pPr>
              <w:pStyle w:val="TableParagraph"/>
              <w:spacing w:line="197" w:lineRule="exact" w:before="0"/>
              <w:ind w:left="35"/>
              <w:rPr>
                <w:rFonts w:ascii="Times New Roman"/>
                <w:sz w:val="19"/>
              </w:rPr>
            </w:pPr>
            <w:r>
              <w:rPr>
                <w:rFonts w:ascii="Times New Roman"/>
                <w:sz w:val="19"/>
              </w:rPr>
              <w:t>Indices</w:t>
            </w:r>
          </w:p>
        </w:tc>
        <w:tc>
          <w:tcPr>
            <w:tcW w:w="1696" w:type="dxa"/>
          </w:tcPr>
          <w:p>
            <w:pPr>
              <w:pStyle w:val="TableParagraph"/>
              <w:spacing w:line="197" w:lineRule="exact" w:before="0"/>
              <w:ind w:left="360"/>
              <w:rPr>
                <w:rFonts w:ascii="Times New Roman"/>
                <w:sz w:val="19"/>
              </w:rPr>
            </w:pPr>
            <w:r>
              <w:rPr>
                <w:rFonts w:ascii="Times New Roman"/>
                <w:sz w:val="19"/>
              </w:rPr>
              <w:t>Concentrate</w:t>
            </w:r>
          </w:p>
        </w:tc>
        <w:tc>
          <w:tcPr>
            <w:tcW w:w="2339" w:type="dxa"/>
            <w:gridSpan w:val="2"/>
          </w:tcPr>
          <w:p>
            <w:pPr>
              <w:pStyle w:val="TableParagraph"/>
              <w:spacing w:line="197" w:lineRule="exact" w:before="0"/>
              <w:ind w:left="1439" w:right="-490"/>
              <w:rPr>
                <w:rFonts w:ascii="Times New Roman"/>
                <w:i/>
                <w:sz w:val="19"/>
              </w:rPr>
            </w:pPr>
            <w:r>
              <w:rPr>
                <w:rFonts w:ascii="Times New Roman"/>
                <w:i/>
                <w:sz w:val="19"/>
              </w:rPr>
              <w:t>babylonica</w:t>
            </w:r>
          </w:p>
          <w:p>
            <w:pPr>
              <w:pStyle w:val="TableParagraph"/>
              <w:tabs>
                <w:tab w:pos="1439" w:val="left" w:leader="none"/>
                <w:tab w:pos="2828" w:val="left" w:leader="none"/>
              </w:tabs>
              <w:spacing w:before="4"/>
              <w:ind w:left="-4122" w:right="-490"/>
              <w:rPr>
                <w:rFonts w:ascii="Times New Roman"/>
                <w:sz w:val="19"/>
              </w:rPr>
            </w:pPr>
            <w:r>
              <w:rPr>
                <w:rFonts w:ascii="Times New Roman"/>
                <w:w w:val="101"/>
                <w:sz w:val="19"/>
                <w:u w:val="single" w:color="171616"/>
              </w:rPr>
              <w:t> </w:t>
            </w:r>
            <w:r>
              <w:rPr>
                <w:rFonts w:ascii="Times New Roman"/>
                <w:sz w:val="19"/>
                <w:u w:val="single" w:color="171616"/>
              </w:rPr>
              <w:tab/>
              <w:t>extract</w:t>
              <w:tab/>
            </w:r>
          </w:p>
        </w:tc>
      </w:tr>
      <w:tr>
        <w:trPr>
          <w:trHeight w:val="474" w:hRule="exact"/>
        </w:trPr>
        <w:tc>
          <w:tcPr>
            <w:tcW w:w="2461" w:type="dxa"/>
          </w:tcPr>
          <w:p>
            <w:pPr>
              <w:pStyle w:val="TableParagraph"/>
              <w:spacing w:before="5"/>
              <w:ind w:left="35"/>
              <w:rPr>
                <w:rFonts w:ascii="Times New Roman"/>
                <w:sz w:val="19"/>
              </w:rPr>
            </w:pPr>
            <w:r>
              <w:rPr>
                <w:rFonts w:ascii="Times New Roman"/>
                <w:i/>
                <w:sz w:val="19"/>
              </w:rPr>
              <w:t>Chemicalcomposition</w:t>
            </w:r>
            <w:r>
              <w:rPr>
                <w:rFonts w:ascii="Times New Roman"/>
                <w:sz w:val="19"/>
              </w:rPr>
              <w:t>crudeprot</w:t>
            </w:r>
          </w:p>
        </w:tc>
        <w:tc>
          <w:tcPr>
            <w:tcW w:w="1696" w:type="dxa"/>
          </w:tcPr>
          <w:p>
            <w:pPr>
              <w:pStyle w:val="TableParagraph"/>
              <w:spacing w:before="5"/>
              <w:ind w:left="20"/>
              <w:rPr>
                <w:rFonts w:ascii="Times New Roman"/>
                <w:sz w:val="19"/>
              </w:rPr>
            </w:pPr>
            <w:r>
              <w:rPr>
                <w:rFonts w:ascii="Times New Roman"/>
                <w:sz w:val="19"/>
              </w:rPr>
              <w:t>ein</w:t>
            </w:r>
          </w:p>
          <w:p>
            <w:pPr>
              <w:pStyle w:val="TableParagraph"/>
              <w:spacing w:before="9"/>
              <w:ind w:left="360"/>
              <w:rPr>
                <w:rFonts w:ascii="Times New Roman"/>
                <w:sz w:val="19"/>
              </w:rPr>
            </w:pPr>
            <w:r>
              <w:rPr>
                <w:rFonts w:ascii="Times New Roman"/>
                <w:sz w:val="19"/>
              </w:rPr>
              <w:t>147.3</w:t>
            </w:r>
          </w:p>
        </w:tc>
        <w:tc>
          <w:tcPr>
            <w:tcW w:w="1136" w:type="dxa"/>
          </w:tcPr>
          <w:p>
            <w:pPr>
              <w:pStyle w:val="TableParagraph"/>
              <w:spacing w:before="3"/>
              <w:ind w:left="0"/>
              <w:rPr>
                <w:rFonts w:ascii="Times New Roman"/>
                <w:i/>
                <w:sz w:val="20"/>
              </w:rPr>
            </w:pPr>
          </w:p>
          <w:p>
            <w:pPr>
              <w:pStyle w:val="TableParagraph"/>
              <w:spacing w:before="0"/>
              <w:ind w:left="377" w:right="288"/>
              <w:jc w:val="center"/>
              <w:rPr>
                <w:rFonts w:ascii="Times New Roman"/>
                <w:sz w:val="19"/>
              </w:rPr>
            </w:pPr>
            <w:r>
              <w:rPr>
                <w:rFonts w:ascii="Times New Roman"/>
                <w:sz w:val="19"/>
              </w:rPr>
              <w:t>106.2</w:t>
            </w:r>
          </w:p>
        </w:tc>
        <w:tc>
          <w:tcPr>
            <w:tcW w:w="1203" w:type="dxa"/>
          </w:tcPr>
          <w:p>
            <w:pPr/>
          </w:p>
        </w:tc>
      </w:tr>
      <w:tr>
        <w:trPr>
          <w:trHeight w:val="359" w:hRule="exact"/>
        </w:trPr>
        <w:tc>
          <w:tcPr>
            <w:tcW w:w="2461" w:type="dxa"/>
          </w:tcPr>
          <w:p>
            <w:pPr>
              <w:pStyle w:val="TableParagraph"/>
              <w:spacing w:before="4"/>
              <w:ind w:left="35"/>
              <w:rPr>
                <w:rFonts w:ascii="Times New Roman"/>
                <w:sz w:val="19"/>
              </w:rPr>
            </w:pPr>
            <w:r>
              <w:rPr>
                <w:rFonts w:ascii="Times New Roman"/>
                <w:sz w:val="19"/>
              </w:rPr>
              <w:t>etherextract</w:t>
            </w:r>
          </w:p>
        </w:tc>
        <w:tc>
          <w:tcPr>
            <w:tcW w:w="1696" w:type="dxa"/>
          </w:tcPr>
          <w:p>
            <w:pPr>
              <w:pStyle w:val="TableParagraph"/>
              <w:spacing w:before="4"/>
              <w:ind w:left="360"/>
              <w:rPr>
                <w:rFonts w:ascii="Times New Roman"/>
                <w:sz w:val="19"/>
              </w:rPr>
            </w:pPr>
            <w:r>
              <w:rPr>
                <w:rFonts w:ascii="Times New Roman"/>
                <w:sz w:val="19"/>
              </w:rPr>
              <w:t>119.8</w:t>
            </w:r>
          </w:p>
        </w:tc>
        <w:tc>
          <w:tcPr>
            <w:tcW w:w="1136" w:type="dxa"/>
          </w:tcPr>
          <w:p>
            <w:pPr>
              <w:pStyle w:val="TableParagraph"/>
              <w:spacing w:before="4"/>
              <w:ind w:left="281" w:right="288"/>
              <w:jc w:val="center"/>
              <w:rPr>
                <w:rFonts w:ascii="Times New Roman"/>
                <w:sz w:val="19"/>
              </w:rPr>
            </w:pPr>
            <w:r>
              <w:rPr>
                <w:rFonts w:ascii="Times New Roman"/>
                <w:sz w:val="19"/>
              </w:rPr>
              <w:t>85.2</w:t>
            </w:r>
          </w:p>
        </w:tc>
        <w:tc>
          <w:tcPr>
            <w:tcW w:w="1203" w:type="dxa"/>
          </w:tcPr>
          <w:p>
            <w:pPr/>
          </w:p>
        </w:tc>
      </w:tr>
      <w:tr>
        <w:trPr>
          <w:trHeight w:val="473" w:hRule="exact"/>
        </w:trPr>
        <w:tc>
          <w:tcPr>
            <w:tcW w:w="2461" w:type="dxa"/>
          </w:tcPr>
          <w:p>
            <w:pPr>
              <w:pStyle w:val="TableParagraph"/>
              <w:spacing w:before="118"/>
              <w:ind w:left="35"/>
              <w:rPr>
                <w:rFonts w:ascii="Times New Roman"/>
                <w:sz w:val="19"/>
              </w:rPr>
            </w:pPr>
            <w:r>
              <w:rPr>
                <w:rFonts w:ascii="Times New Roman"/>
                <w:sz w:val="19"/>
              </w:rPr>
              <w:t>neutral detergentfibre</w:t>
            </w:r>
          </w:p>
        </w:tc>
        <w:tc>
          <w:tcPr>
            <w:tcW w:w="1696" w:type="dxa"/>
          </w:tcPr>
          <w:p>
            <w:pPr>
              <w:pStyle w:val="TableParagraph"/>
              <w:spacing w:before="118"/>
              <w:ind w:left="360"/>
              <w:rPr>
                <w:rFonts w:ascii="Times New Roman"/>
                <w:sz w:val="19"/>
              </w:rPr>
            </w:pPr>
            <w:r>
              <w:rPr>
                <w:rFonts w:ascii="Times New Roman"/>
                <w:sz w:val="19"/>
              </w:rPr>
              <w:t>160.4</w:t>
            </w:r>
          </w:p>
        </w:tc>
        <w:tc>
          <w:tcPr>
            <w:tcW w:w="1136" w:type="dxa"/>
          </w:tcPr>
          <w:p>
            <w:pPr>
              <w:pStyle w:val="TableParagraph"/>
              <w:spacing w:before="118"/>
              <w:ind w:left="377" w:right="288"/>
              <w:jc w:val="center"/>
              <w:rPr>
                <w:rFonts w:ascii="Times New Roman"/>
                <w:sz w:val="19"/>
              </w:rPr>
            </w:pPr>
            <w:r>
              <w:rPr>
                <w:rFonts w:ascii="Times New Roman"/>
                <w:sz w:val="19"/>
              </w:rPr>
              <w:t>444.8</w:t>
            </w:r>
          </w:p>
        </w:tc>
        <w:tc>
          <w:tcPr>
            <w:tcW w:w="1203" w:type="dxa"/>
          </w:tcPr>
          <w:p>
            <w:pPr/>
          </w:p>
        </w:tc>
      </w:tr>
      <w:tr>
        <w:trPr>
          <w:trHeight w:val="473" w:hRule="exact"/>
        </w:trPr>
        <w:tc>
          <w:tcPr>
            <w:tcW w:w="2461" w:type="dxa"/>
          </w:tcPr>
          <w:p>
            <w:pPr>
              <w:pStyle w:val="TableParagraph"/>
              <w:spacing w:before="118"/>
              <w:ind w:left="35"/>
              <w:rPr>
                <w:rFonts w:ascii="Times New Roman"/>
                <w:sz w:val="19"/>
              </w:rPr>
            </w:pPr>
            <w:r>
              <w:rPr>
                <w:rFonts w:ascii="Times New Roman"/>
                <w:sz w:val="19"/>
              </w:rPr>
              <w:t>aciddetergentfibre</w:t>
            </w:r>
          </w:p>
        </w:tc>
        <w:tc>
          <w:tcPr>
            <w:tcW w:w="1696" w:type="dxa"/>
          </w:tcPr>
          <w:p>
            <w:pPr>
              <w:pStyle w:val="TableParagraph"/>
              <w:spacing w:before="118"/>
              <w:ind w:left="458"/>
              <w:rPr>
                <w:rFonts w:ascii="Times New Roman"/>
                <w:sz w:val="19"/>
              </w:rPr>
            </w:pPr>
            <w:r>
              <w:rPr>
                <w:rFonts w:ascii="Times New Roman"/>
                <w:sz w:val="19"/>
              </w:rPr>
              <w:t>27.7</w:t>
            </w:r>
          </w:p>
        </w:tc>
        <w:tc>
          <w:tcPr>
            <w:tcW w:w="1136" w:type="dxa"/>
          </w:tcPr>
          <w:p>
            <w:pPr>
              <w:pStyle w:val="TableParagraph"/>
              <w:spacing w:before="118"/>
              <w:ind w:left="377" w:right="288"/>
              <w:jc w:val="center"/>
              <w:rPr>
                <w:rFonts w:ascii="Times New Roman"/>
                <w:sz w:val="19"/>
              </w:rPr>
            </w:pPr>
            <w:r>
              <w:rPr>
                <w:rFonts w:ascii="Times New Roman"/>
                <w:sz w:val="19"/>
              </w:rPr>
              <w:t>111.2</w:t>
            </w:r>
          </w:p>
        </w:tc>
        <w:tc>
          <w:tcPr>
            <w:tcW w:w="1203" w:type="dxa"/>
          </w:tcPr>
          <w:p>
            <w:pPr/>
          </w:p>
        </w:tc>
      </w:tr>
      <w:tr>
        <w:trPr>
          <w:trHeight w:val="473" w:hRule="exact"/>
        </w:trPr>
        <w:tc>
          <w:tcPr>
            <w:tcW w:w="2461" w:type="dxa"/>
          </w:tcPr>
          <w:p>
            <w:pPr>
              <w:pStyle w:val="TableParagraph"/>
              <w:spacing w:before="118"/>
              <w:ind w:left="35"/>
              <w:rPr>
                <w:rFonts w:ascii="Times New Roman"/>
                <w:sz w:val="19"/>
              </w:rPr>
            </w:pPr>
            <w:r>
              <w:rPr>
                <w:rFonts w:ascii="Times New Roman"/>
                <w:sz w:val="19"/>
              </w:rPr>
              <w:t>aciddetergentlignin</w:t>
            </w:r>
          </w:p>
        </w:tc>
        <w:tc>
          <w:tcPr>
            <w:tcW w:w="1696" w:type="dxa"/>
          </w:tcPr>
          <w:p>
            <w:pPr>
              <w:pStyle w:val="TableParagraph"/>
              <w:spacing w:before="118"/>
              <w:ind w:left="557"/>
              <w:rPr>
                <w:rFonts w:ascii="Times New Roman"/>
                <w:sz w:val="19"/>
              </w:rPr>
            </w:pPr>
            <w:r>
              <w:rPr>
                <w:rFonts w:ascii="Times New Roman"/>
                <w:sz w:val="19"/>
              </w:rPr>
              <w:t>7.6</w:t>
            </w:r>
          </w:p>
        </w:tc>
        <w:tc>
          <w:tcPr>
            <w:tcW w:w="1136" w:type="dxa"/>
          </w:tcPr>
          <w:p>
            <w:pPr>
              <w:pStyle w:val="TableParagraph"/>
              <w:spacing w:before="118"/>
              <w:ind w:left="378" w:right="191"/>
              <w:jc w:val="center"/>
              <w:rPr>
                <w:rFonts w:ascii="Times New Roman"/>
                <w:sz w:val="19"/>
              </w:rPr>
            </w:pPr>
            <w:r>
              <w:rPr>
                <w:rFonts w:ascii="Times New Roman"/>
                <w:sz w:val="19"/>
              </w:rPr>
              <w:t>18.0</w:t>
            </w:r>
          </w:p>
        </w:tc>
        <w:tc>
          <w:tcPr>
            <w:tcW w:w="1203" w:type="dxa"/>
          </w:tcPr>
          <w:p>
            <w:pPr/>
          </w:p>
        </w:tc>
      </w:tr>
      <w:tr>
        <w:trPr>
          <w:trHeight w:val="366" w:hRule="exact"/>
        </w:trPr>
        <w:tc>
          <w:tcPr>
            <w:tcW w:w="2461" w:type="dxa"/>
          </w:tcPr>
          <w:p>
            <w:pPr>
              <w:pStyle w:val="TableParagraph"/>
              <w:spacing w:before="118"/>
              <w:ind w:left="35"/>
              <w:rPr>
                <w:rFonts w:ascii="Times New Roman"/>
                <w:sz w:val="19"/>
              </w:rPr>
            </w:pPr>
            <w:r>
              <w:rPr>
                <w:rFonts w:ascii="Times New Roman"/>
                <w:i/>
                <w:sz w:val="19"/>
              </w:rPr>
              <w:t>Secondarymetabolites</w:t>
            </w:r>
            <w:r>
              <w:rPr>
                <w:rFonts w:ascii="Times New Roman"/>
                <w:sz w:val="19"/>
              </w:rPr>
              <w:t>total</w:t>
            </w:r>
          </w:p>
        </w:tc>
        <w:tc>
          <w:tcPr>
            <w:tcW w:w="1696" w:type="dxa"/>
          </w:tcPr>
          <w:p>
            <w:pPr/>
          </w:p>
        </w:tc>
        <w:tc>
          <w:tcPr>
            <w:tcW w:w="1136" w:type="dxa"/>
          </w:tcPr>
          <w:p>
            <w:pPr/>
          </w:p>
        </w:tc>
        <w:tc>
          <w:tcPr>
            <w:tcW w:w="1203" w:type="dxa"/>
          </w:tcPr>
          <w:p>
            <w:pPr/>
          </w:p>
        </w:tc>
      </w:tr>
      <w:tr>
        <w:trPr>
          <w:trHeight w:val="365" w:hRule="exact"/>
        </w:trPr>
        <w:tc>
          <w:tcPr>
            <w:tcW w:w="2461" w:type="dxa"/>
          </w:tcPr>
          <w:p>
            <w:pPr>
              <w:pStyle w:val="TableParagraph"/>
              <w:spacing w:before="11"/>
              <w:ind w:left="35"/>
              <w:rPr>
                <w:rFonts w:ascii="Times New Roman"/>
                <w:sz w:val="19"/>
              </w:rPr>
            </w:pPr>
            <w:r>
              <w:rPr>
                <w:rFonts w:ascii="Times New Roman"/>
                <w:sz w:val="19"/>
              </w:rPr>
              <w:t>phenolics</w:t>
            </w:r>
          </w:p>
        </w:tc>
        <w:tc>
          <w:tcPr>
            <w:tcW w:w="1696" w:type="dxa"/>
          </w:tcPr>
          <w:p>
            <w:pPr/>
          </w:p>
        </w:tc>
        <w:tc>
          <w:tcPr>
            <w:tcW w:w="1136" w:type="dxa"/>
          </w:tcPr>
          <w:p>
            <w:pPr/>
          </w:p>
        </w:tc>
        <w:tc>
          <w:tcPr>
            <w:tcW w:w="1203" w:type="dxa"/>
          </w:tcPr>
          <w:p>
            <w:pPr>
              <w:pStyle w:val="TableParagraph"/>
              <w:spacing w:before="11"/>
              <w:ind w:left="0" w:right="556"/>
              <w:jc w:val="right"/>
              <w:rPr>
                <w:rFonts w:ascii="Times New Roman"/>
                <w:sz w:val="19"/>
              </w:rPr>
            </w:pPr>
            <w:r>
              <w:rPr>
                <w:rFonts w:ascii="Times New Roman"/>
                <w:sz w:val="19"/>
              </w:rPr>
              <w:t>16.4</w:t>
            </w:r>
          </w:p>
        </w:tc>
      </w:tr>
      <w:tr>
        <w:trPr>
          <w:trHeight w:val="454" w:hRule="exact"/>
        </w:trPr>
        <w:tc>
          <w:tcPr>
            <w:tcW w:w="2461" w:type="dxa"/>
          </w:tcPr>
          <w:p>
            <w:pPr>
              <w:pStyle w:val="TableParagraph"/>
              <w:spacing w:before="117"/>
              <w:ind w:left="35"/>
              <w:rPr>
                <w:rFonts w:ascii="Times New Roman"/>
                <w:sz w:val="19"/>
              </w:rPr>
            </w:pPr>
            <w:r>
              <w:rPr>
                <w:rFonts w:ascii="Times New Roman"/>
                <w:sz w:val="19"/>
              </w:rPr>
              <w:t>saponins</w:t>
            </w:r>
          </w:p>
        </w:tc>
        <w:tc>
          <w:tcPr>
            <w:tcW w:w="1696" w:type="dxa"/>
          </w:tcPr>
          <w:p>
            <w:pPr/>
          </w:p>
        </w:tc>
        <w:tc>
          <w:tcPr>
            <w:tcW w:w="1136" w:type="dxa"/>
          </w:tcPr>
          <w:p>
            <w:pPr/>
          </w:p>
        </w:tc>
        <w:tc>
          <w:tcPr>
            <w:tcW w:w="1203" w:type="dxa"/>
          </w:tcPr>
          <w:p>
            <w:pPr>
              <w:pStyle w:val="TableParagraph"/>
              <w:spacing w:before="117"/>
              <w:ind w:left="0" w:right="556"/>
              <w:jc w:val="right"/>
              <w:rPr>
                <w:rFonts w:ascii="Times New Roman"/>
                <w:sz w:val="19"/>
              </w:rPr>
            </w:pPr>
            <w:r>
              <w:rPr>
                <w:rFonts w:ascii="Times New Roman"/>
                <w:sz w:val="19"/>
              </w:rPr>
              <w:t>5.4</w:t>
            </w:r>
          </w:p>
        </w:tc>
      </w:tr>
      <w:tr>
        <w:trPr>
          <w:trHeight w:val="450" w:hRule="exact"/>
        </w:trPr>
        <w:tc>
          <w:tcPr>
            <w:tcW w:w="2461" w:type="dxa"/>
          </w:tcPr>
          <w:p>
            <w:pPr>
              <w:pStyle w:val="TableParagraph"/>
              <w:spacing w:before="110"/>
              <w:ind w:left="35"/>
              <w:rPr>
                <w:rFonts w:ascii="Times New Roman"/>
                <w:sz w:val="12"/>
              </w:rPr>
            </w:pPr>
            <w:r>
              <w:rPr>
                <w:rFonts w:ascii="Times New Roman"/>
                <w:sz w:val="19"/>
              </w:rPr>
              <w:t>aqueousfraction</w:t>
            </w:r>
            <w:r>
              <w:rPr>
                <w:rFonts w:ascii="Times New Roman"/>
                <w:position w:val="9"/>
                <w:sz w:val="12"/>
              </w:rPr>
              <w:t>1</w:t>
            </w:r>
          </w:p>
        </w:tc>
        <w:tc>
          <w:tcPr>
            <w:tcW w:w="1696" w:type="dxa"/>
          </w:tcPr>
          <w:p>
            <w:pPr/>
          </w:p>
        </w:tc>
        <w:tc>
          <w:tcPr>
            <w:tcW w:w="1136" w:type="dxa"/>
          </w:tcPr>
          <w:p>
            <w:pPr/>
          </w:p>
        </w:tc>
        <w:tc>
          <w:tcPr>
            <w:tcW w:w="1203" w:type="dxa"/>
          </w:tcPr>
          <w:p>
            <w:pPr>
              <w:pStyle w:val="TableParagraph"/>
              <w:spacing w:before="135"/>
              <w:ind w:left="0" w:right="556"/>
              <w:jc w:val="right"/>
              <w:rPr>
                <w:rFonts w:ascii="Times New Roman"/>
                <w:sz w:val="19"/>
              </w:rPr>
            </w:pPr>
            <w:r>
              <w:rPr>
                <w:rFonts w:ascii="Times New Roman"/>
                <w:sz w:val="19"/>
              </w:rPr>
              <w:t>76.3</w:t>
            </w:r>
          </w:p>
        </w:tc>
      </w:tr>
    </w:tbl>
    <w:p>
      <w:pPr>
        <w:pStyle w:val="BodyText"/>
        <w:spacing w:before="9"/>
        <w:rPr>
          <w:rFonts w:ascii="Times New Roman"/>
          <w:i/>
          <w:sz w:val="8"/>
        </w:rPr>
      </w:pPr>
      <w:r>
        <w:rPr/>
        <w:pict>
          <v:group style="position:absolute;margin-left:123.235001pt;margin-top:7.021006pt;width:348.5pt;height:.25pt;mso-position-horizontal-relative:page;mso-position-vertical-relative:paragraph;z-index:1408;mso-wrap-distance-left:0;mso-wrap-distance-right:0" coordorigin="2465,140" coordsize="6970,5">
            <v:line style="position:absolute" from="2467,143" to="5268,143" stroked="true" strokeweight=".24pt" strokecolor="#171616"/>
            <v:line style="position:absolute" from="5254,143" to="5258,143" stroked="true" strokeweight=".24pt" strokecolor="#171616"/>
            <v:line style="position:absolute" from="5258,143" to="6998,143" stroked="true" strokeweight=".24pt" strokecolor="#171616"/>
            <v:line style="position:absolute" from="6984,143" to="6989,143" stroked="true" strokeweight=".24pt" strokecolor="#171616"/>
            <v:line style="position:absolute" from="6989,143" to="8045,143" stroked="true" strokeweight=".24pt" strokecolor="#171616"/>
            <v:line style="position:absolute" from="8030,143" to="8035,143" stroked="true" strokeweight=".24pt" strokecolor="#171616"/>
            <v:line style="position:absolute" from="8035,143" to="9432,143" stroked="true" strokeweight=".24pt" strokecolor="#171616"/>
            <w10:wrap type="topAndBottom"/>
          </v:group>
        </w:pict>
      </w:r>
    </w:p>
    <w:p>
      <w:pPr>
        <w:pStyle w:val="BodyText"/>
        <w:rPr>
          <w:rFonts w:ascii="Times New Roman"/>
          <w:i/>
          <w:sz w:val="20"/>
        </w:rPr>
      </w:pPr>
    </w:p>
    <w:p>
      <w:pPr>
        <w:pStyle w:val="BodyText"/>
        <w:spacing w:before="5"/>
        <w:rPr>
          <w:rFonts w:ascii="Times New Roman"/>
          <w:i/>
          <w:sz w:val="27"/>
        </w:rPr>
      </w:pPr>
      <w:r>
        <w:rPr/>
        <w:pict>
          <v:line style="position:absolute;mso-position-horizontal-relative:page;mso-position-vertical-relative:paragraph;z-index:1432;mso-wrap-distance-left:0;mso-wrap-distance-right:0" from="82.799995pt,18.065975pt" to="222.959992pt,18.065975pt" stroked="true" strokeweight=".6pt" strokecolor="#000000">
            <w10:wrap type="topAndBottom"/>
          </v:line>
        </w:pict>
      </w:r>
    </w:p>
    <w:p>
      <w:pPr>
        <w:spacing w:before="67"/>
        <w:ind w:left="115" w:right="417" w:firstLine="0"/>
        <w:jc w:val="left"/>
        <w:rPr>
          <w:rFonts w:ascii="Times New Roman"/>
          <w:sz w:val="17"/>
        </w:rPr>
      </w:pPr>
      <w:r>
        <w:rPr>
          <w:rFonts w:ascii="Times New Roman"/>
          <w:color w:val="171616"/>
          <w:w w:val="105"/>
          <w:position w:val="7"/>
          <w:sz w:val="10"/>
        </w:rPr>
        <w:t>1</w:t>
      </w:r>
      <w:r>
        <w:rPr>
          <w:rFonts w:ascii="Times New Roman"/>
          <w:color w:val="171616"/>
          <w:w w:val="105"/>
          <w:sz w:val="17"/>
        </w:rPr>
        <w:t>aqueous fraction: lectins, polypeptides, starch (Cowan, 1999)</w:t>
      </w:r>
    </w:p>
    <w:p>
      <w:pPr>
        <w:spacing w:after="0"/>
        <w:jc w:val="left"/>
        <w:rPr>
          <w:rFonts w:ascii="Times New Roman"/>
          <w:sz w:val="17"/>
        </w:rPr>
        <w:sectPr>
          <w:pgSz w:w="11900" w:h="16840"/>
          <w:pgMar w:header="0" w:footer="1616" w:top="1600" w:bottom="1860" w:left="154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8"/>
        </w:rPr>
      </w:pPr>
    </w:p>
    <w:p>
      <w:pPr>
        <w:spacing w:line="280" w:lineRule="auto" w:before="1"/>
        <w:ind w:left="101" w:right="112" w:firstLine="703"/>
        <w:jc w:val="both"/>
        <w:rPr>
          <w:rFonts w:ascii="Times New Roman" w:hAnsi="Times New Roman"/>
          <w:sz w:val="21"/>
        </w:rPr>
      </w:pPr>
      <w:r>
        <w:rPr>
          <w:rFonts w:ascii="Times New Roman" w:hAnsi="Times New Roman"/>
          <w:sz w:val="21"/>
        </w:rPr>
        <w:t>ZADO</w:t>
      </w:r>
      <w:r>
        <w:rPr>
          <w:rFonts w:ascii="Times New Roman" w:hAnsi="Times New Roman"/>
          <w:position w:val="10"/>
          <w:sz w:val="13"/>
        </w:rPr>
        <w:t>® </w:t>
      </w:r>
      <w:r>
        <w:rPr>
          <w:rFonts w:ascii="Times New Roman" w:hAnsi="Times New Roman"/>
          <w:sz w:val="21"/>
        </w:rPr>
        <w:t>is a powdered multi-enzyme commercially available  feed  additive  product produced from </w:t>
      </w:r>
      <w:r>
        <w:rPr>
          <w:rFonts w:ascii="Times New Roman" w:hAnsi="Times New Roman"/>
          <w:i/>
          <w:sz w:val="21"/>
        </w:rPr>
        <w:t>Ruminococcusflavefaciens  </w:t>
      </w:r>
      <w:r>
        <w:rPr>
          <w:rFonts w:ascii="Times New Roman" w:hAnsi="Times New Roman"/>
          <w:sz w:val="21"/>
        </w:rPr>
        <w:t>by the  Academy of Scientific Research  and  Technology in Egypt (Patent No. 22155, Cairo, Egypt). Prior to this work, the enzyme mixture was assayed for several enzymatic activities, and it was found to contain (per gram of enzyme preparation) 7.1 unit   of endoglucanase, 2.3 unit of xylanase, 61.5 unit of α-amylase and 29.2 unit of protease  </w:t>
      </w:r>
      <w:r>
        <w:rPr>
          <w:rFonts w:ascii="Times New Roman" w:hAnsi="Times New Roman"/>
          <w:spacing w:val="17"/>
          <w:sz w:val="21"/>
        </w:rPr>
        <w:t> </w:t>
      </w:r>
      <w:r>
        <w:rPr>
          <w:rFonts w:ascii="Times New Roman" w:hAnsi="Times New Roman"/>
          <w:sz w:val="21"/>
        </w:rPr>
        <w:t>activity.</w:t>
      </w:r>
    </w:p>
    <w:p>
      <w:pPr>
        <w:pStyle w:val="BodyText"/>
        <w:spacing w:before="1"/>
        <w:rPr>
          <w:rFonts w:ascii="Times New Roman"/>
          <w:sz w:val="17"/>
        </w:rPr>
      </w:pPr>
    </w:p>
    <w:p>
      <w:pPr>
        <w:spacing w:line="280" w:lineRule="auto" w:before="0"/>
        <w:ind w:left="101" w:right="117" w:firstLine="703"/>
        <w:jc w:val="both"/>
        <w:rPr>
          <w:rFonts w:ascii="Times New Roman"/>
          <w:sz w:val="21"/>
        </w:rPr>
      </w:pPr>
      <w:r>
        <w:rPr>
          <w:rFonts w:ascii="Times New Roman"/>
          <w:sz w:val="21"/>
        </w:rPr>
        <w:t>To make the silage, whole maize plants (at medium stage i.e., 70% moisture content) were chopped into 1-2 cm pieces using a forage chopper and the silage made immediately in a flat 10-ton silo. After two months, the use of the silage was initiated for feeding experimental animals as well    as the other animals of the experimental farm of the </w:t>
      </w:r>
      <w:r>
        <w:rPr>
          <w:rFonts w:ascii="Times New Roman"/>
          <w:spacing w:val="20"/>
          <w:sz w:val="21"/>
        </w:rPr>
        <w:t> </w:t>
      </w:r>
      <w:r>
        <w:rPr>
          <w:rFonts w:ascii="Times New Roman"/>
          <w:sz w:val="21"/>
        </w:rPr>
        <w:t>faculty.</w:t>
      </w:r>
    </w:p>
    <w:p>
      <w:pPr>
        <w:pStyle w:val="BodyText"/>
        <w:spacing w:before="8"/>
        <w:rPr>
          <w:rFonts w:ascii="Times New Roman"/>
          <w:sz w:val="22"/>
        </w:rPr>
      </w:pPr>
    </w:p>
    <w:p>
      <w:pPr>
        <w:spacing w:before="0"/>
        <w:ind w:left="116" w:right="0" w:firstLine="0"/>
        <w:jc w:val="both"/>
        <w:rPr>
          <w:rFonts w:ascii="Times New Roman"/>
          <w:i/>
          <w:sz w:val="21"/>
        </w:rPr>
      </w:pPr>
      <w:r>
        <w:rPr>
          <w:rFonts w:ascii="Times New Roman"/>
          <w:i/>
          <w:sz w:val="21"/>
        </w:rPr>
        <w:t>Preparation of extract</w:t>
      </w:r>
    </w:p>
    <w:p>
      <w:pPr>
        <w:pStyle w:val="BodyText"/>
        <w:spacing w:before="6"/>
        <w:rPr>
          <w:rFonts w:ascii="Times New Roman"/>
          <w:i/>
          <w:sz w:val="20"/>
        </w:rPr>
      </w:pPr>
    </w:p>
    <w:p>
      <w:pPr>
        <w:spacing w:line="276" w:lineRule="auto" w:before="0"/>
        <w:ind w:left="101" w:right="114" w:firstLine="331"/>
        <w:jc w:val="both"/>
        <w:rPr>
          <w:rFonts w:ascii="Times New Roman" w:hAnsi="Times New Roman"/>
          <w:sz w:val="21"/>
        </w:rPr>
      </w:pPr>
      <w:r>
        <w:rPr>
          <w:rFonts w:ascii="Times New Roman" w:hAnsi="Times New Roman"/>
          <w:sz w:val="21"/>
        </w:rPr>
        <w:t>The </w:t>
      </w:r>
      <w:r>
        <w:rPr>
          <w:rFonts w:ascii="Times New Roman" w:hAnsi="Times New Roman"/>
          <w:i/>
          <w:sz w:val="21"/>
        </w:rPr>
        <w:t>S. babylonica </w:t>
      </w:r>
      <w:r>
        <w:rPr>
          <w:rFonts w:ascii="Times New Roman" w:hAnsi="Times New Roman"/>
          <w:sz w:val="21"/>
        </w:rPr>
        <w:t>extract was prepared as described by Salem et al. (2011b). Briefly, fresh  leaves of </w:t>
      </w:r>
      <w:r>
        <w:rPr>
          <w:rFonts w:ascii="Times New Roman" w:hAnsi="Times New Roman"/>
          <w:i/>
          <w:sz w:val="21"/>
        </w:rPr>
        <w:t>S. babylonica </w:t>
      </w:r>
      <w:r>
        <w:rPr>
          <w:rFonts w:ascii="Times New Roman" w:hAnsi="Times New Roman"/>
          <w:sz w:val="21"/>
        </w:rPr>
        <w:t>were collected randomly from several young and mature trees (minimum 5 different trees) in autumn and were chopped (1-2 cm) and immediately extracted in the proportion    of 1 g leaf per 8 ml of solvent mixture. The mixture of solvents contained  10  ml  methanol  (99.8/100, analytical grade, Fermont</w:t>
      </w:r>
      <w:r>
        <w:rPr>
          <w:rFonts w:ascii="Times New Roman" w:hAnsi="Times New Roman"/>
          <w:position w:val="10"/>
          <w:sz w:val="13"/>
        </w:rPr>
        <w:t>®</w:t>
      </w:r>
      <w:r>
        <w:rPr>
          <w:rFonts w:ascii="Times New Roman" w:hAnsi="Times New Roman"/>
          <w:sz w:val="21"/>
        </w:rPr>
        <w:t>, Monterrey, Mexico), 10 ethanol  ml  (99/100,  analytical  grade, Fermont</w:t>
      </w:r>
      <w:r>
        <w:rPr>
          <w:rFonts w:ascii="Times New Roman" w:hAnsi="Times New Roman"/>
          <w:position w:val="10"/>
          <w:sz w:val="13"/>
        </w:rPr>
        <w:t>®</w:t>
      </w:r>
      <w:r>
        <w:rPr>
          <w:rFonts w:ascii="Times New Roman" w:hAnsi="Times New Roman"/>
          <w:sz w:val="21"/>
        </w:rPr>
        <w:t>, Monterrey, Mexico) and 80 ml distilled water. Leaves were soaked and incubated  in solvent in the laboratory at 25-30°C for 48-72 h in closed flasks. After incubation, all flasks were incubated in a water bath at 39°C for one h and then immediately filtered and the filtrate collected  and stored </w:t>
      </w:r>
      <w:r>
        <w:rPr>
          <w:rFonts w:ascii="Times New Roman" w:hAnsi="Times New Roman"/>
          <w:spacing w:val="-3"/>
          <w:sz w:val="21"/>
        </w:rPr>
        <w:t>at </w:t>
      </w:r>
      <w:r>
        <w:rPr>
          <w:rFonts w:ascii="Times New Roman" w:hAnsi="Times New Roman"/>
          <w:sz w:val="21"/>
        </w:rPr>
        <w:t>4°C for further </w:t>
      </w:r>
      <w:r>
        <w:rPr>
          <w:rFonts w:ascii="Times New Roman" w:hAnsi="Times New Roman"/>
          <w:spacing w:val="3"/>
          <w:sz w:val="21"/>
        </w:rPr>
        <w:t> </w:t>
      </w:r>
      <w:r>
        <w:rPr>
          <w:rFonts w:ascii="Times New Roman" w:hAnsi="Times New Roman"/>
          <w:sz w:val="21"/>
        </w:rPr>
        <w:t>use.</w:t>
      </w:r>
    </w:p>
    <w:p>
      <w:pPr>
        <w:pStyle w:val="BodyText"/>
        <w:spacing w:before="8"/>
        <w:rPr>
          <w:rFonts w:ascii="Times New Roman"/>
          <w:sz w:val="22"/>
        </w:rPr>
      </w:pPr>
    </w:p>
    <w:p>
      <w:pPr>
        <w:spacing w:before="0"/>
        <w:ind w:left="115" w:right="0" w:firstLine="0"/>
        <w:jc w:val="both"/>
        <w:rPr>
          <w:rFonts w:ascii="Times New Roman"/>
          <w:i/>
          <w:sz w:val="21"/>
        </w:rPr>
      </w:pPr>
      <w:r>
        <w:rPr>
          <w:rFonts w:ascii="Times New Roman"/>
          <w:i/>
          <w:sz w:val="21"/>
        </w:rPr>
        <w:t>Sampling and measurements</w:t>
      </w:r>
    </w:p>
    <w:p>
      <w:pPr>
        <w:pStyle w:val="BodyText"/>
        <w:spacing w:before="3"/>
        <w:rPr>
          <w:rFonts w:ascii="Times New Roman"/>
          <w:i/>
          <w:sz w:val="20"/>
        </w:rPr>
      </w:pPr>
    </w:p>
    <w:p>
      <w:pPr>
        <w:spacing w:line="280" w:lineRule="auto" w:before="0"/>
        <w:ind w:left="101" w:right="115" w:firstLine="0"/>
        <w:jc w:val="both"/>
        <w:rPr>
          <w:rFonts w:ascii="Times New Roman"/>
          <w:sz w:val="21"/>
        </w:rPr>
      </w:pPr>
      <w:r>
        <w:rPr>
          <w:rFonts w:ascii="Times New Roman"/>
          <w:sz w:val="21"/>
        </w:rPr>
        <w:t>Five millitres of peripheral blood was collected from each lamb by jugular venipuncture into EDTA vacutainer tubes (BD tube, Monterrey, Mexico) on days 0, 15, 30, 45 and 60 of the experiment. Samples of both concentrate and silage  were also collected during the experimental  period and  stored at -20 C for later chemical</w:t>
      </w:r>
      <w:r>
        <w:rPr>
          <w:rFonts w:ascii="Times New Roman"/>
          <w:spacing w:val="51"/>
          <w:sz w:val="21"/>
        </w:rPr>
        <w:t> </w:t>
      </w:r>
      <w:r>
        <w:rPr>
          <w:rFonts w:ascii="Times New Roman"/>
          <w:sz w:val="21"/>
        </w:rPr>
        <w:t>analysis.</w:t>
      </w:r>
    </w:p>
    <w:p>
      <w:pPr>
        <w:pStyle w:val="BodyText"/>
        <w:spacing w:before="1"/>
        <w:rPr>
          <w:rFonts w:ascii="Times New Roman"/>
          <w:sz w:val="17"/>
        </w:rPr>
      </w:pPr>
    </w:p>
    <w:p>
      <w:pPr>
        <w:spacing w:line="280" w:lineRule="auto" w:before="0"/>
        <w:ind w:left="101" w:right="117" w:firstLine="0"/>
        <w:jc w:val="both"/>
        <w:rPr>
          <w:rFonts w:ascii="Times New Roman"/>
          <w:sz w:val="21"/>
        </w:rPr>
      </w:pPr>
      <w:r>
        <w:rPr>
          <w:rFonts w:ascii="Times New Roman"/>
          <w:sz w:val="21"/>
        </w:rPr>
        <w:t>Two samples of the concentrate, silage and SB extract were collected weekly during the 60 days of experiment. Each sample type (i.e., concentrate, silage or extract) were pooled  and  stored  for  further</w:t>
      </w:r>
      <w:r>
        <w:rPr>
          <w:rFonts w:ascii="Times New Roman"/>
          <w:spacing w:val="20"/>
          <w:sz w:val="21"/>
        </w:rPr>
        <w:t> </w:t>
      </w:r>
      <w:r>
        <w:rPr>
          <w:rFonts w:ascii="Times New Roman"/>
          <w:sz w:val="21"/>
        </w:rPr>
        <w:t>analysis.</w:t>
      </w:r>
    </w:p>
    <w:p>
      <w:pPr>
        <w:pStyle w:val="BodyText"/>
        <w:spacing w:before="6"/>
        <w:rPr>
          <w:rFonts w:ascii="Times New Roman"/>
          <w:sz w:val="22"/>
        </w:rPr>
      </w:pPr>
    </w:p>
    <w:p>
      <w:pPr>
        <w:spacing w:before="0"/>
        <w:ind w:left="115" w:right="0" w:firstLine="0"/>
        <w:jc w:val="both"/>
        <w:rPr>
          <w:rFonts w:ascii="Times New Roman"/>
          <w:i/>
          <w:sz w:val="21"/>
        </w:rPr>
      </w:pPr>
      <w:r>
        <w:rPr>
          <w:rFonts w:ascii="Times New Roman"/>
          <w:i/>
          <w:sz w:val="21"/>
        </w:rPr>
        <w:t>Sample analysis</w:t>
      </w:r>
    </w:p>
    <w:p>
      <w:pPr>
        <w:pStyle w:val="BodyText"/>
        <w:spacing w:before="6"/>
        <w:rPr>
          <w:rFonts w:ascii="Times New Roman"/>
          <w:i/>
          <w:sz w:val="20"/>
        </w:rPr>
      </w:pPr>
    </w:p>
    <w:p>
      <w:pPr>
        <w:spacing w:line="280" w:lineRule="auto" w:before="0"/>
        <w:ind w:left="101" w:right="117" w:firstLine="703"/>
        <w:jc w:val="both"/>
        <w:rPr>
          <w:rFonts w:ascii="Times New Roman"/>
          <w:sz w:val="21"/>
        </w:rPr>
      </w:pPr>
      <w:r>
        <w:rPr>
          <w:rFonts w:ascii="Times New Roman"/>
          <w:sz w:val="21"/>
        </w:rPr>
        <w:t>Blood samples were analysed for red blood cell count (RBC), the differential white cell count: neutrophils, lymphocytes, basophils, eosinophils and </w:t>
      </w:r>
      <w:r>
        <w:rPr>
          <w:rFonts w:ascii="Times New Roman"/>
          <w:spacing w:val="40"/>
          <w:sz w:val="21"/>
        </w:rPr>
        <w:t> </w:t>
      </w:r>
      <w:r>
        <w:rPr>
          <w:rFonts w:ascii="Times New Roman"/>
          <w:sz w:val="21"/>
        </w:rPr>
        <w:t>monocytes,</w:t>
      </w:r>
    </w:p>
    <w:p>
      <w:pPr>
        <w:spacing w:after="0" w:line="280" w:lineRule="auto"/>
        <w:jc w:val="both"/>
        <w:rPr>
          <w:rFonts w:ascii="Times New Roman"/>
          <w:sz w:val="21"/>
        </w:rPr>
        <w:sectPr>
          <w:pgSz w:w="11900" w:h="16840"/>
          <w:pgMar w:header="0" w:footer="1616" w:top="1600" w:bottom="1860" w:left="1540" w:right="1560"/>
        </w:sectPr>
      </w:pPr>
    </w:p>
    <w:p>
      <w:pPr>
        <w:pStyle w:val="BodyText"/>
        <w:rPr>
          <w:rFonts w:ascii="Times New Roman"/>
          <w:sz w:val="20"/>
        </w:rPr>
      </w:pPr>
    </w:p>
    <w:p>
      <w:pPr>
        <w:pStyle w:val="BodyText"/>
        <w:rPr>
          <w:rFonts w:ascii="Times New Roman"/>
          <w:sz w:val="16"/>
        </w:rPr>
      </w:pPr>
    </w:p>
    <w:p>
      <w:pPr>
        <w:spacing w:line="280" w:lineRule="auto" w:before="77"/>
        <w:ind w:left="101" w:right="114" w:firstLine="69"/>
        <w:jc w:val="both"/>
        <w:rPr>
          <w:rFonts w:ascii="Times New Roman"/>
          <w:sz w:val="21"/>
        </w:rPr>
      </w:pPr>
      <w:r>
        <w:rPr>
          <w:rFonts w:ascii="Times New Roman"/>
          <w:sz w:val="21"/>
        </w:rPr>
        <w:t>packed cell volume (PCV), haemoglobin (HGB), mean corpuscular volume (MCV), mean cell haemoglobin concentration (MHC), white blood cell count (WBC), and plasma protein  concentration. Haemoglobin concentration was determined using the cyanmethaemoglobin method. Haematocrit was determined by micro haematocrit technique. Erythrocyte and total leucocytes and differential leucocyte counts were determined using the haemocytometer method. Total plasma proteins were determined using a refractometer (Archer and Jeffcott, 1977). Mean corpuscular volume (MCV) and MHC were calculated to diagnose any type of anaemia by taking into account   the values of erythrocytes, haemoglobin and haematocrit </w:t>
      </w:r>
      <w:r>
        <w:rPr>
          <w:rFonts w:ascii="Times New Roman"/>
          <w:spacing w:val="37"/>
          <w:sz w:val="21"/>
        </w:rPr>
        <w:t> </w:t>
      </w:r>
      <w:r>
        <w:rPr>
          <w:rFonts w:ascii="Times New Roman"/>
          <w:sz w:val="21"/>
        </w:rPr>
        <w:t>predetermined:</w:t>
      </w:r>
    </w:p>
    <w:p>
      <w:pPr>
        <w:pStyle w:val="BodyText"/>
        <w:spacing w:before="7"/>
        <w:rPr>
          <w:rFonts w:ascii="Times New Roman"/>
        </w:rPr>
      </w:pPr>
    </w:p>
    <w:p>
      <w:pPr>
        <w:spacing w:after="0"/>
        <w:rPr>
          <w:rFonts w:ascii="Times New Roman"/>
        </w:rPr>
        <w:sectPr>
          <w:pgSz w:w="11900" w:h="16840"/>
          <w:pgMar w:header="0" w:footer="1616" w:top="1600" w:bottom="1860" w:left="1540" w:right="1560"/>
        </w:sectPr>
      </w:pPr>
    </w:p>
    <w:p>
      <w:pPr>
        <w:spacing w:before="185"/>
        <w:ind w:left="115" w:right="0" w:firstLine="0"/>
        <w:jc w:val="left"/>
        <w:rPr>
          <w:rFonts w:ascii="Cambria Math" w:hAnsi="Cambria Math"/>
          <w:sz w:val="21"/>
        </w:rPr>
      </w:pPr>
      <w:r>
        <w:rPr/>
        <w:pict>
          <v:line style="position:absolute;mso-position-horizontal-relative:page;mso-position-vertical-relative:paragraph;z-index:-137560" from="212.759995pt,18.513071pt" to="314.159992pt,18.513071pt" stroked="true" strokeweight=".72pt" strokecolor="#000000">
            <w10:wrap type="none"/>
          </v:line>
        </w:pict>
      </w:r>
      <w:r>
        <w:rPr>
          <w:rFonts w:ascii="Cambria Math" w:hAnsi="Cambria Math"/>
          <w:sz w:val="21"/>
        </w:rPr>
        <w:t>MCV (</w:t>
      </w:r>
      <w:r>
        <w:rPr>
          <w:rFonts w:ascii="MS Mincho" w:hAnsi="MS Mincho"/>
          <w:sz w:val="21"/>
        </w:rPr>
        <w:t>μ</w:t>
      </w:r>
      <w:r>
        <w:rPr>
          <w:rFonts w:ascii="Cambria Math" w:hAnsi="Cambria Math"/>
          <w:sz w:val="21"/>
        </w:rPr>
        <w:t>m</w:t>
      </w:r>
      <w:r>
        <w:rPr>
          <w:rFonts w:ascii="MS Mincho" w:hAnsi="MS Mincho"/>
          <w:sz w:val="21"/>
        </w:rPr>
        <w:t>³</w:t>
      </w:r>
      <w:r>
        <w:rPr>
          <w:rFonts w:ascii="Cambria Math" w:hAnsi="Cambria Math"/>
          <w:sz w:val="21"/>
        </w:rPr>
        <w:t>/erythrocyte) =</w:t>
      </w:r>
    </w:p>
    <w:p>
      <w:pPr>
        <w:spacing w:line="302" w:lineRule="auto" w:before="68"/>
        <w:ind w:left="108" w:right="3741" w:hanging="92"/>
        <w:jc w:val="left"/>
        <w:rPr>
          <w:rFonts w:ascii="Cambria Math" w:hAnsi="Cambria Math"/>
          <w:sz w:val="21"/>
        </w:rPr>
      </w:pPr>
      <w:r>
        <w:rPr/>
        <w:br w:type="column"/>
      </w:r>
      <w:r>
        <w:rPr>
          <w:rFonts w:ascii="Cambria Math" w:hAnsi="Cambria Math"/>
          <w:sz w:val="21"/>
        </w:rPr>
        <w:t>Hematocrit (%) × 10 Total de erythrocyte</w:t>
      </w:r>
    </w:p>
    <w:p>
      <w:pPr>
        <w:spacing w:after="0" w:line="302" w:lineRule="auto"/>
        <w:jc w:val="left"/>
        <w:rPr>
          <w:rFonts w:ascii="Cambria Math" w:hAnsi="Cambria Math"/>
          <w:sz w:val="21"/>
        </w:rPr>
        <w:sectPr>
          <w:type w:val="continuous"/>
          <w:pgSz w:w="11900" w:h="16840"/>
          <w:pgMar w:top="1600" w:bottom="1860" w:left="1540" w:right="1560"/>
          <w:cols w:num="2" w:equalWidth="0">
            <w:col w:w="2658" w:space="40"/>
            <w:col w:w="6102"/>
          </w:cols>
        </w:sectPr>
      </w:pPr>
    </w:p>
    <w:p>
      <w:pPr>
        <w:pStyle w:val="BodyText"/>
        <w:spacing w:before="9"/>
        <w:rPr>
          <w:rFonts w:ascii="Cambria Math"/>
          <w:sz w:val="29"/>
        </w:rPr>
      </w:pPr>
    </w:p>
    <w:p>
      <w:pPr>
        <w:spacing w:after="0"/>
        <w:rPr>
          <w:rFonts w:ascii="Cambria Math"/>
          <w:sz w:val="29"/>
        </w:rPr>
        <w:sectPr>
          <w:type w:val="continuous"/>
          <w:pgSz w:w="11900" w:h="16840"/>
          <w:pgMar w:top="1600" w:bottom="1860" w:left="1540" w:right="1560"/>
        </w:sectPr>
      </w:pPr>
    </w:p>
    <w:p>
      <w:pPr>
        <w:pStyle w:val="BodyText"/>
        <w:spacing w:before="8"/>
        <w:rPr>
          <w:rFonts w:ascii="Cambria Math"/>
          <w:sz w:val="19"/>
        </w:rPr>
      </w:pPr>
    </w:p>
    <w:p>
      <w:pPr>
        <w:spacing w:before="0"/>
        <w:ind w:left="115" w:right="0" w:firstLine="0"/>
        <w:jc w:val="left"/>
        <w:rPr>
          <w:rFonts w:ascii="Cambria Math"/>
          <w:sz w:val="21"/>
        </w:rPr>
      </w:pPr>
      <w:r>
        <w:rPr/>
        <w:pict>
          <v:line style="position:absolute;mso-position-horizontal-relative:page;mso-position-vertical-relative:paragraph;z-index:-137536" from="139.559998pt,6.916463pt" to="254.999995pt,6.916463pt" stroked="true" strokeweight=".6pt" strokecolor="#000000">
            <w10:wrap type="none"/>
          </v:line>
        </w:pict>
      </w:r>
      <w:r>
        <w:rPr>
          <w:rFonts w:ascii="Cambria Math"/>
          <w:sz w:val="21"/>
        </w:rPr>
        <w:t>MHC (%) =</w:t>
      </w:r>
    </w:p>
    <w:p>
      <w:pPr>
        <w:spacing w:line="300" w:lineRule="auto" w:before="68"/>
        <w:ind w:left="653" w:right="4383" w:hanging="639"/>
        <w:jc w:val="left"/>
        <w:rPr>
          <w:rFonts w:ascii="Cambria Math" w:hAnsi="Cambria Math"/>
          <w:sz w:val="21"/>
        </w:rPr>
      </w:pPr>
      <w:r>
        <w:rPr/>
        <w:br w:type="column"/>
      </w:r>
      <w:r>
        <w:rPr>
          <w:rFonts w:ascii="Cambria Math" w:hAnsi="Cambria Math"/>
          <w:sz w:val="21"/>
        </w:rPr>
        <w:t>Hemoglobin (g/dl) × 10 Hematocrit</w:t>
      </w:r>
    </w:p>
    <w:p>
      <w:pPr>
        <w:spacing w:after="0" w:line="300" w:lineRule="auto"/>
        <w:jc w:val="left"/>
        <w:rPr>
          <w:rFonts w:ascii="Cambria Math" w:hAnsi="Cambria Math"/>
          <w:sz w:val="21"/>
        </w:rPr>
        <w:sectPr>
          <w:type w:val="continuous"/>
          <w:pgSz w:w="11900" w:h="16840"/>
          <w:pgMar w:top="1600" w:bottom="1860" w:left="1540" w:right="1560"/>
          <w:cols w:num="2" w:equalWidth="0">
            <w:col w:w="1196" w:space="40"/>
            <w:col w:w="7564"/>
          </w:cols>
        </w:sectPr>
      </w:pPr>
    </w:p>
    <w:p>
      <w:pPr>
        <w:pStyle w:val="BodyText"/>
        <w:spacing w:before="9"/>
        <w:rPr>
          <w:rFonts w:ascii="Cambria Math"/>
          <w:sz w:val="17"/>
        </w:rPr>
      </w:pPr>
    </w:p>
    <w:p>
      <w:pPr>
        <w:spacing w:line="280" w:lineRule="auto" w:before="77"/>
        <w:ind w:left="101" w:right="114" w:firstLine="331"/>
        <w:jc w:val="both"/>
        <w:rPr>
          <w:rFonts w:ascii="Times New Roman" w:hAnsi="Times New Roman"/>
          <w:sz w:val="21"/>
        </w:rPr>
      </w:pPr>
      <w:r>
        <w:rPr>
          <w:rFonts w:ascii="Times New Roman" w:hAnsi="Times New Roman"/>
          <w:sz w:val="21"/>
        </w:rPr>
        <w:t>Samples of concentrate and silage were analysed for DM, ash, nitrogen (N), and ether extract  (EE) according to AOAC (1997). The neutral detergent fibre (NDF; Van Soest et al., 1991), acid detergent fibre (ADF) and lignin (AOAC, 1997) were analysed using an  ANKOM  200 FibreAnalyser Unit (ANKOM Technology Corporation, Macedon, NY, USA). The NDF  was  assayed without use of α-amylase but with sodium sulphite in the NDF. Both NDF and ADF are expressed without residual</w:t>
      </w:r>
      <w:r>
        <w:rPr>
          <w:rFonts w:ascii="Times New Roman" w:hAnsi="Times New Roman"/>
          <w:spacing w:val="39"/>
          <w:sz w:val="21"/>
        </w:rPr>
        <w:t> </w:t>
      </w:r>
      <w:r>
        <w:rPr>
          <w:rFonts w:ascii="Times New Roman" w:hAnsi="Times New Roman"/>
          <w:sz w:val="21"/>
        </w:rPr>
        <w:t>ash.</w:t>
      </w:r>
    </w:p>
    <w:p>
      <w:pPr>
        <w:pStyle w:val="BodyText"/>
        <w:rPr>
          <w:rFonts w:ascii="Times New Roman"/>
          <w:sz w:val="20"/>
        </w:rPr>
      </w:pPr>
    </w:p>
    <w:p>
      <w:pPr>
        <w:pStyle w:val="BodyText"/>
        <w:spacing w:before="10"/>
        <w:rPr>
          <w:rFonts w:ascii="Times New Roman"/>
          <w:sz w:val="21"/>
        </w:rPr>
      </w:pPr>
    </w:p>
    <w:p>
      <w:pPr>
        <w:spacing w:line="273" w:lineRule="auto" w:before="0"/>
        <w:ind w:left="101" w:right="112" w:firstLine="0"/>
        <w:jc w:val="both"/>
        <w:rPr>
          <w:rFonts w:ascii="Times New Roman" w:hAnsi="Times New Roman"/>
          <w:sz w:val="21"/>
        </w:rPr>
      </w:pPr>
      <w:r>
        <w:rPr>
          <w:rFonts w:ascii="Times New Roman" w:hAnsi="Times New Roman"/>
          <w:sz w:val="21"/>
        </w:rPr>
        <w:t>Plant secondary metabolites  were determined using ten millitres of extract liquor and fractionated    by funnel separation with a double volume of ethyl acetate (99.7/100, analytical grade, Fermont</w:t>
      </w:r>
      <w:r>
        <w:rPr>
          <w:rFonts w:ascii="Times New Roman" w:hAnsi="Times New Roman"/>
          <w:position w:val="10"/>
          <w:sz w:val="13"/>
        </w:rPr>
        <w:t>®</w:t>
      </w:r>
      <w:r>
        <w:rPr>
          <w:rFonts w:ascii="Times New Roman" w:hAnsi="Times New Roman"/>
          <w:sz w:val="21"/>
        </w:rPr>
        <w:t>, Monterrey, Mexico) to determine total phenolics by drying and quantifying the total phenolics layer in the funnel. After total phenolics separation, a double volume of n-butanol (99.9/100, analytical grade, Fermont</w:t>
      </w:r>
      <w:r>
        <w:rPr>
          <w:rFonts w:ascii="Times New Roman" w:hAnsi="Times New Roman"/>
          <w:position w:val="10"/>
          <w:sz w:val="13"/>
        </w:rPr>
        <w:t>®</w:t>
      </w:r>
      <w:r>
        <w:rPr>
          <w:rFonts w:ascii="Times New Roman" w:hAnsi="Times New Roman"/>
          <w:sz w:val="21"/>
        </w:rPr>
        <w:t>, Monterrey, Mexico) was added to fractionate the saponins (Ahmed et al., 1990). The remaining solution was considered to be the aqueous fraction that has the other secondary metabolites such lectins, polypeptides and starch (Cowan, 1999)  (Table </w:t>
      </w:r>
      <w:r>
        <w:rPr>
          <w:rFonts w:ascii="Times New Roman" w:hAnsi="Times New Roman"/>
          <w:spacing w:val="47"/>
          <w:sz w:val="21"/>
        </w:rPr>
        <w:t> </w:t>
      </w:r>
      <w:r>
        <w:rPr>
          <w:rFonts w:ascii="Times New Roman" w:hAnsi="Times New Roman"/>
          <w:sz w:val="21"/>
        </w:rPr>
        <w:t>1).</w:t>
      </w:r>
    </w:p>
    <w:p>
      <w:pPr>
        <w:pStyle w:val="BodyText"/>
        <w:rPr>
          <w:rFonts w:ascii="Times New Roman"/>
          <w:sz w:val="20"/>
        </w:rPr>
      </w:pPr>
    </w:p>
    <w:p>
      <w:pPr>
        <w:pStyle w:val="BodyText"/>
        <w:rPr>
          <w:rFonts w:ascii="Times New Roman"/>
          <w:sz w:val="20"/>
        </w:rPr>
      </w:pPr>
    </w:p>
    <w:p>
      <w:pPr>
        <w:pStyle w:val="BodyText"/>
        <w:spacing w:before="2"/>
        <w:rPr>
          <w:rFonts w:ascii="Times New Roman"/>
          <w:sz w:val="19"/>
        </w:rPr>
      </w:pPr>
    </w:p>
    <w:p>
      <w:pPr>
        <w:spacing w:line="280" w:lineRule="auto" w:before="0"/>
        <w:ind w:left="101" w:right="115" w:firstLine="0"/>
        <w:jc w:val="both"/>
        <w:rPr>
          <w:rFonts w:ascii="Times New Roman" w:hAnsi="Times New Roman"/>
          <w:sz w:val="21"/>
        </w:rPr>
      </w:pPr>
      <w:r>
        <w:rPr>
          <w:rFonts w:ascii="Times New Roman" w:hAnsi="Times New Roman"/>
          <w:sz w:val="21"/>
        </w:rPr>
        <w:t>Endoglucanase activity was assayed by liberating  glucose  from  carboxymethyl  cellulose,  which was determined calorimetrically using alkaline copper reagent as described by Robyt and Whelan (1972). One unit of endoglucanase catalyzes the liberation of 1 mmol of glucose per min from  sodium carboxymethylcellulose at 40°C and pH 4.5. Furthermore, α-amylase was assayed </w:t>
      </w:r>
      <w:r>
        <w:rPr>
          <w:rFonts w:ascii="Times New Roman" w:hAnsi="Times New Roman"/>
          <w:spacing w:val="2"/>
          <w:sz w:val="21"/>
        </w:rPr>
        <w:t>by </w:t>
      </w:r>
      <w:r>
        <w:rPr>
          <w:rFonts w:ascii="Times New Roman" w:hAnsi="Times New Roman"/>
          <w:sz w:val="21"/>
        </w:rPr>
        <w:t>its ability to produce reducing groups from starch, which were measured by </w:t>
      </w:r>
      <w:r>
        <w:rPr>
          <w:rFonts w:ascii="Times New Roman" w:hAnsi="Times New Roman"/>
          <w:spacing w:val="45"/>
          <w:sz w:val="21"/>
        </w:rPr>
        <w:t> </w:t>
      </w:r>
      <w:r>
        <w:rPr>
          <w:rFonts w:ascii="Times New Roman" w:hAnsi="Times New Roman"/>
          <w:sz w:val="21"/>
        </w:rPr>
        <w:t>the</w:t>
      </w:r>
    </w:p>
    <w:p>
      <w:pPr>
        <w:spacing w:after="0" w:line="280" w:lineRule="auto"/>
        <w:jc w:val="both"/>
        <w:rPr>
          <w:rFonts w:ascii="Times New Roman" w:hAnsi="Times New Roman"/>
          <w:sz w:val="21"/>
        </w:rPr>
        <w:sectPr>
          <w:type w:val="continuous"/>
          <w:pgSz w:w="11900" w:h="16840"/>
          <w:pgMar w:top="1600" w:bottom="1860" w:left="1540" w:right="1560"/>
        </w:sectPr>
      </w:pPr>
    </w:p>
    <w:p>
      <w:pPr>
        <w:pStyle w:val="BodyText"/>
        <w:rPr>
          <w:rFonts w:ascii="Times New Roman"/>
          <w:sz w:val="20"/>
        </w:rPr>
      </w:pPr>
    </w:p>
    <w:p>
      <w:pPr>
        <w:pStyle w:val="BodyText"/>
        <w:rPr>
          <w:rFonts w:ascii="Times New Roman"/>
          <w:sz w:val="16"/>
        </w:rPr>
      </w:pPr>
    </w:p>
    <w:p>
      <w:pPr>
        <w:spacing w:line="280" w:lineRule="auto" w:before="77"/>
        <w:ind w:left="101" w:right="115" w:firstLine="0"/>
        <w:jc w:val="both"/>
        <w:rPr>
          <w:rFonts w:ascii="Times New Roman" w:hAnsi="Times New Roman"/>
          <w:sz w:val="21"/>
        </w:rPr>
      </w:pPr>
      <w:r>
        <w:rPr>
          <w:rFonts w:ascii="Times New Roman" w:hAnsi="Times New Roman"/>
          <w:sz w:val="21"/>
        </w:rPr>
        <w:t>reduction of 3,5-dinitrosalicylic acid (Bernfeld, 1955). One unit of α-amylase  catalyzes  the  liberation of 1 mmol of reducing groups per min from soluble starch at 25°C and pH 6.0, calculated  as maltose equivalents. Protease activity was determined by the hydrolysis of  dimethyl  casein (DMC) and the liberated amino acids were determined using 2,4,6-trinitrobenzene sulphonic acid (Lin et al., 1969). One DMC-U catalyzes the cleavage of 1 mmol of peptide bond per  min from  DMC at 25°C and pH 7.0 expressed in terms of newly formed terminal amino groups. Xylanase catalyzes the hydrolysis of xylan from oat spelt, and the reducing groups liberated were determined using alkaline copper reagent (Robyt and Whelan, 1972). One unit catalyzes  the  liberation of1  mmol reducing groups per h from xylan at 37°C and pH 5.5, expressed as xylose  </w:t>
      </w:r>
      <w:r>
        <w:rPr>
          <w:rFonts w:ascii="Times New Roman" w:hAnsi="Times New Roman"/>
          <w:spacing w:val="17"/>
          <w:sz w:val="21"/>
        </w:rPr>
        <w:t> </w:t>
      </w:r>
      <w:r>
        <w:rPr>
          <w:rFonts w:ascii="Times New Roman" w:hAnsi="Times New Roman"/>
          <w:sz w:val="21"/>
        </w:rPr>
        <w:t>equivalents.</w:t>
      </w:r>
    </w:p>
    <w:p>
      <w:pPr>
        <w:pStyle w:val="BodyText"/>
        <w:rPr>
          <w:rFonts w:ascii="Times New Roman"/>
          <w:sz w:val="20"/>
        </w:rPr>
      </w:pPr>
    </w:p>
    <w:p>
      <w:pPr>
        <w:pStyle w:val="BodyText"/>
        <w:rPr>
          <w:rFonts w:ascii="Times New Roman"/>
          <w:sz w:val="20"/>
        </w:rPr>
      </w:pPr>
    </w:p>
    <w:p>
      <w:pPr>
        <w:pStyle w:val="BodyText"/>
        <w:spacing w:before="7"/>
        <w:rPr>
          <w:rFonts w:ascii="Times New Roman"/>
          <w:sz w:val="18"/>
        </w:rPr>
      </w:pPr>
    </w:p>
    <w:p>
      <w:pPr>
        <w:spacing w:before="0"/>
        <w:ind w:left="115" w:right="0" w:firstLine="0"/>
        <w:jc w:val="both"/>
        <w:rPr>
          <w:rFonts w:ascii="Times New Roman"/>
          <w:i/>
          <w:sz w:val="21"/>
        </w:rPr>
      </w:pPr>
      <w:r>
        <w:rPr>
          <w:rFonts w:ascii="Times New Roman"/>
          <w:i/>
          <w:sz w:val="21"/>
        </w:rPr>
        <w:t>Statistical analyses</w:t>
      </w:r>
    </w:p>
    <w:p>
      <w:pPr>
        <w:pStyle w:val="BodyText"/>
        <w:spacing w:before="6"/>
        <w:rPr>
          <w:rFonts w:ascii="Times New Roman"/>
          <w:i/>
          <w:sz w:val="20"/>
        </w:rPr>
      </w:pPr>
    </w:p>
    <w:p>
      <w:pPr>
        <w:spacing w:line="280" w:lineRule="auto" w:before="0"/>
        <w:ind w:left="101" w:right="114" w:firstLine="703"/>
        <w:jc w:val="both"/>
        <w:rPr>
          <w:rFonts w:ascii="Times New Roman"/>
          <w:sz w:val="21"/>
        </w:rPr>
      </w:pPr>
      <w:r>
        <w:rPr>
          <w:rFonts w:ascii="Times New Roman"/>
          <w:sz w:val="21"/>
        </w:rPr>
        <w:t>Data of the haematological parameters was analysed using the MIXED procedure of SAS (2002) with repeated measures (Littell et al., 1998). The structure of the variance-covariance error matrix employed was unstructured, based on Bayesian criteria observed with several alternative structures. Terms in the model were diet (i.e., control, SB, EZ, EZSB), days of sampling (i.e., 0, 15, 30, 45 and 60 of the experiment) and linear, quadratic and cubic effects were determined. The repeated term was sampling days, with lamb within diet the subject. Results reported in Tables and   in text are least square means of fixed effects with their corresponding standard  errors. Test  of  simple effects were used to partition (slice) interaction effects by diet in order to  test  effects  of period separately for each diet (SAS, 2002). Significant differences between treatment means and time were assessed using the Tukey procedure at P&lt;0.05 </w:t>
      </w:r>
      <w:r>
        <w:rPr>
          <w:rFonts w:ascii="Times New Roman"/>
          <w:spacing w:val="27"/>
          <w:sz w:val="21"/>
        </w:rPr>
        <w:t> </w:t>
      </w:r>
      <w:r>
        <w:rPr>
          <w:rFonts w:ascii="Times New Roman"/>
          <w:sz w:val="21"/>
        </w:rPr>
        <w:t>level.</w:t>
      </w:r>
    </w:p>
    <w:p>
      <w:pPr>
        <w:pStyle w:val="BodyText"/>
        <w:rPr>
          <w:rFonts w:ascii="Times New Roman"/>
          <w:sz w:val="20"/>
        </w:rPr>
      </w:pPr>
    </w:p>
    <w:p>
      <w:pPr>
        <w:pStyle w:val="BodyText"/>
        <w:spacing w:before="9"/>
        <w:rPr>
          <w:rFonts w:ascii="Times New Roman"/>
          <w:sz w:val="24"/>
        </w:rPr>
      </w:pPr>
    </w:p>
    <w:p>
      <w:pPr>
        <w:spacing w:before="1"/>
        <w:ind w:left="116" w:right="0" w:firstLine="0"/>
        <w:jc w:val="both"/>
        <w:rPr>
          <w:rFonts w:ascii="Times New Roman"/>
          <w:sz w:val="21"/>
        </w:rPr>
      </w:pPr>
      <w:r>
        <w:rPr>
          <w:rFonts w:ascii="Times New Roman"/>
          <w:sz w:val="21"/>
        </w:rPr>
        <w:t>RESULTS</w:t>
      </w:r>
    </w:p>
    <w:p>
      <w:pPr>
        <w:pStyle w:val="BodyText"/>
        <w:rPr>
          <w:rFonts w:ascii="Times New Roman"/>
          <w:sz w:val="20"/>
        </w:rPr>
      </w:pPr>
    </w:p>
    <w:p>
      <w:pPr>
        <w:pStyle w:val="BodyText"/>
        <w:spacing w:before="5"/>
        <w:rPr>
          <w:rFonts w:ascii="Times New Roman"/>
          <w:sz w:val="28"/>
        </w:rPr>
      </w:pPr>
    </w:p>
    <w:p>
      <w:pPr>
        <w:spacing w:line="280" w:lineRule="auto" w:before="0"/>
        <w:ind w:left="101" w:right="114" w:firstLine="703"/>
        <w:jc w:val="both"/>
        <w:rPr>
          <w:rFonts w:ascii="Times New Roman"/>
          <w:sz w:val="21"/>
        </w:rPr>
      </w:pPr>
      <w:r>
        <w:rPr>
          <w:rFonts w:ascii="Times New Roman"/>
          <w:sz w:val="21"/>
        </w:rPr>
        <w:t>The treatments of EZ, SB or EZSB did not affect any of the measured blood parameters while the day of sampling had a significant impact on some parameters (Table 2).  However,  red blood cells were increased by 20% (P=0.001; linear effect) on day 60, while haemoglobin was increased (P=0.01; linear effect) on days 0, </w:t>
      </w:r>
      <w:r>
        <w:rPr>
          <w:rFonts w:ascii="Times New Roman"/>
          <w:spacing w:val="-3"/>
          <w:sz w:val="21"/>
        </w:rPr>
        <w:t>30 </w:t>
      </w:r>
      <w:r>
        <w:rPr>
          <w:rFonts w:ascii="Times New Roman"/>
          <w:sz w:val="21"/>
        </w:rPr>
        <w:t>and 45 compared with the </w:t>
      </w:r>
      <w:r>
        <w:rPr>
          <w:rFonts w:ascii="Times New Roman"/>
          <w:spacing w:val="-3"/>
          <w:sz w:val="21"/>
        </w:rPr>
        <w:t>days </w:t>
      </w:r>
      <w:r>
        <w:rPr>
          <w:rFonts w:ascii="Times New Roman"/>
          <w:sz w:val="21"/>
        </w:rPr>
        <w:t>15 and 60 of the experiment. The values of MCV were decreased (P=0.015; linear effect) on day  60,  while  monocytes were increased at days 30 and 45 (P=0.004; quadratic effect) compared with others     days. Haematocritwasincreased (P=0.02; quadraticeffect) onday 30 and </w:t>
      </w:r>
      <w:r>
        <w:rPr>
          <w:rFonts w:ascii="Times New Roman"/>
          <w:spacing w:val="41"/>
          <w:sz w:val="21"/>
        </w:rPr>
        <w:t> </w:t>
      </w:r>
      <w:r>
        <w:rPr>
          <w:rFonts w:ascii="Times New Roman"/>
          <w:sz w:val="21"/>
        </w:rPr>
        <w:t>45.</w:t>
      </w:r>
    </w:p>
    <w:p>
      <w:pPr>
        <w:spacing w:after="0" w:line="280" w:lineRule="auto"/>
        <w:jc w:val="both"/>
        <w:rPr>
          <w:rFonts w:ascii="Times New Roman"/>
          <w:sz w:val="21"/>
        </w:rPr>
        <w:sectPr>
          <w:pgSz w:w="11900" w:h="16840"/>
          <w:pgMar w:header="0" w:footer="1616" w:top="1600" w:bottom="1860" w:left="1540" w:right="1560"/>
        </w:sectPr>
      </w:pPr>
    </w:p>
    <w:p>
      <w:pPr>
        <w:pStyle w:val="BodyText"/>
        <w:spacing w:before="4"/>
        <w:rPr>
          <w:rFonts w:ascii="Times New Roman"/>
          <w:sz w:val="17"/>
        </w:rPr>
      </w:pPr>
      <w:r>
        <w:rPr/>
        <w:pict>
          <v:group style="position:absolute;margin-left:180.479996pt;margin-top:111.599602pt;width:15.4pt;height:19pt;mso-position-horizontal-relative:page;mso-position-vertical-relative:page;z-index:1504" coordorigin="3610,2232" coordsize="308,380">
            <v:shape style="position:absolute;left:3610;top:2242;width:120;height:355" type="#_x0000_t75" stroked="false">
              <v:imagedata r:id="rId20" o:title=""/>
            </v:shape>
            <v:shape style="position:absolute;left:3797;top:2232;width:120;height:379" type="#_x0000_t75" stroked="false">
              <v:imagedata r:id="rId21" o:title=""/>
            </v:shape>
            <w10:wrap type="none"/>
          </v:group>
        </w:pict>
      </w:r>
      <w:r>
        <w:rPr/>
        <w:drawing>
          <wp:anchor distT="0" distB="0" distL="0" distR="0" allowOverlap="1" layoutInCell="1" locked="0" behindDoc="0" simplePos="0" relativeHeight="1528">
            <wp:simplePos x="0" y="0"/>
            <wp:positionH relativeFrom="page">
              <wp:posOffset>1755648</wp:posOffset>
            </wp:positionH>
            <wp:positionV relativeFrom="page">
              <wp:posOffset>1472178</wp:posOffset>
            </wp:positionV>
            <wp:extent cx="76200" cy="240792"/>
            <wp:effectExtent l="0" t="0" r="0" b="0"/>
            <wp:wrapNone/>
            <wp:docPr id="7" name="image6.png" descr=""/>
            <wp:cNvGraphicFramePr>
              <a:graphicFrameLocks noChangeAspect="1"/>
            </wp:cNvGraphicFramePr>
            <a:graphic>
              <a:graphicData uri="http://schemas.openxmlformats.org/drawingml/2006/picture">
                <pic:pic>
                  <pic:nvPicPr>
                    <pic:cNvPr id="8" name="image6.png"/>
                    <pic:cNvPicPr/>
                  </pic:nvPicPr>
                  <pic:blipFill>
                    <a:blip r:embed="rId22" cstate="print"/>
                    <a:stretch>
                      <a:fillRect/>
                    </a:stretch>
                  </pic:blipFill>
                  <pic:spPr>
                    <a:xfrm>
                      <a:off x="0" y="0"/>
                      <a:ext cx="76200" cy="240792"/>
                    </a:xfrm>
                    <a:prstGeom prst="rect">
                      <a:avLst/>
                    </a:prstGeom>
                  </pic:spPr>
                </pic:pic>
              </a:graphicData>
            </a:graphic>
          </wp:anchor>
        </w:drawing>
      </w:r>
      <w:r>
        <w:rPr/>
        <w:drawing>
          <wp:anchor distT="0" distB="0" distL="0" distR="0" allowOverlap="1" layoutInCell="1" locked="0" behindDoc="0" simplePos="0" relativeHeight="1552">
            <wp:simplePos x="0" y="0"/>
            <wp:positionH relativeFrom="page">
              <wp:posOffset>1877567</wp:posOffset>
            </wp:positionH>
            <wp:positionV relativeFrom="page">
              <wp:posOffset>1472178</wp:posOffset>
            </wp:positionV>
            <wp:extent cx="73152" cy="240792"/>
            <wp:effectExtent l="0" t="0" r="0" b="0"/>
            <wp:wrapNone/>
            <wp:docPr id="9" name="image7.png" descr=""/>
            <wp:cNvGraphicFramePr>
              <a:graphicFrameLocks noChangeAspect="1"/>
            </wp:cNvGraphicFramePr>
            <a:graphic>
              <a:graphicData uri="http://schemas.openxmlformats.org/drawingml/2006/picture">
                <pic:pic>
                  <pic:nvPicPr>
                    <pic:cNvPr id="10" name="image7.png"/>
                    <pic:cNvPicPr/>
                  </pic:nvPicPr>
                  <pic:blipFill>
                    <a:blip r:embed="rId23" cstate="print"/>
                    <a:stretch>
                      <a:fillRect/>
                    </a:stretch>
                  </pic:blipFill>
                  <pic:spPr>
                    <a:xfrm>
                      <a:off x="0" y="0"/>
                      <a:ext cx="73152" cy="240792"/>
                    </a:xfrm>
                    <a:prstGeom prst="rect">
                      <a:avLst/>
                    </a:prstGeom>
                  </pic:spPr>
                </pic:pic>
              </a:graphicData>
            </a:graphic>
          </wp:anchor>
        </w:drawing>
      </w:r>
      <w:r>
        <w:rPr/>
        <w:drawing>
          <wp:anchor distT="0" distB="0" distL="0" distR="0" allowOverlap="1" layoutInCell="1" locked="0" behindDoc="0" simplePos="0" relativeHeight="1576">
            <wp:simplePos x="0" y="0"/>
            <wp:positionH relativeFrom="page">
              <wp:posOffset>1996439</wp:posOffset>
            </wp:positionH>
            <wp:positionV relativeFrom="page">
              <wp:posOffset>1472178</wp:posOffset>
            </wp:positionV>
            <wp:extent cx="73152" cy="240792"/>
            <wp:effectExtent l="0" t="0" r="0" b="0"/>
            <wp:wrapNone/>
            <wp:docPr id="11" name="image8.png" descr=""/>
            <wp:cNvGraphicFramePr>
              <a:graphicFrameLocks noChangeAspect="1"/>
            </wp:cNvGraphicFramePr>
            <a:graphic>
              <a:graphicData uri="http://schemas.openxmlformats.org/drawingml/2006/picture">
                <pic:pic>
                  <pic:nvPicPr>
                    <pic:cNvPr id="12" name="image8.png"/>
                    <pic:cNvPicPr/>
                  </pic:nvPicPr>
                  <pic:blipFill>
                    <a:blip r:embed="rId24" cstate="print"/>
                    <a:stretch>
                      <a:fillRect/>
                    </a:stretch>
                  </pic:blipFill>
                  <pic:spPr>
                    <a:xfrm>
                      <a:off x="0" y="0"/>
                      <a:ext cx="73152" cy="240792"/>
                    </a:xfrm>
                    <a:prstGeom prst="rect">
                      <a:avLst/>
                    </a:prstGeom>
                  </pic:spPr>
                </pic:pic>
              </a:graphicData>
            </a:graphic>
          </wp:anchor>
        </w:drawing>
      </w:r>
      <w:r>
        <w:rPr/>
        <w:drawing>
          <wp:anchor distT="0" distB="0" distL="0" distR="0" allowOverlap="1" layoutInCell="1" locked="0" behindDoc="0" simplePos="0" relativeHeight="1600">
            <wp:simplePos x="0" y="0"/>
            <wp:positionH relativeFrom="page">
              <wp:posOffset>2115311</wp:posOffset>
            </wp:positionH>
            <wp:positionV relativeFrom="page">
              <wp:posOffset>1469130</wp:posOffset>
            </wp:positionV>
            <wp:extent cx="76200" cy="243840"/>
            <wp:effectExtent l="0" t="0" r="0" b="0"/>
            <wp:wrapNone/>
            <wp:docPr id="13" name="image9.png" descr=""/>
            <wp:cNvGraphicFramePr>
              <a:graphicFrameLocks noChangeAspect="1"/>
            </wp:cNvGraphicFramePr>
            <a:graphic>
              <a:graphicData uri="http://schemas.openxmlformats.org/drawingml/2006/picture">
                <pic:pic>
                  <pic:nvPicPr>
                    <pic:cNvPr id="14" name="image9.png"/>
                    <pic:cNvPicPr/>
                  </pic:nvPicPr>
                  <pic:blipFill>
                    <a:blip r:embed="rId25" cstate="print"/>
                    <a:stretch>
                      <a:fillRect/>
                    </a:stretch>
                  </pic:blipFill>
                  <pic:spPr>
                    <a:xfrm>
                      <a:off x="0" y="0"/>
                      <a:ext cx="76200" cy="243840"/>
                    </a:xfrm>
                    <a:prstGeom prst="rect">
                      <a:avLst/>
                    </a:prstGeom>
                  </pic:spPr>
                </pic:pic>
              </a:graphicData>
            </a:graphic>
          </wp:anchor>
        </w:drawing>
      </w:r>
      <w:r>
        <w:rPr/>
        <w:drawing>
          <wp:anchor distT="0" distB="0" distL="0" distR="0" allowOverlap="1" layoutInCell="1" locked="0" behindDoc="0" simplePos="0" relativeHeight="1624">
            <wp:simplePos x="0" y="0"/>
            <wp:positionH relativeFrom="page">
              <wp:posOffset>1755648</wp:posOffset>
            </wp:positionH>
            <wp:positionV relativeFrom="page">
              <wp:posOffset>1996434</wp:posOffset>
            </wp:positionV>
            <wp:extent cx="76200" cy="170688"/>
            <wp:effectExtent l="0" t="0" r="0" b="0"/>
            <wp:wrapNone/>
            <wp:docPr id="15" name="image10.png" descr=""/>
            <wp:cNvGraphicFramePr>
              <a:graphicFrameLocks noChangeAspect="1"/>
            </wp:cNvGraphicFramePr>
            <a:graphic>
              <a:graphicData uri="http://schemas.openxmlformats.org/drawingml/2006/picture">
                <pic:pic>
                  <pic:nvPicPr>
                    <pic:cNvPr id="16" name="image10.png"/>
                    <pic:cNvPicPr/>
                  </pic:nvPicPr>
                  <pic:blipFill>
                    <a:blip r:embed="rId26" cstate="print"/>
                    <a:stretch>
                      <a:fillRect/>
                    </a:stretch>
                  </pic:blipFill>
                  <pic:spPr>
                    <a:xfrm>
                      <a:off x="0" y="0"/>
                      <a:ext cx="76200" cy="170688"/>
                    </a:xfrm>
                    <a:prstGeom prst="rect">
                      <a:avLst/>
                    </a:prstGeom>
                  </pic:spPr>
                </pic:pic>
              </a:graphicData>
            </a:graphic>
          </wp:anchor>
        </w:drawing>
      </w:r>
      <w:r>
        <w:rPr/>
        <w:drawing>
          <wp:anchor distT="0" distB="0" distL="0" distR="0" allowOverlap="1" layoutInCell="1" locked="0" behindDoc="0" simplePos="0" relativeHeight="1648">
            <wp:simplePos x="0" y="0"/>
            <wp:positionH relativeFrom="page">
              <wp:posOffset>1877567</wp:posOffset>
            </wp:positionH>
            <wp:positionV relativeFrom="page">
              <wp:posOffset>1987290</wp:posOffset>
            </wp:positionV>
            <wp:extent cx="73151" cy="182879"/>
            <wp:effectExtent l="0" t="0" r="0" b="0"/>
            <wp:wrapNone/>
            <wp:docPr id="17" name="image11.png" descr=""/>
            <wp:cNvGraphicFramePr>
              <a:graphicFrameLocks noChangeAspect="1"/>
            </wp:cNvGraphicFramePr>
            <a:graphic>
              <a:graphicData uri="http://schemas.openxmlformats.org/drawingml/2006/picture">
                <pic:pic>
                  <pic:nvPicPr>
                    <pic:cNvPr id="18" name="image11.png"/>
                    <pic:cNvPicPr/>
                  </pic:nvPicPr>
                  <pic:blipFill>
                    <a:blip r:embed="rId27" cstate="print"/>
                    <a:stretch>
                      <a:fillRect/>
                    </a:stretch>
                  </pic:blipFill>
                  <pic:spPr>
                    <a:xfrm>
                      <a:off x="0" y="0"/>
                      <a:ext cx="73151" cy="182879"/>
                    </a:xfrm>
                    <a:prstGeom prst="rect">
                      <a:avLst/>
                    </a:prstGeom>
                  </pic:spPr>
                </pic:pic>
              </a:graphicData>
            </a:graphic>
          </wp:anchor>
        </w:drawing>
      </w:r>
      <w:r>
        <w:rPr/>
        <w:drawing>
          <wp:anchor distT="0" distB="0" distL="0" distR="0" allowOverlap="1" layoutInCell="1" locked="0" behindDoc="0" simplePos="0" relativeHeight="1672">
            <wp:simplePos x="0" y="0"/>
            <wp:positionH relativeFrom="page">
              <wp:posOffset>1996439</wp:posOffset>
            </wp:positionH>
            <wp:positionV relativeFrom="page">
              <wp:posOffset>1984242</wp:posOffset>
            </wp:positionV>
            <wp:extent cx="73152" cy="185927"/>
            <wp:effectExtent l="0" t="0" r="0" b="0"/>
            <wp:wrapNone/>
            <wp:docPr id="19" name="image12.png" descr=""/>
            <wp:cNvGraphicFramePr>
              <a:graphicFrameLocks noChangeAspect="1"/>
            </wp:cNvGraphicFramePr>
            <a:graphic>
              <a:graphicData uri="http://schemas.openxmlformats.org/drawingml/2006/picture">
                <pic:pic>
                  <pic:nvPicPr>
                    <pic:cNvPr id="20" name="image12.png"/>
                    <pic:cNvPicPr/>
                  </pic:nvPicPr>
                  <pic:blipFill>
                    <a:blip r:embed="rId28" cstate="print"/>
                    <a:stretch>
                      <a:fillRect/>
                    </a:stretch>
                  </pic:blipFill>
                  <pic:spPr>
                    <a:xfrm>
                      <a:off x="0" y="0"/>
                      <a:ext cx="73152" cy="185927"/>
                    </a:xfrm>
                    <a:prstGeom prst="rect">
                      <a:avLst/>
                    </a:prstGeom>
                  </pic:spPr>
                </pic:pic>
              </a:graphicData>
            </a:graphic>
          </wp:anchor>
        </w:drawing>
      </w:r>
      <w:r>
        <w:rPr/>
        <w:drawing>
          <wp:anchor distT="0" distB="0" distL="0" distR="0" allowOverlap="1" layoutInCell="1" locked="0" behindDoc="0" simplePos="0" relativeHeight="1696">
            <wp:simplePos x="0" y="0"/>
            <wp:positionH relativeFrom="page">
              <wp:posOffset>2115311</wp:posOffset>
            </wp:positionH>
            <wp:positionV relativeFrom="page">
              <wp:posOffset>1987290</wp:posOffset>
            </wp:positionV>
            <wp:extent cx="76200" cy="182879"/>
            <wp:effectExtent l="0" t="0" r="0" b="0"/>
            <wp:wrapNone/>
            <wp:docPr id="21" name="image13.png" descr=""/>
            <wp:cNvGraphicFramePr>
              <a:graphicFrameLocks noChangeAspect="1"/>
            </wp:cNvGraphicFramePr>
            <a:graphic>
              <a:graphicData uri="http://schemas.openxmlformats.org/drawingml/2006/picture">
                <pic:pic>
                  <pic:nvPicPr>
                    <pic:cNvPr id="22" name="image13.png"/>
                    <pic:cNvPicPr/>
                  </pic:nvPicPr>
                  <pic:blipFill>
                    <a:blip r:embed="rId29" cstate="print"/>
                    <a:stretch>
                      <a:fillRect/>
                    </a:stretch>
                  </pic:blipFill>
                  <pic:spPr>
                    <a:xfrm>
                      <a:off x="0" y="0"/>
                      <a:ext cx="76200" cy="182879"/>
                    </a:xfrm>
                    <a:prstGeom prst="rect">
                      <a:avLst/>
                    </a:prstGeom>
                  </pic:spPr>
                </pic:pic>
              </a:graphicData>
            </a:graphic>
          </wp:anchor>
        </w:drawing>
      </w:r>
      <w:r>
        <w:rPr/>
        <w:pict>
          <v:group style="position:absolute;margin-left:180.479996pt;margin-top:151.919601pt;width:15.4pt;height:19pt;mso-position-horizontal-relative:page;mso-position-vertical-relative:page;z-index:1720" coordorigin="3610,3038" coordsize="308,380">
            <v:shape style="position:absolute;left:3610;top:3038;width:120;height:379" type="#_x0000_t75" stroked="false">
              <v:imagedata r:id="rId30" o:title=""/>
            </v:shape>
            <v:shape style="position:absolute;left:3797;top:3038;width:120;height:379" type="#_x0000_t75" stroked="false">
              <v:imagedata r:id="rId31" o:title=""/>
            </v:shape>
            <w10:wrap type="none"/>
          </v:group>
        </w:pict>
      </w:r>
      <w:r>
        <w:rPr/>
        <w:drawing>
          <wp:anchor distT="0" distB="0" distL="0" distR="0" allowOverlap="1" layoutInCell="1" locked="0" behindDoc="0" simplePos="0" relativeHeight="1744">
            <wp:simplePos x="0" y="0"/>
            <wp:positionH relativeFrom="page">
              <wp:posOffset>1755648</wp:posOffset>
            </wp:positionH>
            <wp:positionV relativeFrom="page">
              <wp:posOffset>2447538</wp:posOffset>
            </wp:positionV>
            <wp:extent cx="76200" cy="240792"/>
            <wp:effectExtent l="0" t="0" r="0" b="0"/>
            <wp:wrapNone/>
            <wp:docPr id="23" name="image16.png" descr=""/>
            <wp:cNvGraphicFramePr>
              <a:graphicFrameLocks noChangeAspect="1"/>
            </wp:cNvGraphicFramePr>
            <a:graphic>
              <a:graphicData uri="http://schemas.openxmlformats.org/drawingml/2006/picture">
                <pic:pic>
                  <pic:nvPicPr>
                    <pic:cNvPr id="24" name="image16.png"/>
                    <pic:cNvPicPr/>
                  </pic:nvPicPr>
                  <pic:blipFill>
                    <a:blip r:embed="rId32" cstate="print"/>
                    <a:stretch>
                      <a:fillRect/>
                    </a:stretch>
                  </pic:blipFill>
                  <pic:spPr>
                    <a:xfrm>
                      <a:off x="0" y="0"/>
                      <a:ext cx="76200" cy="240792"/>
                    </a:xfrm>
                    <a:prstGeom prst="rect">
                      <a:avLst/>
                    </a:prstGeom>
                  </pic:spPr>
                </pic:pic>
              </a:graphicData>
            </a:graphic>
          </wp:anchor>
        </w:drawing>
      </w:r>
      <w:r>
        <w:rPr/>
        <w:drawing>
          <wp:anchor distT="0" distB="0" distL="0" distR="0" allowOverlap="1" layoutInCell="1" locked="0" behindDoc="0" simplePos="0" relativeHeight="1768">
            <wp:simplePos x="0" y="0"/>
            <wp:positionH relativeFrom="page">
              <wp:posOffset>1877567</wp:posOffset>
            </wp:positionH>
            <wp:positionV relativeFrom="page">
              <wp:posOffset>2447538</wp:posOffset>
            </wp:positionV>
            <wp:extent cx="73151" cy="240792"/>
            <wp:effectExtent l="0" t="0" r="0" b="0"/>
            <wp:wrapNone/>
            <wp:docPr id="25" name="image17.png" descr=""/>
            <wp:cNvGraphicFramePr>
              <a:graphicFrameLocks noChangeAspect="1"/>
            </wp:cNvGraphicFramePr>
            <a:graphic>
              <a:graphicData uri="http://schemas.openxmlformats.org/drawingml/2006/picture">
                <pic:pic>
                  <pic:nvPicPr>
                    <pic:cNvPr id="26" name="image17.png"/>
                    <pic:cNvPicPr/>
                  </pic:nvPicPr>
                  <pic:blipFill>
                    <a:blip r:embed="rId33" cstate="print"/>
                    <a:stretch>
                      <a:fillRect/>
                    </a:stretch>
                  </pic:blipFill>
                  <pic:spPr>
                    <a:xfrm>
                      <a:off x="0" y="0"/>
                      <a:ext cx="73151" cy="240792"/>
                    </a:xfrm>
                    <a:prstGeom prst="rect">
                      <a:avLst/>
                    </a:prstGeom>
                  </pic:spPr>
                </pic:pic>
              </a:graphicData>
            </a:graphic>
          </wp:anchor>
        </w:drawing>
      </w:r>
      <w:r>
        <w:rPr/>
        <w:drawing>
          <wp:anchor distT="0" distB="0" distL="0" distR="0" allowOverlap="1" layoutInCell="1" locked="0" behindDoc="0" simplePos="0" relativeHeight="1792">
            <wp:simplePos x="0" y="0"/>
            <wp:positionH relativeFrom="page">
              <wp:posOffset>1996439</wp:posOffset>
            </wp:positionH>
            <wp:positionV relativeFrom="page">
              <wp:posOffset>2450586</wp:posOffset>
            </wp:positionV>
            <wp:extent cx="73152" cy="237744"/>
            <wp:effectExtent l="0" t="0" r="0" b="0"/>
            <wp:wrapNone/>
            <wp:docPr id="27" name="image18.png" descr=""/>
            <wp:cNvGraphicFramePr>
              <a:graphicFrameLocks noChangeAspect="1"/>
            </wp:cNvGraphicFramePr>
            <a:graphic>
              <a:graphicData uri="http://schemas.openxmlformats.org/drawingml/2006/picture">
                <pic:pic>
                  <pic:nvPicPr>
                    <pic:cNvPr id="28" name="image18.png"/>
                    <pic:cNvPicPr/>
                  </pic:nvPicPr>
                  <pic:blipFill>
                    <a:blip r:embed="rId34" cstate="print"/>
                    <a:stretch>
                      <a:fillRect/>
                    </a:stretch>
                  </pic:blipFill>
                  <pic:spPr>
                    <a:xfrm>
                      <a:off x="0" y="0"/>
                      <a:ext cx="73152" cy="237744"/>
                    </a:xfrm>
                    <a:prstGeom prst="rect">
                      <a:avLst/>
                    </a:prstGeom>
                  </pic:spPr>
                </pic:pic>
              </a:graphicData>
            </a:graphic>
          </wp:anchor>
        </w:drawing>
      </w:r>
      <w:r>
        <w:rPr/>
        <w:drawing>
          <wp:anchor distT="0" distB="0" distL="0" distR="0" allowOverlap="1" layoutInCell="1" locked="0" behindDoc="0" simplePos="0" relativeHeight="1816">
            <wp:simplePos x="0" y="0"/>
            <wp:positionH relativeFrom="page">
              <wp:posOffset>2115311</wp:posOffset>
            </wp:positionH>
            <wp:positionV relativeFrom="page">
              <wp:posOffset>2447538</wp:posOffset>
            </wp:positionV>
            <wp:extent cx="76200" cy="240792"/>
            <wp:effectExtent l="0" t="0" r="0" b="0"/>
            <wp:wrapNone/>
            <wp:docPr id="29" name="image19.png" descr=""/>
            <wp:cNvGraphicFramePr>
              <a:graphicFrameLocks noChangeAspect="1"/>
            </wp:cNvGraphicFramePr>
            <a:graphic>
              <a:graphicData uri="http://schemas.openxmlformats.org/drawingml/2006/picture">
                <pic:pic>
                  <pic:nvPicPr>
                    <pic:cNvPr id="30" name="image19.png"/>
                    <pic:cNvPicPr/>
                  </pic:nvPicPr>
                  <pic:blipFill>
                    <a:blip r:embed="rId35" cstate="print"/>
                    <a:stretch>
                      <a:fillRect/>
                    </a:stretch>
                  </pic:blipFill>
                  <pic:spPr>
                    <a:xfrm>
                      <a:off x="0" y="0"/>
                      <a:ext cx="76200" cy="240792"/>
                    </a:xfrm>
                    <a:prstGeom prst="rect">
                      <a:avLst/>
                    </a:prstGeom>
                  </pic:spPr>
                </pic:pic>
              </a:graphicData>
            </a:graphic>
          </wp:anchor>
        </w:drawing>
      </w:r>
      <w:r>
        <w:rPr/>
        <w:pict>
          <v:group style="position:absolute;margin-left:180.479996pt;margin-top:192.719604pt;width:15.4pt;height:19pt;mso-position-horizontal-relative:page;mso-position-vertical-relative:page;z-index:1840" coordorigin="3610,3854" coordsize="308,380">
            <v:shape style="position:absolute;left:3610;top:3854;width:120;height:379" type="#_x0000_t75" stroked="false">
              <v:imagedata r:id="rId36" o:title=""/>
            </v:shape>
            <v:shape style="position:absolute;left:3797;top:3869;width:120;height:365" type="#_x0000_t75" stroked="false">
              <v:imagedata r:id="rId37" o:title=""/>
            </v:shape>
            <w10:wrap type="none"/>
          </v:group>
        </w:pict>
      </w:r>
      <w:r>
        <w:rPr/>
        <w:drawing>
          <wp:anchor distT="0" distB="0" distL="0" distR="0" allowOverlap="1" layoutInCell="1" locked="0" behindDoc="0" simplePos="0" relativeHeight="1864">
            <wp:simplePos x="0" y="0"/>
            <wp:positionH relativeFrom="page">
              <wp:posOffset>1755648</wp:posOffset>
            </wp:positionH>
            <wp:positionV relativeFrom="page">
              <wp:posOffset>2938266</wp:posOffset>
            </wp:positionV>
            <wp:extent cx="76200" cy="240792"/>
            <wp:effectExtent l="0" t="0" r="0" b="0"/>
            <wp:wrapNone/>
            <wp:docPr id="31" name="image22.png" descr=""/>
            <wp:cNvGraphicFramePr>
              <a:graphicFrameLocks noChangeAspect="1"/>
            </wp:cNvGraphicFramePr>
            <a:graphic>
              <a:graphicData uri="http://schemas.openxmlformats.org/drawingml/2006/picture">
                <pic:pic>
                  <pic:nvPicPr>
                    <pic:cNvPr id="32" name="image22.png"/>
                    <pic:cNvPicPr/>
                  </pic:nvPicPr>
                  <pic:blipFill>
                    <a:blip r:embed="rId38" cstate="print"/>
                    <a:stretch>
                      <a:fillRect/>
                    </a:stretch>
                  </pic:blipFill>
                  <pic:spPr>
                    <a:xfrm>
                      <a:off x="0" y="0"/>
                      <a:ext cx="76200" cy="240792"/>
                    </a:xfrm>
                    <a:prstGeom prst="rect">
                      <a:avLst/>
                    </a:prstGeom>
                  </pic:spPr>
                </pic:pic>
              </a:graphicData>
            </a:graphic>
          </wp:anchor>
        </w:drawing>
      </w:r>
      <w:r>
        <w:rPr/>
        <w:drawing>
          <wp:anchor distT="0" distB="0" distL="0" distR="0" allowOverlap="1" layoutInCell="1" locked="0" behindDoc="0" simplePos="0" relativeHeight="1888">
            <wp:simplePos x="0" y="0"/>
            <wp:positionH relativeFrom="page">
              <wp:posOffset>1877567</wp:posOffset>
            </wp:positionH>
            <wp:positionV relativeFrom="page">
              <wp:posOffset>2938266</wp:posOffset>
            </wp:positionV>
            <wp:extent cx="73151" cy="240792"/>
            <wp:effectExtent l="0" t="0" r="0" b="0"/>
            <wp:wrapNone/>
            <wp:docPr id="33" name="image23.png" descr=""/>
            <wp:cNvGraphicFramePr>
              <a:graphicFrameLocks noChangeAspect="1"/>
            </wp:cNvGraphicFramePr>
            <a:graphic>
              <a:graphicData uri="http://schemas.openxmlformats.org/drawingml/2006/picture">
                <pic:pic>
                  <pic:nvPicPr>
                    <pic:cNvPr id="34" name="image23.png"/>
                    <pic:cNvPicPr/>
                  </pic:nvPicPr>
                  <pic:blipFill>
                    <a:blip r:embed="rId39" cstate="print"/>
                    <a:stretch>
                      <a:fillRect/>
                    </a:stretch>
                  </pic:blipFill>
                  <pic:spPr>
                    <a:xfrm>
                      <a:off x="0" y="0"/>
                      <a:ext cx="73151" cy="240792"/>
                    </a:xfrm>
                    <a:prstGeom prst="rect">
                      <a:avLst/>
                    </a:prstGeom>
                  </pic:spPr>
                </pic:pic>
              </a:graphicData>
            </a:graphic>
          </wp:anchor>
        </w:drawing>
      </w:r>
      <w:r>
        <w:rPr/>
        <w:drawing>
          <wp:anchor distT="0" distB="0" distL="0" distR="0" allowOverlap="1" layoutInCell="1" locked="0" behindDoc="0" simplePos="0" relativeHeight="1912">
            <wp:simplePos x="0" y="0"/>
            <wp:positionH relativeFrom="page">
              <wp:posOffset>1996439</wp:posOffset>
            </wp:positionH>
            <wp:positionV relativeFrom="page">
              <wp:posOffset>2938266</wp:posOffset>
            </wp:positionV>
            <wp:extent cx="73152" cy="240792"/>
            <wp:effectExtent l="0" t="0" r="0" b="0"/>
            <wp:wrapNone/>
            <wp:docPr id="35" name="image24.png" descr=""/>
            <wp:cNvGraphicFramePr>
              <a:graphicFrameLocks noChangeAspect="1"/>
            </wp:cNvGraphicFramePr>
            <a:graphic>
              <a:graphicData uri="http://schemas.openxmlformats.org/drawingml/2006/picture">
                <pic:pic>
                  <pic:nvPicPr>
                    <pic:cNvPr id="36" name="image24.png"/>
                    <pic:cNvPicPr/>
                  </pic:nvPicPr>
                  <pic:blipFill>
                    <a:blip r:embed="rId40" cstate="print"/>
                    <a:stretch>
                      <a:fillRect/>
                    </a:stretch>
                  </pic:blipFill>
                  <pic:spPr>
                    <a:xfrm>
                      <a:off x="0" y="0"/>
                      <a:ext cx="73152" cy="240792"/>
                    </a:xfrm>
                    <a:prstGeom prst="rect">
                      <a:avLst/>
                    </a:prstGeom>
                  </pic:spPr>
                </pic:pic>
              </a:graphicData>
            </a:graphic>
          </wp:anchor>
        </w:drawing>
      </w:r>
      <w:r>
        <w:rPr/>
        <w:drawing>
          <wp:anchor distT="0" distB="0" distL="0" distR="0" allowOverlap="1" layoutInCell="1" locked="0" behindDoc="0" simplePos="0" relativeHeight="1936">
            <wp:simplePos x="0" y="0"/>
            <wp:positionH relativeFrom="page">
              <wp:posOffset>2115311</wp:posOffset>
            </wp:positionH>
            <wp:positionV relativeFrom="page">
              <wp:posOffset>2938266</wp:posOffset>
            </wp:positionV>
            <wp:extent cx="76200" cy="240792"/>
            <wp:effectExtent l="0" t="0" r="0" b="0"/>
            <wp:wrapNone/>
            <wp:docPr id="37" name="image25.png" descr=""/>
            <wp:cNvGraphicFramePr>
              <a:graphicFrameLocks noChangeAspect="1"/>
            </wp:cNvGraphicFramePr>
            <a:graphic>
              <a:graphicData uri="http://schemas.openxmlformats.org/drawingml/2006/picture">
                <pic:pic>
                  <pic:nvPicPr>
                    <pic:cNvPr id="38" name="image25.png"/>
                    <pic:cNvPicPr/>
                  </pic:nvPicPr>
                  <pic:blipFill>
                    <a:blip r:embed="rId41" cstate="print"/>
                    <a:stretch>
                      <a:fillRect/>
                    </a:stretch>
                  </pic:blipFill>
                  <pic:spPr>
                    <a:xfrm>
                      <a:off x="0" y="0"/>
                      <a:ext cx="76200" cy="240792"/>
                    </a:xfrm>
                    <a:prstGeom prst="rect">
                      <a:avLst/>
                    </a:prstGeom>
                  </pic:spPr>
                </pic:pic>
              </a:graphicData>
            </a:graphic>
          </wp:anchor>
        </w:drawing>
      </w:r>
      <w:r>
        <w:rPr/>
        <w:pict>
          <v:group style="position:absolute;margin-left:180.479996pt;margin-top:227.039597pt;width:15.4pt;height:23.3pt;mso-position-horizontal-relative:page;mso-position-vertical-relative:page;z-index:1960" coordorigin="3610,4541" coordsize="308,466">
            <v:shape style="position:absolute;left:3610;top:4541;width:120;height:466" type="#_x0000_t75" stroked="false">
              <v:imagedata r:id="rId42" o:title=""/>
            </v:shape>
            <v:shape style="position:absolute;left:3797;top:4627;width:120;height:379" type="#_x0000_t75" stroked="false">
              <v:imagedata r:id="rId43" o:title=""/>
            </v:shape>
            <w10:wrap type="none"/>
          </v:group>
        </w:pict>
      </w:r>
      <w:r>
        <w:rPr/>
        <w:drawing>
          <wp:anchor distT="0" distB="0" distL="0" distR="0" allowOverlap="1" layoutInCell="1" locked="0" behindDoc="0" simplePos="0" relativeHeight="1984">
            <wp:simplePos x="0" y="0"/>
            <wp:positionH relativeFrom="page">
              <wp:posOffset>1755648</wp:posOffset>
            </wp:positionH>
            <wp:positionV relativeFrom="page">
              <wp:posOffset>3456427</wp:posOffset>
            </wp:positionV>
            <wp:extent cx="76199" cy="182879"/>
            <wp:effectExtent l="0" t="0" r="0" b="0"/>
            <wp:wrapNone/>
            <wp:docPr id="39" name="image28.png" descr=""/>
            <wp:cNvGraphicFramePr>
              <a:graphicFrameLocks noChangeAspect="1"/>
            </wp:cNvGraphicFramePr>
            <a:graphic>
              <a:graphicData uri="http://schemas.openxmlformats.org/drawingml/2006/picture">
                <pic:pic>
                  <pic:nvPicPr>
                    <pic:cNvPr id="40" name="image28.png"/>
                    <pic:cNvPicPr/>
                  </pic:nvPicPr>
                  <pic:blipFill>
                    <a:blip r:embed="rId44" cstate="print"/>
                    <a:stretch>
                      <a:fillRect/>
                    </a:stretch>
                  </pic:blipFill>
                  <pic:spPr>
                    <a:xfrm>
                      <a:off x="0" y="0"/>
                      <a:ext cx="76199" cy="182879"/>
                    </a:xfrm>
                    <a:prstGeom prst="rect">
                      <a:avLst/>
                    </a:prstGeom>
                  </pic:spPr>
                </pic:pic>
              </a:graphicData>
            </a:graphic>
          </wp:anchor>
        </w:drawing>
      </w:r>
      <w:r>
        <w:rPr/>
        <w:drawing>
          <wp:anchor distT="0" distB="0" distL="0" distR="0" allowOverlap="1" layoutInCell="1" locked="0" behindDoc="0" simplePos="0" relativeHeight="2008">
            <wp:simplePos x="0" y="0"/>
            <wp:positionH relativeFrom="page">
              <wp:posOffset>1996439</wp:posOffset>
            </wp:positionH>
            <wp:positionV relativeFrom="page">
              <wp:posOffset>3456427</wp:posOffset>
            </wp:positionV>
            <wp:extent cx="73151" cy="182879"/>
            <wp:effectExtent l="0" t="0" r="0" b="0"/>
            <wp:wrapNone/>
            <wp:docPr id="41" name="image29.png" descr=""/>
            <wp:cNvGraphicFramePr>
              <a:graphicFrameLocks noChangeAspect="1"/>
            </wp:cNvGraphicFramePr>
            <a:graphic>
              <a:graphicData uri="http://schemas.openxmlformats.org/drawingml/2006/picture">
                <pic:pic>
                  <pic:nvPicPr>
                    <pic:cNvPr id="42" name="image29.png"/>
                    <pic:cNvPicPr/>
                  </pic:nvPicPr>
                  <pic:blipFill>
                    <a:blip r:embed="rId45" cstate="print"/>
                    <a:stretch>
                      <a:fillRect/>
                    </a:stretch>
                  </pic:blipFill>
                  <pic:spPr>
                    <a:xfrm>
                      <a:off x="0" y="0"/>
                      <a:ext cx="73151" cy="182879"/>
                    </a:xfrm>
                    <a:prstGeom prst="rect">
                      <a:avLst/>
                    </a:prstGeom>
                  </pic:spPr>
                </pic:pic>
              </a:graphicData>
            </a:graphic>
          </wp:anchor>
        </w:drawing>
      </w:r>
      <w:r>
        <w:rPr/>
        <w:drawing>
          <wp:anchor distT="0" distB="0" distL="0" distR="0" allowOverlap="1" layoutInCell="1" locked="0" behindDoc="0" simplePos="0" relativeHeight="2032">
            <wp:simplePos x="0" y="0"/>
            <wp:positionH relativeFrom="page">
              <wp:posOffset>2115311</wp:posOffset>
            </wp:positionH>
            <wp:positionV relativeFrom="page">
              <wp:posOffset>3456427</wp:posOffset>
            </wp:positionV>
            <wp:extent cx="76199" cy="182879"/>
            <wp:effectExtent l="0" t="0" r="0" b="0"/>
            <wp:wrapNone/>
            <wp:docPr id="43" name="image30.png" descr=""/>
            <wp:cNvGraphicFramePr>
              <a:graphicFrameLocks noChangeAspect="1"/>
            </wp:cNvGraphicFramePr>
            <a:graphic>
              <a:graphicData uri="http://schemas.openxmlformats.org/drawingml/2006/picture">
                <pic:pic>
                  <pic:nvPicPr>
                    <pic:cNvPr id="44" name="image30.png"/>
                    <pic:cNvPicPr/>
                  </pic:nvPicPr>
                  <pic:blipFill>
                    <a:blip r:embed="rId46" cstate="print"/>
                    <a:stretch>
                      <a:fillRect/>
                    </a:stretch>
                  </pic:blipFill>
                  <pic:spPr>
                    <a:xfrm>
                      <a:off x="0" y="0"/>
                      <a:ext cx="76199" cy="182879"/>
                    </a:xfrm>
                    <a:prstGeom prst="rect">
                      <a:avLst/>
                    </a:prstGeom>
                  </pic:spPr>
                </pic:pic>
              </a:graphicData>
            </a:graphic>
          </wp:anchor>
        </w:drawing>
      </w:r>
      <w:r>
        <w:rPr/>
        <w:drawing>
          <wp:anchor distT="0" distB="0" distL="0" distR="0" allowOverlap="1" layoutInCell="1" locked="0" behindDoc="0" simplePos="0" relativeHeight="2056">
            <wp:simplePos x="0" y="0"/>
            <wp:positionH relativeFrom="page">
              <wp:posOffset>1877567</wp:posOffset>
            </wp:positionH>
            <wp:positionV relativeFrom="page">
              <wp:posOffset>3456427</wp:posOffset>
            </wp:positionV>
            <wp:extent cx="73151" cy="185927"/>
            <wp:effectExtent l="0" t="0" r="0" b="0"/>
            <wp:wrapNone/>
            <wp:docPr id="45" name="image31.png" descr=""/>
            <wp:cNvGraphicFramePr>
              <a:graphicFrameLocks noChangeAspect="1"/>
            </wp:cNvGraphicFramePr>
            <a:graphic>
              <a:graphicData uri="http://schemas.openxmlformats.org/drawingml/2006/picture">
                <pic:pic>
                  <pic:nvPicPr>
                    <pic:cNvPr id="46" name="image31.png"/>
                    <pic:cNvPicPr/>
                  </pic:nvPicPr>
                  <pic:blipFill>
                    <a:blip r:embed="rId47" cstate="print"/>
                    <a:stretch>
                      <a:fillRect/>
                    </a:stretch>
                  </pic:blipFill>
                  <pic:spPr>
                    <a:xfrm>
                      <a:off x="0" y="0"/>
                      <a:ext cx="73151" cy="185927"/>
                    </a:xfrm>
                    <a:prstGeom prst="rect">
                      <a:avLst/>
                    </a:prstGeom>
                  </pic:spPr>
                </pic:pic>
              </a:graphicData>
            </a:graphic>
          </wp:anchor>
        </w:drawing>
      </w:r>
      <w:r>
        <w:rPr/>
        <w:pict>
          <v:group style="position:absolute;margin-left:180.479996pt;margin-top:267.8396pt;width:15.4pt;height:19pt;mso-position-horizontal-relative:page;mso-position-vertical-relative:page;z-index:2080" coordorigin="3610,5357" coordsize="308,380">
            <v:shape style="position:absolute;left:3610;top:5357;width:120;height:379" type="#_x0000_t75" stroked="false">
              <v:imagedata r:id="rId48" o:title=""/>
            </v:shape>
            <v:shape style="position:absolute;left:3797;top:5357;width:120;height:379" type="#_x0000_t75" stroked="false">
              <v:imagedata r:id="rId49" o:title=""/>
            </v:shape>
            <w10:wrap type="none"/>
          </v:group>
        </w:pict>
      </w:r>
      <w:r>
        <w:rPr/>
        <w:pict>
          <v:group style="position:absolute;margin-left:84.480003pt;margin-top:105.359596pt;width:59.8pt;height:510.5pt;mso-position-horizontal-relative:page;mso-position-vertical-relative:page;z-index:2104" coordorigin="1690,2107" coordsize="1196,10210">
            <v:shape style="position:absolute;left:1694;top:6230;width:144;height:202" type="#_x0000_t75" stroked="false">
              <v:imagedata r:id="rId50" o:title=""/>
            </v:shape>
            <v:shape style="position:absolute;left:1690;top:6494;width:154;height:298" type="#_x0000_t75" stroked="false">
              <v:imagedata r:id="rId51" o:title=""/>
            </v:shape>
            <v:shape style="position:absolute;left:1694;top:6864;width:144;height:91" type="#_x0000_t75" stroked="false">
              <v:imagedata r:id="rId52" o:title=""/>
            </v:shape>
            <v:shape style="position:absolute;left:2760;top:11602;width:125;height:485" type="#_x0000_t75" stroked="false">
              <v:imagedata r:id="rId53" o:title=""/>
            </v:shape>
            <v:shape style="position:absolute;left:1690;top:2107;width:1003;height:10210" type="#_x0000_t75" stroked="false">
              <v:imagedata r:id="rId54" o:title=""/>
            </v:shape>
            <w10:wrap type="none"/>
          </v:group>
        </w:pict>
      </w:r>
      <w:r>
        <w:rPr/>
        <w:drawing>
          <wp:anchor distT="0" distB="0" distL="0" distR="0" allowOverlap="1" layoutInCell="1" locked="0" behindDoc="0" simplePos="0" relativeHeight="2128">
            <wp:simplePos x="0" y="0"/>
            <wp:positionH relativeFrom="page">
              <wp:posOffset>1755648</wp:posOffset>
            </wp:positionH>
            <wp:positionV relativeFrom="page">
              <wp:posOffset>3950203</wp:posOffset>
            </wp:positionV>
            <wp:extent cx="76199" cy="182879"/>
            <wp:effectExtent l="0" t="0" r="0" b="0"/>
            <wp:wrapNone/>
            <wp:docPr id="47" name="image39.png" descr=""/>
            <wp:cNvGraphicFramePr>
              <a:graphicFrameLocks noChangeAspect="1"/>
            </wp:cNvGraphicFramePr>
            <a:graphic>
              <a:graphicData uri="http://schemas.openxmlformats.org/drawingml/2006/picture">
                <pic:pic>
                  <pic:nvPicPr>
                    <pic:cNvPr id="48" name="image39.png"/>
                    <pic:cNvPicPr/>
                  </pic:nvPicPr>
                  <pic:blipFill>
                    <a:blip r:embed="rId55" cstate="print"/>
                    <a:stretch>
                      <a:fillRect/>
                    </a:stretch>
                  </pic:blipFill>
                  <pic:spPr>
                    <a:xfrm>
                      <a:off x="0" y="0"/>
                      <a:ext cx="76199" cy="182879"/>
                    </a:xfrm>
                    <a:prstGeom prst="rect">
                      <a:avLst/>
                    </a:prstGeom>
                  </pic:spPr>
                </pic:pic>
              </a:graphicData>
            </a:graphic>
          </wp:anchor>
        </w:drawing>
      </w:r>
      <w:r>
        <w:rPr/>
        <w:drawing>
          <wp:anchor distT="0" distB="0" distL="0" distR="0" allowOverlap="1" layoutInCell="1" locked="0" behindDoc="0" simplePos="0" relativeHeight="2152">
            <wp:simplePos x="0" y="0"/>
            <wp:positionH relativeFrom="page">
              <wp:posOffset>1877567</wp:posOffset>
            </wp:positionH>
            <wp:positionV relativeFrom="page">
              <wp:posOffset>3947154</wp:posOffset>
            </wp:positionV>
            <wp:extent cx="73151" cy="185927"/>
            <wp:effectExtent l="0" t="0" r="0" b="0"/>
            <wp:wrapNone/>
            <wp:docPr id="49" name="image40.png" descr=""/>
            <wp:cNvGraphicFramePr>
              <a:graphicFrameLocks noChangeAspect="1"/>
            </wp:cNvGraphicFramePr>
            <a:graphic>
              <a:graphicData uri="http://schemas.openxmlformats.org/drawingml/2006/picture">
                <pic:pic>
                  <pic:nvPicPr>
                    <pic:cNvPr id="50" name="image40.png"/>
                    <pic:cNvPicPr/>
                  </pic:nvPicPr>
                  <pic:blipFill>
                    <a:blip r:embed="rId56" cstate="print"/>
                    <a:stretch>
                      <a:fillRect/>
                    </a:stretch>
                  </pic:blipFill>
                  <pic:spPr>
                    <a:xfrm>
                      <a:off x="0" y="0"/>
                      <a:ext cx="73151" cy="185927"/>
                    </a:xfrm>
                    <a:prstGeom prst="rect">
                      <a:avLst/>
                    </a:prstGeom>
                  </pic:spPr>
                </pic:pic>
              </a:graphicData>
            </a:graphic>
          </wp:anchor>
        </w:drawing>
      </w:r>
      <w:r>
        <w:rPr/>
        <w:drawing>
          <wp:anchor distT="0" distB="0" distL="0" distR="0" allowOverlap="1" layoutInCell="1" locked="0" behindDoc="0" simplePos="0" relativeHeight="2176">
            <wp:simplePos x="0" y="0"/>
            <wp:positionH relativeFrom="page">
              <wp:posOffset>1996439</wp:posOffset>
            </wp:positionH>
            <wp:positionV relativeFrom="page">
              <wp:posOffset>3947154</wp:posOffset>
            </wp:positionV>
            <wp:extent cx="73152" cy="185927"/>
            <wp:effectExtent l="0" t="0" r="0" b="0"/>
            <wp:wrapNone/>
            <wp:docPr id="51" name="image41.png" descr=""/>
            <wp:cNvGraphicFramePr>
              <a:graphicFrameLocks noChangeAspect="1"/>
            </wp:cNvGraphicFramePr>
            <a:graphic>
              <a:graphicData uri="http://schemas.openxmlformats.org/drawingml/2006/picture">
                <pic:pic>
                  <pic:nvPicPr>
                    <pic:cNvPr id="52" name="image41.png"/>
                    <pic:cNvPicPr/>
                  </pic:nvPicPr>
                  <pic:blipFill>
                    <a:blip r:embed="rId57" cstate="print"/>
                    <a:stretch>
                      <a:fillRect/>
                    </a:stretch>
                  </pic:blipFill>
                  <pic:spPr>
                    <a:xfrm>
                      <a:off x="0" y="0"/>
                      <a:ext cx="73152" cy="185927"/>
                    </a:xfrm>
                    <a:prstGeom prst="rect">
                      <a:avLst/>
                    </a:prstGeom>
                  </pic:spPr>
                </pic:pic>
              </a:graphicData>
            </a:graphic>
          </wp:anchor>
        </w:drawing>
      </w:r>
      <w:r>
        <w:rPr/>
        <w:drawing>
          <wp:anchor distT="0" distB="0" distL="0" distR="0" allowOverlap="1" layoutInCell="1" locked="0" behindDoc="0" simplePos="0" relativeHeight="2200">
            <wp:simplePos x="0" y="0"/>
            <wp:positionH relativeFrom="page">
              <wp:posOffset>2115311</wp:posOffset>
            </wp:positionH>
            <wp:positionV relativeFrom="page">
              <wp:posOffset>3950203</wp:posOffset>
            </wp:positionV>
            <wp:extent cx="76199" cy="182879"/>
            <wp:effectExtent l="0" t="0" r="0" b="0"/>
            <wp:wrapNone/>
            <wp:docPr id="53" name="image42.png" descr=""/>
            <wp:cNvGraphicFramePr>
              <a:graphicFrameLocks noChangeAspect="1"/>
            </wp:cNvGraphicFramePr>
            <a:graphic>
              <a:graphicData uri="http://schemas.openxmlformats.org/drawingml/2006/picture">
                <pic:pic>
                  <pic:nvPicPr>
                    <pic:cNvPr id="54" name="image42.png"/>
                    <pic:cNvPicPr/>
                  </pic:nvPicPr>
                  <pic:blipFill>
                    <a:blip r:embed="rId58" cstate="print"/>
                    <a:stretch>
                      <a:fillRect/>
                    </a:stretch>
                  </pic:blipFill>
                  <pic:spPr>
                    <a:xfrm>
                      <a:off x="0" y="0"/>
                      <a:ext cx="76199" cy="182879"/>
                    </a:xfrm>
                    <a:prstGeom prst="rect">
                      <a:avLst/>
                    </a:prstGeom>
                  </pic:spPr>
                </pic:pic>
              </a:graphicData>
            </a:graphic>
          </wp:anchor>
        </w:drawing>
      </w:r>
      <w:r>
        <w:rPr/>
        <w:pict>
          <v:group style="position:absolute;margin-left:180.479996pt;margin-top:306.479614pt;width:15.4pt;height:19pt;mso-position-horizontal-relative:page;mso-position-vertical-relative:page;z-index:2224" coordorigin="3610,6130" coordsize="308,380">
            <v:shape style="position:absolute;left:3610;top:6144;width:120;height:365" type="#_x0000_t75" stroked="false">
              <v:imagedata r:id="rId59" o:title=""/>
            </v:shape>
            <v:shape style="position:absolute;left:3797;top:6130;width:120;height:379" type="#_x0000_t75" stroked="false">
              <v:imagedata r:id="rId60" o:title=""/>
            </v:shape>
            <w10:wrap type="none"/>
          </v:group>
        </w:pict>
      </w:r>
      <w:r>
        <w:rPr/>
        <w:drawing>
          <wp:anchor distT="0" distB="0" distL="0" distR="0" allowOverlap="1" layoutInCell="1" locked="0" behindDoc="0" simplePos="0" relativeHeight="2248">
            <wp:simplePos x="0" y="0"/>
            <wp:positionH relativeFrom="page">
              <wp:posOffset>1755648</wp:posOffset>
            </wp:positionH>
            <wp:positionV relativeFrom="page">
              <wp:posOffset>4410450</wp:posOffset>
            </wp:positionV>
            <wp:extent cx="76200" cy="173736"/>
            <wp:effectExtent l="0" t="0" r="0" b="0"/>
            <wp:wrapNone/>
            <wp:docPr id="55" name="image45.png" descr=""/>
            <wp:cNvGraphicFramePr>
              <a:graphicFrameLocks noChangeAspect="1"/>
            </wp:cNvGraphicFramePr>
            <a:graphic>
              <a:graphicData uri="http://schemas.openxmlformats.org/drawingml/2006/picture">
                <pic:pic>
                  <pic:nvPicPr>
                    <pic:cNvPr id="56" name="image45.png"/>
                    <pic:cNvPicPr/>
                  </pic:nvPicPr>
                  <pic:blipFill>
                    <a:blip r:embed="rId61" cstate="print"/>
                    <a:stretch>
                      <a:fillRect/>
                    </a:stretch>
                  </pic:blipFill>
                  <pic:spPr>
                    <a:xfrm>
                      <a:off x="0" y="0"/>
                      <a:ext cx="76200" cy="173736"/>
                    </a:xfrm>
                    <a:prstGeom prst="rect">
                      <a:avLst/>
                    </a:prstGeom>
                  </pic:spPr>
                </pic:pic>
              </a:graphicData>
            </a:graphic>
          </wp:anchor>
        </w:drawing>
      </w:r>
      <w:r>
        <w:rPr/>
        <w:drawing>
          <wp:anchor distT="0" distB="0" distL="0" distR="0" allowOverlap="1" layoutInCell="1" locked="0" behindDoc="0" simplePos="0" relativeHeight="2272">
            <wp:simplePos x="0" y="0"/>
            <wp:positionH relativeFrom="page">
              <wp:posOffset>1877567</wp:posOffset>
            </wp:positionH>
            <wp:positionV relativeFrom="page">
              <wp:posOffset>4413498</wp:posOffset>
            </wp:positionV>
            <wp:extent cx="73151" cy="173736"/>
            <wp:effectExtent l="0" t="0" r="0" b="0"/>
            <wp:wrapNone/>
            <wp:docPr id="57" name="image46.png" descr=""/>
            <wp:cNvGraphicFramePr>
              <a:graphicFrameLocks noChangeAspect="1"/>
            </wp:cNvGraphicFramePr>
            <a:graphic>
              <a:graphicData uri="http://schemas.openxmlformats.org/drawingml/2006/picture">
                <pic:pic>
                  <pic:nvPicPr>
                    <pic:cNvPr id="58" name="image46.png"/>
                    <pic:cNvPicPr/>
                  </pic:nvPicPr>
                  <pic:blipFill>
                    <a:blip r:embed="rId62" cstate="print"/>
                    <a:stretch>
                      <a:fillRect/>
                    </a:stretch>
                  </pic:blipFill>
                  <pic:spPr>
                    <a:xfrm>
                      <a:off x="0" y="0"/>
                      <a:ext cx="73151" cy="173736"/>
                    </a:xfrm>
                    <a:prstGeom prst="rect">
                      <a:avLst/>
                    </a:prstGeom>
                  </pic:spPr>
                </pic:pic>
              </a:graphicData>
            </a:graphic>
          </wp:anchor>
        </w:drawing>
      </w:r>
      <w:r>
        <w:rPr/>
        <w:drawing>
          <wp:anchor distT="0" distB="0" distL="0" distR="0" allowOverlap="1" layoutInCell="1" locked="0" behindDoc="0" simplePos="0" relativeHeight="2296">
            <wp:simplePos x="0" y="0"/>
            <wp:positionH relativeFrom="page">
              <wp:posOffset>1996439</wp:posOffset>
            </wp:positionH>
            <wp:positionV relativeFrom="page">
              <wp:posOffset>4401306</wp:posOffset>
            </wp:positionV>
            <wp:extent cx="73151" cy="185927"/>
            <wp:effectExtent l="0" t="0" r="0" b="0"/>
            <wp:wrapNone/>
            <wp:docPr id="59" name="image47.png" descr=""/>
            <wp:cNvGraphicFramePr>
              <a:graphicFrameLocks noChangeAspect="1"/>
            </wp:cNvGraphicFramePr>
            <a:graphic>
              <a:graphicData uri="http://schemas.openxmlformats.org/drawingml/2006/picture">
                <pic:pic>
                  <pic:nvPicPr>
                    <pic:cNvPr id="60" name="image47.png"/>
                    <pic:cNvPicPr/>
                  </pic:nvPicPr>
                  <pic:blipFill>
                    <a:blip r:embed="rId63" cstate="print"/>
                    <a:stretch>
                      <a:fillRect/>
                    </a:stretch>
                  </pic:blipFill>
                  <pic:spPr>
                    <a:xfrm>
                      <a:off x="0" y="0"/>
                      <a:ext cx="73151" cy="185927"/>
                    </a:xfrm>
                    <a:prstGeom prst="rect">
                      <a:avLst/>
                    </a:prstGeom>
                  </pic:spPr>
                </pic:pic>
              </a:graphicData>
            </a:graphic>
          </wp:anchor>
        </w:drawing>
      </w:r>
      <w:r>
        <w:rPr/>
        <w:drawing>
          <wp:anchor distT="0" distB="0" distL="0" distR="0" allowOverlap="1" layoutInCell="1" locked="0" behindDoc="0" simplePos="0" relativeHeight="2320">
            <wp:simplePos x="0" y="0"/>
            <wp:positionH relativeFrom="page">
              <wp:posOffset>2115311</wp:posOffset>
            </wp:positionH>
            <wp:positionV relativeFrom="page">
              <wp:posOffset>4401306</wp:posOffset>
            </wp:positionV>
            <wp:extent cx="76199" cy="185927"/>
            <wp:effectExtent l="0" t="0" r="0" b="0"/>
            <wp:wrapNone/>
            <wp:docPr id="61" name="image48.png" descr=""/>
            <wp:cNvGraphicFramePr>
              <a:graphicFrameLocks noChangeAspect="1"/>
            </wp:cNvGraphicFramePr>
            <a:graphic>
              <a:graphicData uri="http://schemas.openxmlformats.org/drawingml/2006/picture">
                <pic:pic>
                  <pic:nvPicPr>
                    <pic:cNvPr id="62" name="image48.png"/>
                    <pic:cNvPicPr/>
                  </pic:nvPicPr>
                  <pic:blipFill>
                    <a:blip r:embed="rId64" cstate="print"/>
                    <a:stretch>
                      <a:fillRect/>
                    </a:stretch>
                  </pic:blipFill>
                  <pic:spPr>
                    <a:xfrm>
                      <a:off x="0" y="0"/>
                      <a:ext cx="76199" cy="185927"/>
                    </a:xfrm>
                    <a:prstGeom prst="rect">
                      <a:avLst/>
                    </a:prstGeom>
                  </pic:spPr>
                </pic:pic>
              </a:graphicData>
            </a:graphic>
          </wp:anchor>
        </w:drawing>
      </w:r>
      <w:r>
        <w:rPr/>
        <w:pict>
          <v:group style="position:absolute;margin-left:180.479996pt;margin-top:342.239594pt;width:15.4pt;height:19pt;mso-position-horizontal-relative:page;mso-position-vertical-relative:page;z-index:2344" coordorigin="3610,6845" coordsize="308,380">
            <v:shape style="position:absolute;left:3610;top:6854;width:120;height:370" type="#_x0000_t75" stroked="false">
              <v:imagedata r:id="rId65" o:title=""/>
            </v:shape>
            <v:shape style="position:absolute;left:3797;top:6845;width:120;height:379" type="#_x0000_t75" stroked="false">
              <v:imagedata r:id="rId66" o:title=""/>
            </v:shape>
            <w10:wrap type="none"/>
          </v:group>
        </w:pict>
      </w:r>
      <w:r>
        <w:rPr/>
        <w:pict>
          <v:group style="position:absolute;margin-left:180.479996pt;margin-top:372.479614pt;width:15.4pt;height:19pt;mso-position-horizontal-relative:page;mso-position-vertical-relative:page;z-index:2368" coordorigin="3610,7450" coordsize="308,380">
            <v:shape style="position:absolute;left:3610;top:7541;width:120;height:288" type="#_x0000_t75" stroked="false">
              <v:imagedata r:id="rId67" o:title=""/>
            </v:shape>
            <v:shape style="position:absolute;left:3797;top:7450;width:120;height:379" type="#_x0000_t75" stroked="false">
              <v:imagedata r:id="rId68" o:title=""/>
            </v:shape>
            <w10:wrap type="none"/>
          </v:group>
        </w:pict>
      </w:r>
      <w:r>
        <w:rPr/>
        <w:drawing>
          <wp:anchor distT="0" distB="0" distL="0" distR="0" allowOverlap="1" layoutInCell="1" locked="0" behindDoc="0" simplePos="0" relativeHeight="2392">
            <wp:simplePos x="0" y="0"/>
            <wp:positionH relativeFrom="page">
              <wp:posOffset>1755648</wp:posOffset>
            </wp:positionH>
            <wp:positionV relativeFrom="page">
              <wp:posOffset>4831074</wp:posOffset>
            </wp:positionV>
            <wp:extent cx="76200" cy="237743"/>
            <wp:effectExtent l="0" t="0" r="0" b="0"/>
            <wp:wrapNone/>
            <wp:docPr id="63" name="image53.png" descr=""/>
            <wp:cNvGraphicFramePr>
              <a:graphicFrameLocks noChangeAspect="1"/>
            </wp:cNvGraphicFramePr>
            <a:graphic>
              <a:graphicData uri="http://schemas.openxmlformats.org/drawingml/2006/picture">
                <pic:pic>
                  <pic:nvPicPr>
                    <pic:cNvPr id="64" name="image53.png"/>
                    <pic:cNvPicPr/>
                  </pic:nvPicPr>
                  <pic:blipFill>
                    <a:blip r:embed="rId69" cstate="print"/>
                    <a:stretch>
                      <a:fillRect/>
                    </a:stretch>
                  </pic:blipFill>
                  <pic:spPr>
                    <a:xfrm>
                      <a:off x="0" y="0"/>
                      <a:ext cx="76200" cy="237743"/>
                    </a:xfrm>
                    <a:prstGeom prst="rect">
                      <a:avLst/>
                    </a:prstGeom>
                  </pic:spPr>
                </pic:pic>
              </a:graphicData>
            </a:graphic>
          </wp:anchor>
        </w:drawing>
      </w:r>
      <w:r>
        <w:rPr/>
        <w:drawing>
          <wp:anchor distT="0" distB="0" distL="0" distR="0" allowOverlap="1" layoutInCell="1" locked="0" behindDoc="0" simplePos="0" relativeHeight="2416">
            <wp:simplePos x="0" y="0"/>
            <wp:positionH relativeFrom="page">
              <wp:posOffset>1877567</wp:posOffset>
            </wp:positionH>
            <wp:positionV relativeFrom="page">
              <wp:posOffset>4831074</wp:posOffset>
            </wp:positionV>
            <wp:extent cx="73151" cy="237743"/>
            <wp:effectExtent l="0" t="0" r="0" b="0"/>
            <wp:wrapNone/>
            <wp:docPr id="65" name="image54.png" descr=""/>
            <wp:cNvGraphicFramePr>
              <a:graphicFrameLocks noChangeAspect="1"/>
            </wp:cNvGraphicFramePr>
            <a:graphic>
              <a:graphicData uri="http://schemas.openxmlformats.org/drawingml/2006/picture">
                <pic:pic>
                  <pic:nvPicPr>
                    <pic:cNvPr id="66" name="image54.png"/>
                    <pic:cNvPicPr/>
                  </pic:nvPicPr>
                  <pic:blipFill>
                    <a:blip r:embed="rId70" cstate="print"/>
                    <a:stretch>
                      <a:fillRect/>
                    </a:stretch>
                  </pic:blipFill>
                  <pic:spPr>
                    <a:xfrm>
                      <a:off x="0" y="0"/>
                      <a:ext cx="73151" cy="237743"/>
                    </a:xfrm>
                    <a:prstGeom prst="rect">
                      <a:avLst/>
                    </a:prstGeom>
                  </pic:spPr>
                </pic:pic>
              </a:graphicData>
            </a:graphic>
          </wp:anchor>
        </w:drawing>
      </w:r>
      <w:r>
        <w:rPr/>
        <w:drawing>
          <wp:anchor distT="0" distB="0" distL="0" distR="0" allowOverlap="1" layoutInCell="1" locked="0" behindDoc="0" simplePos="0" relativeHeight="2440">
            <wp:simplePos x="0" y="0"/>
            <wp:positionH relativeFrom="page">
              <wp:posOffset>1996439</wp:posOffset>
            </wp:positionH>
            <wp:positionV relativeFrom="page">
              <wp:posOffset>4831074</wp:posOffset>
            </wp:positionV>
            <wp:extent cx="73152" cy="237743"/>
            <wp:effectExtent l="0" t="0" r="0" b="0"/>
            <wp:wrapNone/>
            <wp:docPr id="67" name="image55.png" descr=""/>
            <wp:cNvGraphicFramePr>
              <a:graphicFrameLocks noChangeAspect="1"/>
            </wp:cNvGraphicFramePr>
            <a:graphic>
              <a:graphicData uri="http://schemas.openxmlformats.org/drawingml/2006/picture">
                <pic:pic>
                  <pic:nvPicPr>
                    <pic:cNvPr id="68" name="image55.png"/>
                    <pic:cNvPicPr/>
                  </pic:nvPicPr>
                  <pic:blipFill>
                    <a:blip r:embed="rId71" cstate="print"/>
                    <a:stretch>
                      <a:fillRect/>
                    </a:stretch>
                  </pic:blipFill>
                  <pic:spPr>
                    <a:xfrm>
                      <a:off x="0" y="0"/>
                      <a:ext cx="73152" cy="237743"/>
                    </a:xfrm>
                    <a:prstGeom prst="rect">
                      <a:avLst/>
                    </a:prstGeom>
                  </pic:spPr>
                </pic:pic>
              </a:graphicData>
            </a:graphic>
          </wp:anchor>
        </w:drawing>
      </w:r>
      <w:r>
        <w:rPr/>
        <w:drawing>
          <wp:anchor distT="0" distB="0" distL="0" distR="0" allowOverlap="1" layoutInCell="1" locked="0" behindDoc="0" simplePos="0" relativeHeight="2464">
            <wp:simplePos x="0" y="0"/>
            <wp:positionH relativeFrom="page">
              <wp:posOffset>2115311</wp:posOffset>
            </wp:positionH>
            <wp:positionV relativeFrom="page">
              <wp:posOffset>4831074</wp:posOffset>
            </wp:positionV>
            <wp:extent cx="76200" cy="237743"/>
            <wp:effectExtent l="0" t="0" r="0" b="0"/>
            <wp:wrapNone/>
            <wp:docPr id="69" name="image56.png" descr=""/>
            <wp:cNvGraphicFramePr>
              <a:graphicFrameLocks noChangeAspect="1"/>
            </wp:cNvGraphicFramePr>
            <a:graphic>
              <a:graphicData uri="http://schemas.openxmlformats.org/drawingml/2006/picture">
                <pic:pic>
                  <pic:nvPicPr>
                    <pic:cNvPr id="70" name="image56.png"/>
                    <pic:cNvPicPr/>
                  </pic:nvPicPr>
                  <pic:blipFill>
                    <a:blip r:embed="rId72" cstate="print"/>
                    <a:stretch>
                      <a:fillRect/>
                    </a:stretch>
                  </pic:blipFill>
                  <pic:spPr>
                    <a:xfrm>
                      <a:off x="0" y="0"/>
                      <a:ext cx="76200" cy="237743"/>
                    </a:xfrm>
                    <a:prstGeom prst="rect">
                      <a:avLst/>
                    </a:prstGeom>
                  </pic:spPr>
                </pic:pic>
              </a:graphicData>
            </a:graphic>
          </wp:anchor>
        </w:drawing>
      </w:r>
      <w:r>
        <w:rPr/>
        <w:pict>
          <v:group style="position:absolute;margin-left:180.479996pt;margin-top:409.919586pt;width:15.4pt;height:18.5pt;mso-position-horizontal-relative:page;mso-position-vertical-relative:page;z-index:2488" coordorigin="3610,8198" coordsize="308,370">
            <v:shape style="position:absolute;left:3610;top:8280;width:120;height:274" type="#_x0000_t75" stroked="false">
              <v:imagedata r:id="rId73" o:title=""/>
            </v:shape>
            <v:shape style="position:absolute;left:3797;top:8198;width:120;height:370" type="#_x0000_t75" stroked="false">
              <v:imagedata r:id="rId74" o:title=""/>
            </v:shape>
            <w10:wrap type="none"/>
          </v:group>
        </w:pict>
      </w:r>
      <w:r>
        <w:rPr/>
        <w:drawing>
          <wp:anchor distT="0" distB="0" distL="0" distR="0" allowOverlap="1" layoutInCell="1" locked="0" behindDoc="0" simplePos="0" relativeHeight="2512">
            <wp:simplePos x="0" y="0"/>
            <wp:positionH relativeFrom="page">
              <wp:posOffset>1755648</wp:posOffset>
            </wp:positionH>
            <wp:positionV relativeFrom="page">
              <wp:posOffset>5312659</wp:posOffset>
            </wp:positionV>
            <wp:extent cx="76199" cy="185927"/>
            <wp:effectExtent l="0" t="0" r="0" b="0"/>
            <wp:wrapNone/>
            <wp:docPr id="71" name="image59.png" descr=""/>
            <wp:cNvGraphicFramePr>
              <a:graphicFrameLocks noChangeAspect="1"/>
            </wp:cNvGraphicFramePr>
            <a:graphic>
              <a:graphicData uri="http://schemas.openxmlformats.org/drawingml/2006/picture">
                <pic:pic>
                  <pic:nvPicPr>
                    <pic:cNvPr id="72" name="image59.png"/>
                    <pic:cNvPicPr/>
                  </pic:nvPicPr>
                  <pic:blipFill>
                    <a:blip r:embed="rId75" cstate="print"/>
                    <a:stretch>
                      <a:fillRect/>
                    </a:stretch>
                  </pic:blipFill>
                  <pic:spPr>
                    <a:xfrm>
                      <a:off x="0" y="0"/>
                      <a:ext cx="76199" cy="185927"/>
                    </a:xfrm>
                    <a:prstGeom prst="rect">
                      <a:avLst/>
                    </a:prstGeom>
                  </pic:spPr>
                </pic:pic>
              </a:graphicData>
            </a:graphic>
          </wp:anchor>
        </w:drawing>
      </w:r>
      <w:r>
        <w:rPr/>
        <w:drawing>
          <wp:anchor distT="0" distB="0" distL="0" distR="0" allowOverlap="1" layoutInCell="1" locked="0" behindDoc="0" simplePos="0" relativeHeight="2536">
            <wp:simplePos x="0" y="0"/>
            <wp:positionH relativeFrom="page">
              <wp:posOffset>1877567</wp:posOffset>
            </wp:positionH>
            <wp:positionV relativeFrom="page">
              <wp:posOffset>5312659</wp:posOffset>
            </wp:positionV>
            <wp:extent cx="73151" cy="185927"/>
            <wp:effectExtent l="0" t="0" r="0" b="0"/>
            <wp:wrapNone/>
            <wp:docPr id="73" name="image60.png" descr=""/>
            <wp:cNvGraphicFramePr>
              <a:graphicFrameLocks noChangeAspect="1"/>
            </wp:cNvGraphicFramePr>
            <a:graphic>
              <a:graphicData uri="http://schemas.openxmlformats.org/drawingml/2006/picture">
                <pic:pic>
                  <pic:nvPicPr>
                    <pic:cNvPr id="74" name="image60.png"/>
                    <pic:cNvPicPr/>
                  </pic:nvPicPr>
                  <pic:blipFill>
                    <a:blip r:embed="rId76" cstate="print"/>
                    <a:stretch>
                      <a:fillRect/>
                    </a:stretch>
                  </pic:blipFill>
                  <pic:spPr>
                    <a:xfrm>
                      <a:off x="0" y="0"/>
                      <a:ext cx="73151" cy="185927"/>
                    </a:xfrm>
                    <a:prstGeom prst="rect">
                      <a:avLst/>
                    </a:prstGeom>
                  </pic:spPr>
                </pic:pic>
              </a:graphicData>
            </a:graphic>
          </wp:anchor>
        </w:drawing>
      </w:r>
      <w:r>
        <w:rPr/>
        <w:drawing>
          <wp:anchor distT="0" distB="0" distL="0" distR="0" allowOverlap="1" layoutInCell="1" locked="0" behindDoc="0" simplePos="0" relativeHeight="2560">
            <wp:simplePos x="0" y="0"/>
            <wp:positionH relativeFrom="page">
              <wp:posOffset>1996439</wp:posOffset>
            </wp:positionH>
            <wp:positionV relativeFrom="page">
              <wp:posOffset>5309610</wp:posOffset>
            </wp:positionV>
            <wp:extent cx="73151" cy="188975"/>
            <wp:effectExtent l="0" t="0" r="0" b="0"/>
            <wp:wrapNone/>
            <wp:docPr id="75" name="image61.png" descr=""/>
            <wp:cNvGraphicFramePr>
              <a:graphicFrameLocks noChangeAspect="1"/>
            </wp:cNvGraphicFramePr>
            <a:graphic>
              <a:graphicData uri="http://schemas.openxmlformats.org/drawingml/2006/picture">
                <pic:pic>
                  <pic:nvPicPr>
                    <pic:cNvPr id="76" name="image61.png"/>
                    <pic:cNvPicPr/>
                  </pic:nvPicPr>
                  <pic:blipFill>
                    <a:blip r:embed="rId77" cstate="print"/>
                    <a:stretch>
                      <a:fillRect/>
                    </a:stretch>
                  </pic:blipFill>
                  <pic:spPr>
                    <a:xfrm>
                      <a:off x="0" y="0"/>
                      <a:ext cx="73151" cy="188975"/>
                    </a:xfrm>
                    <a:prstGeom prst="rect">
                      <a:avLst/>
                    </a:prstGeom>
                  </pic:spPr>
                </pic:pic>
              </a:graphicData>
            </a:graphic>
          </wp:anchor>
        </w:drawing>
      </w:r>
      <w:r>
        <w:rPr/>
        <w:drawing>
          <wp:anchor distT="0" distB="0" distL="0" distR="0" allowOverlap="1" layoutInCell="1" locked="0" behindDoc="0" simplePos="0" relativeHeight="2584">
            <wp:simplePos x="0" y="0"/>
            <wp:positionH relativeFrom="page">
              <wp:posOffset>2115311</wp:posOffset>
            </wp:positionH>
            <wp:positionV relativeFrom="page">
              <wp:posOffset>5309610</wp:posOffset>
            </wp:positionV>
            <wp:extent cx="76199" cy="188975"/>
            <wp:effectExtent l="0" t="0" r="0" b="0"/>
            <wp:wrapNone/>
            <wp:docPr id="77" name="image62.png" descr=""/>
            <wp:cNvGraphicFramePr>
              <a:graphicFrameLocks noChangeAspect="1"/>
            </wp:cNvGraphicFramePr>
            <a:graphic>
              <a:graphicData uri="http://schemas.openxmlformats.org/drawingml/2006/picture">
                <pic:pic>
                  <pic:nvPicPr>
                    <pic:cNvPr id="78" name="image62.png"/>
                    <pic:cNvPicPr/>
                  </pic:nvPicPr>
                  <pic:blipFill>
                    <a:blip r:embed="rId78" cstate="print"/>
                    <a:stretch>
                      <a:fillRect/>
                    </a:stretch>
                  </pic:blipFill>
                  <pic:spPr>
                    <a:xfrm>
                      <a:off x="0" y="0"/>
                      <a:ext cx="76199" cy="188975"/>
                    </a:xfrm>
                    <a:prstGeom prst="rect">
                      <a:avLst/>
                    </a:prstGeom>
                  </pic:spPr>
                </pic:pic>
              </a:graphicData>
            </a:graphic>
          </wp:anchor>
        </w:drawing>
      </w:r>
      <w:r>
        <w:rPr/>
        <w:pict>
          <v:group style="position:absolute;margin-left:180.479996pt;margin-top:450.959595pt;width:15.4pt;height:19pt;mso-position-horizontal-relative:page;mso-position-vertical-relative:page;z-index:2608" coordorigin="3610,9019" coordsize="308,380">
            <v:shape style="position:absolute;left:3610;top:9106;width:120;height:293" type="#_x0000_t75" stroked="false">
              <v:imagedata r:id="rId79" o:title=""/>
            </v:shape>
            <v:shape style="position:absolute;left:3797;top:9019;width:120;height:379" type="#_x0000_t75" stroked="false">
              <v:imagedata r:id="rId80" o:title=""/>
            </v:shape>
            <w10:wrap type="none"/>
          </v:group>
        </w:pict>
      </w:r>
      <w:r>
        <w:rPr/>
        <w:drawing>
          <wp:anchor distT="0" distB="0" distL="0" distR="0" allowOverlap="1" layoutInCell="1" locked="0" behindDoc="0" simplePos="0" relativeHeight="2632">
            <wp:simplePos x="0" y="0"/>
            <wp:positionH relativeFrom="page">
              <wp:posOffset>1755648</wp:posOffset>
            </wp:positionH>
            <wp:positionV relativeFrom="page">
              <wp:posOffset>5836915</wp:posOffset>
            </wp:positionV>
            <wp:extent cx="76200" cy="185927"/>
            <wp:effectExtent l="0" t="0" r="0" b="0"/>
            <wp:wrapNone/>
            <wp:docPr id="79" name="image65.png" descr=""/>
            <wp:cNvGraphicFramePr>
              <a:graphicFrameLocks noChangeAspect="1"/>
            </wp:cNvGraphicFramePr>
            <a:graphic>
              <a:graphicData uri="http://schemas.openxmlformats.org/drawingml/2006/picture">
                <pic:pic>
                  <pic:nvPicPr>
                    <pic:cNvPr id="80" name="image65.png"/>
                    <pic:cNvPicPr/>
                  </pic:nvPicPr>
                  <pic:blipFill>
                    <a:blip r:embed="rId81" cstate="print"/>
                    <a:stretch>
                      <a:fillRect/>
                    </a:stretch>
                  </pic:blipFill>
                  <pic:spPr>
                    <a:xfrm>
                      <a:off x="0" y="0"/>
                      <a:ext cx="76200" cy="185927"/>
                    </a:xfrm>
                    <a:prstGeom prst="rect">
                      <a:avLst/>
                    </a:prstGeom>
                  </pic:spPr>
                </pic:pic>
              </a:graphicData>
            </a:graphic>
          </wp:anchor>
        </w:drawing>
      </w:r>
      <w:r>
        <w:rPr/>
        <w:drawing>
          <wp:anchor distT="0" distB="0" distL="0" distR="0" allowOverlap="1" layoutInCell="1" locked="0" behindDoc="0" simplePos="0" relativeHeight="2656">
            <wp:simplePos x="0" y="0"/>
            <wp:positionH relativeFrom="page">
              <wp:posOffset>1877567</wp:posOffset>
            </wp:positionH>
            <wp:positionV relativeFrom="page">
              <wp:posOffset>5852154</wp:posOffset>
            </wp:positionV>
            <wp:extent cx="73151" cy="170687"/>
            <wp:effectExtent l="0" t="0" r="0" b="0"/>
            <wp:wrapNone/>
            <wp:docPr id="81" name="image66.png" descr=""/>
            <wp:cNvGraphicFramePr>
              <a:graphicFrameLocks noChangeAspect="1"/>
            </wp:cNvGraphicFramePr>
            <a:graphic>
              <a:graphicData uri="http://schemas.openxmlformats.org/drawingml/2006/picture">
                <pic:pic>
                  <pic:nvPicPr>
                    <pic:cNvPr id="82" name="image66.png"/>
                    <pic:cNvPicPr/>
                  </pic:nvPicPr>
                  <pic:blipFill>
                    <a:blip r:embed="rId82" cstate="print"/>
                    <a:stretch>
                      <a:fillRect/>
                    </a:stretch>
                  </pic:blipFill>
                  <pic:spPr>
                    <a:xfrm>
                      <a:off x="0" y="0"/>
                      <a:ext cx="73151" cy="170687"/>
                    </a:xfrm>
                    <a:prstGeom prst="rect">
                      <a:avLst/>
                    </a:prstGeom>
                  </pic:spPr>
                </pic:pic>
              </a:graphicData>
            </a:graphic>
          </wp:anchor>
        </w:drawing>
      </w:r>
      <w:r>
        <w:rPr/>
        <w:drawing>
          <wp:anchor distT="0" distB="0" distL="0" distR="0" allowOverlap="1" layoutInCell="1" locked="0" behindDoc="0" simplePos="0" relativeHeight="2680">
            <wp:simplePos x="0" y="0"/>
            <wp:positionH relativeFrom="page">
              <wp:posOffset>1996439</wp:posOffset>
            </wp:positionH>
            <wp:positionV relativeFrom="page">
              <wp:posOffset>5839962</wp:posOffset>
            </wp:positionV>
            <wp:extent cx="73152" cy="182879"/>
            <wp:effectExtent l="0" t="0" r="0" b="0"/>
            <wp:wrapNone/>
            <wp:docPr id="83" name="image67.png" descr=""/>
            <wp:cNvGraphicFramePr>
              <a:graphicFrameLocks noChangeAspect="1"/>
            </wp:cNvGraphicFramePr>
            <a:graphic>
              <a:graphicData uri="http://schemas.openxmlformats.org/drawingml/2006/picture">
                <pic:pic>
                  <pic:nvPicPr>
                    <pic:cNvPr id="84" name="image67.png"/>
                    <pic:cNvPicPr/>
                  </pic:nvPicPr>
                  <pic:blipFill>
                    <a:blip r:embed="rId83" cstate="print"/>
                    <a:stretch>
                      <a:fillRect/>
                    </a:stretch>
                  </pic:blipFill>
                  <pic:spPr>
                    <a:xfrm>
                      <a:off x="0" y="0"/>
                      <a:ext cx="73152" cy="182879"/>
                    </a:xfrm>
                    <a:prstGeom prst="rect">
                      <a:avLst/>
                    </a:prstGeom>
                  </pic:spPr>
                </pic:pic>
              </a:graphicData>
            </a:graphic>
          </wp:anchor>
        </w:drawing>
      </w:r>
      <w:r>
        <w:rPr/>
        <w:drawing>
          <wp:anchor distT="0" distB="0" distL="0" distR="0" allowOverlap="1" layoutInCell="1" locked="0" behindDoc="0" simplePos="0" relativeHeight="2704">
            <wp:simplePos x="0" y="0"/>
            <wp:positionH relativeFrom="page">
              <wp:posOffset>2115311</wp:posOffset>
            </wp:positionH>
            <wp:positionV relativeFrom="page">
              <wp:posOffset>5836915</wp:posOffset>
            </wp:positionV>
            <wp:extent cx="76200" cy="185927"/>
            <wp:effectExtent l="0" t="0" r="0" b="0"/>
            <wp:wrapNone/>
            <wp:docPr id="85" name="image68.png" descr=""/>
            <wp:cNvGraphicFramePr>
              <a:graphicFrameLocks noChangeAspect="1"/>
            </wp:cNvGraphicFramePr>
            <a:graphic>
              <a:graphicData uri="http://schemas.openxmlformats.org/drawingml/2006/picture">
                <pic:pic>
                  <pic:nvPicPr>
                    <pic:cNvPr id="86" name="image68.png"/>
                    <pic:cNvPicPr/>
                  </pic:nvPicPr>
                  <pic:blipFill>
                    <a:blip r:embed="rId84" cstate="print"/>
                    <a:stretch>
                      <a:fillRect/>
                    </a:stretch>
                  </pic:blipFill>
                  <pic:spPr>
                    <a:xfrm>
                      <a:off x="0" y="0"/>
                      <a:ext cx="76200" cy="185927"/>
                    </a:xfrm>
                    <a:prstGeom prst="rect">
                      <a:avLst/>
                    </a:prstGeom>
                  </pic:spPr>
                </pic:pic>
              </a:graphicData>
            </a:graphic>
          </wp:anchor>
        </w:drawing>
      </w:r>
      <w:r>
        <w:rPr/>
        <w:pict>
          <v:group style="position:absolute;margin-left:180.479996pt;margin-top:494.399597pt;width:15.4pt;height:23.3pt;mso-position-horizontal-relative:page;mso-position-vertical-relative:page;z-index:2728" coordorigin="3610,9888" coordsize="308,466">
            <v:shape style="position:absolute;left:3610;top:9888;width:120;height:466" type="#_x0000_t75" stroked="false">
              <v:imagedata r:id="rId85" o:title=""/>
            </v:shape>
            <v:shape style="position:absolute;left:3797;top:9984;width:120;height:370" type="#_x0000_t75" stroked="false">
              <v:imagedata r:id="rId86" o:title=""/>
            </v:shape>
            <w10:wrap type="none"/>
          </v:group>
        </w:pict>
      </w:r>
      <w:r>
        <w:rPr/>
        <w:drawing>
          <wp:anchor distT="0" distB="0" distL="0" distR="0" allowOverlap="1" layoutInCell="1" locked="0" behindDoc="0" simplePos="0" relativeHeight="2752">
            <wp:simplePos x="0" y="0"/>
            <wp:positionH relativeFrom="page">
              <wp:posOffset>1755648</wp:posOffset>
            </wp:positionH>
            <wp:positionV relativeFrom="page">
              <wp:posOffset>6333738</wp:posOffset>
            </wp:positionV>
            <wp:extent cx="76200" cy="243839"/>
            <wp:effectExtent l="0" t="0" r="0" b="0"/>
            <wp:wrapNone/>
            <wp:docPr id="87" name="image71.png" descr=""/>
            <wp:cNvGraphicFramePr>
              <a:graphicFrameLocks noChangeAspect="1"/>
            </wp:cNvGraphicFramePr>
            <a:graphic>
              <a:graphicData uri="http://schemas.openxmlformats.org/drawingml/2006/picture">
                <pic:pic>
                  <pic:nvPicPr>
                    <pic:cNvPr id="88" name="image71.png"/>
                    <pic:cNvPicPr/>
                  </pic:nvPicPr>
                  <pic:blipFill>
                    <a:blip r:embed="rId87" cstate="print"/>
                    <a:stretch>
                      <a:fillRect/>
                    </a:stretch>
                  </pic:blipFill>
                  <pic:spPr>
                    <a:xfrm>
                      <a:off x="0" y="0"/>
                      <a:ext cx="76200" cy="243839"/>
                    </a:xfrm>
                    <a:prstGeom prst="rect">
                      <a:avLst/>
                    </a:prstGeom>
                  </pic:spPr>
                </pic:pic>
              </a:graphicData>
            </a:graphic>
          </wp:anchor>
        </w:drawing>
      </w:r>
      <w:r>
        <w:rPr/>
        <w:drawing>
          <wp:anchor distT="0" distB="0" distL="0" distR="0" allowOverlap="1" layoutInCell="1" locked="0" behindDoc="0" simplePos="0" relativeHeight="2776">
            <wp:simplePos x="0" y="0"/>
            <wp:positionH relativeFrom="page">
              <wp:posOffset>1877567</wp:posOffset>
            </wp:positionH>
            <wp:positionV relativeFrom="page">
              <wp:posOffset>6333738</wp:posOffset>
            </wp:positionV>
            <wp:extent cx="73151" cy="243839"/>
            <wp:effectExtent l="0" t="0" r="0" b="0"/>
            <wp:wrapNone/>
            <wp:docPr id="89" name="image72.png" descr=""/>
            <wp:cNvGraphicFramePr>
              <a:graphicFrameLocks noChangeAspect="1"/>
            </wp:cNvGraphicFramePr>
            <a:graphic>
              <a:graphicData uri="http://schemas.openxmlformats.org/drawingml/2006/picture">
                <pic:pic>
                  <pic:nvPicPr>
                    <pic:cNvPr id="90" name="image72.png"/>
                    <pic:cNvPicPr/>
                  </pic:nvPicPr>
                  <pic:blipFill>
                    <a:blip r:embed="rId88" cstate="print"/>
                    <a:stretch>
                      <a:fillRect/>
                    </a:stretch>
                  </pic:blipFill>
                  <pic:spPr>
                    <a:xfrm>
                      <a:off x="0" y="0"/>
                      <a:ext cx="73151" cy="243839"/>
                    </a:xfrm>
                    <a:prstGeom prst="rect">
                      <a:avLst/>
                    </a:prstGeom>
                  </pic:spPr>
                </pic:pic>
              </a:graphicData>
            </a:graphic>
          </wp:anchor>
        </w:drawing>
      </w:r>
      <w:r>
        <w:rPr/>
        <w:drawing>
          <wp:anchor distT="0" distB="0" distL="0" distR="0" allowOverlap="1" layoutInCell="1" locked="0" behindDoc="0" simplePos="0" relativeHeight="2800">
            <wp:simplePos x="0" y="0"/>
            <wp:positionH relativeFrom="page">
              <wp:posOffset>1996439</wp:posOffset>
            </wp:positionH>
            <wp:positionV relativeFrom="page">
              <wp:posOffset>6333738</wp:posOffset>
            </wp:positionV>
            <wp:extent cx="73152" cy="243839"/>
            <wp:effectExtent l="0" t="0" r="0" b="0"/>
            <wp:wrapNone/>
            <wp:docPr id="91" name="image73.png" descr=""/>
            <wp:cNvGraphicFramePr>
              <a:graphicFrameLocks noChangeAspect="1"/>
            </wp:cNvGraphicFramePr>
            <a:graphic>
              <a:graphicData uri="http://schemas.openxmlformats.org/drawingml/2006/picture">
                <pic:pic>
                  <pic:nvPicPr>
                    <pic:cNvPr id="92" name="image73.png"/>
                    <pic:cNvPicPr/>
                  </pic:nvPicPr>
                  <pic:blipFill>
                    <a:blip r:embed="rId89" cstate="print"/>
                    <a:stretch>
                      <a:fillRect/>
                    </a:stretch>
                  </pic:blipFill>
                  <pic:spPr>
                    <a:xfrm>
                      <a:off x="0" y="0"/>
                      <a:ext cx="73152" cy="243839"/>
                    </a:xfrm>
                    <a:prstGeom prst="rect">
                      <a:avLst/>
                    </a:prstGeom>
                  </pic:spPr>
                </pic:pic>
              </a:graphicData>
            </a:graphic>
          </wp:anchor>
        </w:drawing>
      </w:r>
      <w:r>
        <w:rPr/>
        <w:drawing>
          <wp:anchor distT="0" distB="0" distL="0" distR="0" allowOverlap="1" layoutInCell="1" locked="0" behindDoc="0" simplePos="0" relativeHeight="2824">
            <wp:simplePos x="0" y="0"/>
            <wp:positionH relativeFrom="page">
              <wp:posOffset>2115311</wp:posOffset>
            </wp:positionH>
            <wp:positionV relativeFrom="page">
              <wp:posOffset>6336786</wp:posOffset>
            </wp:positionV>
            <wp:extent cx="76200" cy="240791"/>
            <wp:effectExtent l="0" t="0" r="0" b="0"/>
            <wp:wrapNone/>
            <wp:docPr id="93" name="image74.png" descr=""/>
            <wp:cNvGraphicFramePr>
              <a:graphicFrameLocks noChangeAspect="1"/>
            </wp:cNvGraphicFramePr>
            <a:graphic>
              <a:graphicData uri="http://schemas.openxmlformats.org/drawingml/2006/picture">
                <pic:pic>
                  <pic:nvPicPr>
                    <pic:cNvPr id="94" name="image74.png"/>
                    <pic:cNvPicPr/>
                  </pic:nvPicPr>
                  <pic:blipFill>
                    <a:blip r:embed="rId90" cstate="print"/>
                    <a:stretch>
                      <a:fillRect/>
                    </a:stretch>
                  </pic:blipFill>
                  <pic:spPr>
                    <a:xfrm>
                      <a:off x="0" y="0"/>
                      <a:ext cx="76200" cy="240791"/>
                    </a:xfrm>
                    <a:prstGeom prst="rect">
                      <a:avLst/>
                    </a:prstGeom>
                  </pic:spPr>
                </pic:pic>
              </a:graphicData>
            </a:graphic>
          </wp:anchor>
        </w:drawing>
      </w:r>
      <w:r>
        <w:rPr/>
        <w:drawing>
          <wp:anchor distT="0" distB="0" distL="0" distR="0" allowOverlap="1" layoutInCell="1" locked="0" behindDoc="0" simplePos="0" relativeHeight="2848">
            <wp:simplePos x="0" y="0"/>
            <wp:positionH relativeFrom="page">
              <wp:posOffset>1755648</wp:posOffset>
            </wp:positionH>
            <wp:positionV relativeFrom="page">
              <wp:posOffset>6864091</wp:posOffset>
            </wp:positionV>
            <wp:extent cx="76200" cy="179832"/>
            <wp:effectExtent l="0" t="0" r="0" b="0"/>
            <wp:wrapNone/>
            <wp:docPr id="95" name="image75.png" descr=""/>
            <wp:cNvGraphicFramePr>
              <a:graphicFrameLocks noChangeAspect="1"/>
            </wp:cNvGraphicFramePr>
            <a:graphic>
              <a:graphicData uri="http://schemas.openxmlformats.org/drawingml/2006/picture">
                <pic:pic>
                  <pic:nvPicPr>
                    <pic:cNvPr id="96" name="image75.png"/>
                    <pic:cNvPicPr/>
                  </pic:nvPicPr>
                  <pic:blipFill>
                    <a:blip r:embed="rId91" cstate="print"/>
                    <a:stretch>
                      <a:fillRect/>
                    </a:stretch>
                  </pic:blipFill>
                  <pic:spPr>
                    <a:xfrm>
                      <a:off x="0" y="0"/>
                      <a:ext cx="76200" cy="179832"/>
                    </a:xfrm>
                    <a:prstGeom prst="rect">
                      <a:avLst/>
                    </a:prstGeom>
                  </pic:spPr>
                </pic:pic>
              </a:graphicData>
            </a:graphic>
          </wp:anchor>
        </w:drawing>
      </w:r>
      <w:r>
        <w:rPr/>
        <w:drawing>
          <wp:anchor distT="0" distB="0" distL="0" distR="0" allowOverlap="1" layoutInCell="1" locked="0" behindDoc="0" simplePos="0" relativeHeight="2872">
            <wp:simplePos x="0" y="0"/>
            <wp:positionH relativeFrom="page">
              <wp:posOffset>1877567</wp:posOffset>
            </wp:positionH>
            <wp:positionV relativeFrom="page">
              <wp:posOffset>6867138</wp:posOffset>
            </wp:positionV>
            <wp:extent cx="73151" cy="176784"/>
            <wp:effectExtent l="0" t="0" r="0" b="0"/>
            <wp:wrapNone/>
            <wp:docPr id="97" name="image76.png" descr=""/>
            <wp:cNvGraphicFramePr>
              <a:graphicFrameLocks noChangeAspect="1"/>
            </wp:cNvGraphicFramePr>
            <a:graphic>
              <a:graphicData uri="http://schemas.openxmlformats.org/drawingml/2006/picture">
                <pic:pic>
                  <pic:nvPicPr>
                    <pic:cNvPr id="98" name="image76.png"/>
                    <pic:cNvPicPr/>
                  </pic:nvPicPr>
                  <pic:blipFill>
                    <a:blip r:embed="rId92" cstate="print"/>
                    <a:stretch>
                      <a:fillRect/>
                    </a:stretch>
                  </pic:blipFill>
                  <pic:spPr>
                    <a:xfrm>
                      <a:off x="0" y="0"/>
                      <a:ext cx="73151" cy="176784"/>
                    </a:xfrm>
                    <a:prstGeom prst="rect">
                      <a:avLst/>
                    </a:prstGeom>
                  </pic:spPr>
                </pic:pic>
              </a:graphicData>
            </a:graphic>
          </wp:anchor>
        </w:drawing>
      </w:r>
      <w:r>
        <w:rPr/>
        <w:drawing>
          <wp:anchor distT="0" distB="0" distL="0" distR="0" allowOverlap="1" layoutInCell="1" locked="0" behindDoc="0" simplePos="0" relativeHeight="2896">
            <wp:simplePos x="0" y="0"/>
            <wp:positionH relativeFrom="page">
              <wp:posOffset>1996439</wp:posOffset>
            </wp:positionH>
            <wp:positionV relativeFrom="page">
              <wp:posOffset>6861043</wp:posOffset>
            </wp:positionV>
            <wp:extent cx="73152" cy="182879"/>
            <wp:effectExtent l="0" t="0" r="0" b="0"/>
            <wp:wrapNone/>
            <wp:docPr id="99" name="image77.png" descr=""/>
            <wp:cNvGraphicFramePr>
              <a:graphicFrameLocks noChangeAspect="1"/>
            </wp:cNvGraphicFramePr>
            <a:graphic>
              <a:graphicData uri="http://schemas.openxmlformats.org/drawingml/2006/picture">
                <pic:pic>
                  <pic:nvPicPr>
                    <pic:cNvPr id="100" name="image77.png"/>
                    <pic:cNvPicPr/>
                  </pic:nvPicPr>
                  <pic:blipFill>
                    <a:blip r:embed="rId93" cstate="print"/>
                    <a:stretch>
                      <a:fillRect/>
                    </a:stretch>
                  </pic:blipFill>
                  <pic:spPr>
                    <a:xfrm>
                      <a:off x="0" y="0"/>
                      <a:ext cx="73152" cy="182879"/>
                    </a:xfrm>
                    <a:prstGeom prst="rect">
                      <a:avLst/>
                    </a:prstGeom>
                  </pic:spPr>
                </pic:pic>
              </a:graphicData>
            </a:graphic>
          </wp:anchor>
        </w:drawing>
      </w:r>
      <w:r>
        <w:rPr/>
        <w:drawing>
          <wp:anchor distT="0" distB="0" distL="0" distR="0" allowOverlap="1" layoutInCell="1" locked="0" behindDoc="0" simplePos="0" relativeHeight="2920">
            <wp:simplePos x="0" y="0"/>
            <wp:positionH relativeFrom="page">
              <wp:posOffset>2115311</wp:posOffset>
            </wp:positionH>
            <wp:positionV relativeFrom="page">
              <wp:posOffset>6861043</wp:posOffset>
            </wp:positionV>
            <wp:extent cx="76200" cy="185927"/>
            <wp:effectExtent l="0" t="0" r="0" b="0"/>
            <wp:wrapNone/>
            <wp:docPr id="101" name="image78.png" descr=""/>
            <wp:cNvGraphicFramePr>
              <a:graphicFrameLocks noChangeAspect="1"/>
            </wp:cNvGraphicFramePr>
            <a:graphic>
              <a:graphicData uri="http://schemas.openxmlformats.org/drawingml/2006/picture">
                <pic:pic>
                  <pic:nvPicPr>
                    <pic:cNvPr id="102" name="image78.png"/>
                    <pic:cNvPicPr/>
                  </pic:nvPicPr>
                  <pic:blipFill>
                    <a:blip r:embed="rId94" cstate="print"/>
                    <a:stretch>
                      <a:fillRect/>
                    </a:stretch>
                  </pic:blipFill>
                  <pic:spPr>
                    <a:xfrm>
                      <a:off x="0" y="0"/>
                      <a:ext cx="76200" cy="185927"/>
                    </a:xfrm>
                    <a:prstGeom prst="rect">
                      <a:avLst/>
                    </a:prstGeom>
                  </pic:spPr>
                </pic:pic>
              </a:graphicData>
            </a:graphic>
          </wp:anchor>
        </w:drawing>
      </w:r>
      <w:r>
        <w:rPr/>
        <w:pict>
          <v:group style="position:absolute;margin-left:180.479996pt;margin-top:535.679626pt;width:15.4pt;height:19.2pt;mso-position-horizontal-relative:page;mso-position-vertical-relative:page;z-index:2944" coordorigin="3610,10714" coordsize="308,384">
            <v:shape style="position:absolute;left:3610;top:10723;width:120;height:374" type="#_x0000_t75" stroked="false">
              <v:imagedata r:id="rId95" o:title=""/>
            </v:shape>
            <v:shape style="position:absolute;left:3797;top:10714;width:120;height:384" type="#_x0000_t75" stroked="false">
              <v:imagedata r:id="rId96" o:title=""/>
            </v:shape>
            <w10:wrap type="none"/>
          </v:group>
        </w:pict>
      </w:r>
      <w:r>
        <w:rPr/>
        <w:drawing>
          <wp:anchor distT="0" distB="0" distL="0" distR="0" allowOverlap="1" layoutInCell="1" locked="0" behindDoc="0" simplePos="0" relativeHeight="2968">
            <wp:simplePos x="0" y="0"/>
            <wp:positionH relativeFrom="page">
              <wp:posOffset>1877567</wp:posOffset>
            </wp:positionH>
            <wp:positionV relativeFrom="page">
              <wp:posOffset>7549891</wp:posOffset>
            </wp:positionV>
            <wp:extent cx="73151" cy="121919"/>
            <wp:effectExtent l="0" t="0" r="0" b="0"/>
            <wp:wrapNone/>
            <wp:docPr id="103" name="image81.png" descr=""/>
            <wp:cNvGraphicFramePr>
              <a:graphicFrameLocks noChangeAspect="1"/>
            </wp:cNvGraphicFramePr>
            <a:graphic>
              <a:graphicData uri="http://schemas.openxmlformats.org/drawingml/2006/picture">
                <pic:pic>
                  <pic:nvPicPr>
                    <pic:cNvPr id="104" name="image81.png"/>
                    <pic:cNvPicPr/>
                  </pic:nvPicPr>
                  <pic:blipFill>
                    <a:blip r:embed="rId97" cstate="print"/>
                    <a:stretch>
                      <a:fillRect/>
                    </a:stretch>
                  </pic:blipFill>
                  <pic:spPr>
                    <a:xfrm>
                      <a:off x="0" y="0"/>
                      <a:ext cx="73151" cy="121919"/>
                    </a:xfrm>
                    <a:prstGeom prst="rect">
                      <a:avLst/>
                    </a:prstGeom>
                  </pic:spPr>
                </pic:pic>
              </a:graphicData>
            </a:graphic>
          </wp:anchor>
        </w:drawing>
      </w:r>
      <w:r>
        <w:rPr/>
        <w:drawing>
          <wp:anchor distT="0" distB="0" distL="0" distR="0" allowOverlap="1" layoutInCell="1" locked="0" behindDoc="0" simplePos="0" relativeHeight="2992">
            <wp:simplePos x="0" y="0"/>
            <wp:positionH relativeFrom="page">
              <wp:posOffset>1996439</wp:posOffset>
            </wp:positionH>
            <wp:positionV relativeFrom="page">
              <wp:posOffset>7549891</wp:posOffset>
            </wp:positionV>
            <wp:extent cx="73152" cy="121919"/>
            <wp:effectExtent l="0" t="0" r="0" b="0"/>
            <wp:wrapNone/>
            <wp:docPr id="105" name="image82.png" descr=""/>
            <wp:cNvGraphicFramePr>
              <a:graphicFrameLocks noChangeAspect="1"/>
            </wp:cNvGraphicFramePr>
            <a:graphic>
              <a:graphicData uri="http://schemas.openxmlformats.org/drawingml/2006/picture">
                <pic:pic>
                  <pic:nvPicPr>
                    <pic:cNvPr id="106" name="image82.png"/>
                    <pic:cNvPicPr/>
                  </pic:nvPicPr>
                  <pic:blipFill>
                    <a:blip r:embed="rId98" cstate="print"/>
                    <a:stretch>
                      <a:fillRect/>
                    </a:stretch>
                  </pic:blipFill>
                  <pic:spPr>
                    <a:xfrm>
                      <a:off x="0" y="0"/>
                      <a:ext cx="73152" cy="121919"/>
                    </a:xfrm>
                    <a:prstGeom prst="rect">
                      <a:avLst/>
                    </a:prstGeom>
                  </pic:spPr>
                </pic:pic>
              </a:graphicData>
            </a:graphic>
          </wp:anchor>
        </w:drawing>
      </w:r>
      <w:r>
        <w:rPr/>
        <w:drawing>
          <wp:anchor distT="0" distB="0" distL="0" distR="0" allowOverlap="1" layoutInCell="1" locked="0" behindDoc="0" simplePos="0" relativeHeight="3016">
            <wp:simplePos x="0" y="0"/>
            <wp:positionH relativeFrom="page">
              <wp:posOffset>2115311</wp:posOffset>
            </wp:positionH>
            <wp:positionV relativeFrom="page">
              <wp:posOffset>7415779</wp:posOffset>
            </wp:positionV>
            <wp:extent cx="76200" cy="259080"/>
            <wp:effectExtent l="0" t="0" r="0" b="0"/>
            <wp:wrapNone/>
            <wp:docPr id="107" name="image83.png" descr=""/>
            <wp:cNvGraphicFramePr>
              <a:graphicFrameLocks noChangeAspect="1"/>
            </wp:cNvGraphicFramePr>
            <a:graphic>
              <a:graphicData uri="http://schemas.openxmlformats.org/drawingml/2006/picture">
                <pic:pic>
                  <pic:nvPicPr>
                    <pic:cNvPr id="108" name="image83.png"/>
                    <pic:cNvPicPr/>
                  </pic:nvPicPr>
                  <pic:blipFill>
                    <a:blip r:embed="rId99" cstate="print"/>
                    <a:stretch>
                      <a:fillRect/>
                    </a:stretch>
                  </pic:blipFill>
                  <pic:spPr>
                    <a:xfrm>
                      <a:off x="0" y="0"/>
                      <a:ext cx="76200" cy="259080"/>
                    </a:xfrm>
                    <a:prstGeom prst="rect">
                      <a:avLst/>
                    </a:prstGeom>
                  </pic:spPr>
                </pic:pic>
              </a:graphicData>
            </a:graphic>
          </wp:anchor>
        </w:drawing>
      </w:r>
      <w:r>
        <w:rPr/>
        <w:pict>
          <v:group style="position:absolute;margin-left:204pt;margin-top:538.799622pt;width:53.3pt;height:76.8pt;mso-position-horizontal-relative:page;mso-position-vertical-relative:page;z-index:3040" coordorigin="4080,10776" coordsize="1066,1536">
            <v:shape style="position:absolute;left:4080;top:11026;width:113;height:1205" type="#_x0000_t75" stroked="false">
              <v:imagedata r:id="rId100" o:title=""/>
            </v:shape>
            <v:line style="position:absolute" from="4186,12228" to="4190,12228" stroked="true" strokeweight=".239995pt" strokecolor="#171616"/>
            <v:shape style="position:absolute;left:4272;top:10781;width:125;height:336" type="#_x0000_t75" stroked="false">
              <v:imagedata r:id="rId101" o:title=""/>
            </v:shape>
            <v:shape style="position:absolute;left:4459;top:10781;width:125;height:336" type="#_x0000_t75" stroked="false">
              <v:imagedata r:id="rId102" o:title=""/>
            </v:shape>
            <v:shape style="position:absolute;left:4651;top:10776;width:307;height:346" type="#_x0000_t75" stroked="false">
              <v:imagedata r:id="rId103" o:title=""/>
            </v:shape>
            <v:shape style="position:absolute;left:5026;top:10776;width:120;height:346" type="#_x0000_t75" stroked="false">
              <v:imagedata r:id="rId104" o:title=""/>
            </v:shape>
            <v:shape style="position:absolute;left:4190;top:11035;width:53;height:758" type="#_x0000_t75" stroked="false">
              <v:imagedata r:id="rId105" o:title=""/>
            </v:shape>
            <v:line style="position:absolute" from="4190,11964" to="4200,11964" stroked="true" strokeweight=".239995pt" strokecolor="#171616"/>
            <v:shape style="position:absolute;left:4651;top:11798;width:120;height:283" type="#_x0000_t75" stroked="false">
              <v:imagedata r:id="rId106" o:title=""/>
            </v:shape>
            <v:shape style="position:absolute;left:4459;top:11808;width:125;height:283" type="#_x0000_t75" stroked="false">
              <v:imagedata r:id="rId107" o:title=""/>
            </v:shape>
            <v:shape style="position:absolute;left:4838;top:11808;width:120;height:283" type="#_x0000_t75" stroked="false">
              <v:imagedata r:id="rId108" o:title=""/>
            </v:shape>
            <v:shape style="position:absolute;left:5026;top:11798;width:120;height:293" type="#_x0000_t75" stroked="false">
              <v:imagedata r:id="rId109" o:title=""/>
            </v:shape>
            <v:shape style="position:absolute;left:4085;top:11870;width:312;height:432" type="#_x0000_t75" stroked="false">
              <v:imagedata r:id="rId110" o:title=""/>
            </v:shape>
            <v:shape style="position:absolute;left:4188;top:12226;width:17;height:86" type="#_x0000_t75" stroked="false">
              <v:imagedata r:id="rId111" o:title=""/>
            </v:shape>
            <w10:wrap type="none"/>
          </v:group>
        </w:pict>
      </w:r>
      <w:r>
        <w:rPr/>
        <w:pict>
          <v:group style="position:absolute;margin-left:180.479996pt;margin-top:590.399597pt;width:15.4pt;height:25.2pt;mso-position-horizontal-relative:page;mso-position-vertical-relative:page;z-index:3064" coordorigin="3610,11808" coordsize="308,504">
            <v:shape style="position:absolute;left:3610;top:11957;width:120;height:346" type="#_x0000_t75" stroked="false">
              <v:imagedata r:id="rId112" o:title=""/>
            </v:shape>
            <v:shape style="position:absolute;left:3792;top:11808;width:125;height:504" type="#_x0000_t75" stroked="false">
              <v:imagedata r:id="rId113" o:title=""/>
            </v:shape>
            <w10:wrap type="none"/>
          </v:group>
        </w:pict>
      </w:r>
      <w:r>
        <w:rPr/>
        <w:pict>
          <v:group style="position:absolute;margin-left:281.760010pt;margin-top:105.359596pt;width:77.8pt;height:510.5pt;mso-position-horizontal-relative:page;mso-position-vertical-relative:page;z-index:3088" coordorigin="5635,2107" coordsize="1556,10210">
            <v:shape style="position:absolute;left:6701;top:2107;width:10;height:43" type="#_x0000_t75" stroked="false">
              <v:imagedata r:id="rId114" o:title=""/>
            </v:shape>
            <v:shape style="position:absolute;left:6874;top:2107;width:77;height:346" type="#_x0000_t75" stroked="false">
              <v:imagedata r:id="rId115" o:title=""/>
            </v:shape>
            <v:shape style="position:absolute;left:5832;top:2222;width:120;height:370" type="#_x0000_t75" stroked="false">
              <v:imagedata r:id="rId116" o:title=""/>
            </v:shape>
            <v:shape style="position:absolute;left:6019;top:2218;width:120;height:374" type="#_x0000_t75" stroked="false">
              <v:imagedata r:id="rId117" o:title=""/>
            </v:shape>
            <v:shape style="position:absolute;left:6624;top:2222;width:120;height:394" type="#_x0000_t75" stroked="false">
              <v:imagedata r:id="rId118" o:title=""/>
            </v:shape>
            <v:shape style="position:absolute;left:5832;top:3038;width:120;height:379" type="#_x0000_t75" stroked="false">
              <v:imagedata r:id="rId119" o:title=""/>
            </v:shape>
            <v:shape style="position:absolute;left:6019;top:3038;width:120;height:379" type="#_x0000_t75" stroked="false">
              <v:imagedata r:id="rId120" o:title=""/>
            </v:shape>
            <v:shape style="position:absolute;left:5832;top:3854;width:120;height:379" type="#_x0000_t75" stroked="false">
              <v:imagedata r:id="rId121" o:title=""/>
            </v:shape>
            <v:shape style="position:absolute;left:6019;top:3854;width:120;height:379" type="#_x0000_t75" stroked="false">
              <v:imagedata r:id="rId122" o:title=""/>
            </v:shape>
            <v:shape style="position:absolute;left:5832;top:4627;width:120;height:379" type="#_x0000_t75" stroked="false">
              <v:imagedata r:id="rId123" o:title=""/>
            </v:shape>
            <v:shape style="position:absolute;left:6019;top:4622;width:120;height:384" type="#_x0000_t75" stroked="false">
              <v:imagedata r:id="rId124" o:title=""/>
            </v:shape>
            <v:shape style="position:absolute;left:5832;top:5357;width:120;height:379" type="#_x0000_t75" stroked="false">
              <v:imagedata r:id="rId125" o:title=""/>
            </v:shape>
            <v:shape style="position:absolute;left:6019;top:5362;width:120;height:374" type="#_x0000_t75" stroked="false">
              <v:imagedata r:id="rId126" o:title=""/>
            </v:shape>
            <v:shape style="position:absolute;left:5832;top:6130;width:120;height:379" type="#_x0000_t75" stroked="false">
              <v:imagedata r:id="rId127" o:title=""/>
            </v:shape>
            <v:shape style="position:absolute;left:6019;top:6130;width:120;height:379" type="#_x0000_t75" stroked="false">
              <v:imagedata r:id="rId128" o:title=""/>
            </v:shape>
            <v:shape style="position:absolute;left:5832;top:6845;width:120;height:379" type="#_x0000_t75" stroked="false">
              <v:imagedata r:id="rId129" o:title=""/>
            </v:shape>
            <v:shape style="position:absolute;left:6019;top:6859;width:120;height:365" type="#_x0000_t75" stroked="false">
              <v:imagedata r:id="rId130" o:title=""/>
            </v:shape>
            <v:shape style="position:absolute;left:5832;top:7493;width:120;height:379" type="#_x0000_t75" stroked="false">
              <v:imagedata r:id="rId131" o:title=""/>
            </v:shape>
            <v:shape style="position:absolute;left:6019;top:7502;width:120;height:370" type="#_x0000_t75" stroked="false">
              <v:imagedata r:id="rId132" o:title=""/>
            </v:shape>
            <v:shape style="position:absolute;left:5832;top:8237;width:120;height:374" type="#_x0000_t75" stroked="false">
              <v:imagedata r:id="rId133" o:title=""/>
            </v:shape>
            <v:shape style="position:absolute;left:6019;top:8232;width:120;height:379" type="#_x0000_t75" stroked="false">
              <v:imagedata r:id="rId134" o:title=""/>
            </v:shape>
            <v:shape style="position:absolute;left:5832;top:9005;width:120;height:374" type="#_x0000_t75" stroked="false">
              <v:imagedata r:id="rId135" o:title=""/>
            </v:shape>
            <v:shape style="position:absolute;left:6019;top:9000;width:120;height:379" type="#_x0000_t75" stroked="false">
              <v:imagedata r:id="rId136" o:title=""/>
            </v:shape>
            <v:shape style="position:absolute;left:5832;top:9979;width:120;height:379" type="#_x0000_t75" stroked="false">
              <v:imagedata r:id="rId137" o:title=""/>
            </v:shape>
            <v:shape style="position:absolute;left:6019;top:9989;width:120;height:370" type="#_x0000_t75" stroked="false">
              <v:imagedata r:id="rId138" o:title=""/>
            </v:shape>
            <v:shape style="position:absolute;left:5832;top:10776;width:120;height:365" type="#_x0000_t75" stroked="false">
              <v:imagedata r:id="rId139" o:title=""/>
            </v:shape>
            <v:shape style="position:absolute;left:6019;top:10771;width:120;height:370" type="#_x0000_t75" stroked="false">
              <v:imagedata r:id="rId140" o:title=""/>
            </v:shape>
            <v:shape style="position:absolute;left:5827;top:11698;width:125;height:389" type="#_x0000_t75" stroked="false">
              <v:imagedata r:id="rId141" o:title=""/>
            </v:shape>
            <v:shape style="position:absolute;left:5635;top:11726;width:125;height:590" type="#_x0000_t75" stroked="false">
              <v:imagedata r:id="rId142" o:title=""/>
            </v:shape>
            <v:shape style="position:absolute;left:6014;top:2107;width:1176;height:10210" type="#_x0000_t75" stroked="false">
              <v:imagedata r:id="rId143" o:title=""/>
            </v:shape>
            <w10:wrap type="none"/>
          </v:group>
        </w:pict>
      </w:r>
      <w:r>
        <w:rPr/>
        <w:drawing>
          <wp:anchor distT="0" distB="0" distL="0" distR="0" allowOverlap="1" layoutInCell="1" locked="0" behindDoc="0" simplePos="0" relativeHeight="3112">
            <wp:simplePos x="0" y="0"/>
            <wp:positionH relativeFrom="page">
              <wp:posOffset>3371088</wp:posOffset>
            </wp:positionH>
            <wp:positionV relativeFrom="page">
              <wp:posOffset>1417314</wp:posOffset>
            </wp:positionV>
            <wp:extent cx="76200" cy="240792"/>
            <wp:effectExtent l="0" t="0" r="0" b="0"/>
            <wp:wrapNone/>
            <wp:docPr id="109" name="image128.png" descr=""/>
            <wp:cNvGraphicFramePr>
              <a:graphicFrameLocks noChangeAspect="1"/>
            </wp:cNvGraphicFramePr>
            <a:graphic>
              <a:graphicData uri="http://schemas.openxmlformats.org/drawingml/2006/picture">
                <pic:pic>
                  <pic:nvPicPr>
                    <pic:cNvPr id="110" name="image128.png"/>
                    <pic:cNvPicPr/>
                  </pic:nvPicPr>
                  <pic:blipFill>
                    <a:blip r:embed="rId144" cstate="print"/>
                    <a:stretch>
                      <a:fillRect/>
                    </a:stretch>
                  </pic:blipFill>
                  <pic:spPr>
                    <a:xfrm>
                      <a:off x="0" y="0"/>
                      <a:ext cx="76200" cy="240792"/>
                    </a:xfrm>
                    <a:prstGeom prst="rect">
                      <a:avLst/>
                    </a:prstGeom>
                  </pic:spPr>
                </pic:pic>
              </a:graphicData>
            </a:graphic>
          </wp:anchor>
        </w:drawing>
      </w:r>
      <w:r>
        <w:rPr/>
        <w:pict>
          <v:group style="position:absolute;margin-left:213.600006pt;margin-top:112.319603pt;width:43.7pt;height:22.6pt;mso-position-horizontal-relative:page;mso-position-vertical-relative:page;z-index:3136" coordorigin="4272,2246" coordsize="874,452">
            <v:shape style="position:absolute;left:5026;top:2246;width:120;height:427" type="#_x0000_t75" stroked="false">
              <v:imagedata r:id="rId145" o:title=""/>
            </v:shape>
            <v:shape style="position:absolute;left:4272;top:2266;width:125;height:432" type="#_x0000_t75" stroked="false">
              <v:imagedata r:id="rId146" o:title=""/>
            </v:shape>
            <v:shape style="position:absolute;left:4459;top:2246;width:499;height:451" type="#_x0000_t75" stroked="false">
              <v:imagedata r:id="rId147" o:title=""/>
            </v:shape>
            <w10:wrap type="none"/>
          </v:group>
        </w:pict>
      </w:r>
      <w:r>
        <w:rPr/>
        <w:pict>
          <v:group style="position:absolute;margin-left:213.600006pt;margin-top:156.479599pt;width:43.7pt;height:14.4pt;mso-position-horizontal-relative:page;mso-position-vertical-relative:page;z-index:3160" coordorigin="4272,3130" coordsize="874,288">
            <v:shape style="position:absolute;left:4272;top:3144;width:125;height:269" type="#_x0000_t75" stroked="false">
              <v:imagedata r:id="rId148" o:title=""/>
            </v:shape>
            <v:shape style="position:absolute;left:4459;top:3130;width:125;height:288" type="#_x0000_t75" stroked="false">
              <v:imagedata r:id="rId149" o:title=""/>
            </v:shape>
            <v:shape style="position:absolute;left:4651;top:3134;width:120;height:283" type="#_x0000_t75" stroked="false">
              <v:imagedata r:id="rId150" o:title=""/>
            </v:shape>
            <v:shape style="position:absolute;left:4838;top:3130;width:120;height:288" type="#_x0000_t75" stroked="false">
              <v:imagedata r:id="rId151" o:title=""/>
            </v:shape>
            <v:shape style="position:absolute;left:5026;top:3130;width:120;height:288" type="#_x0000_t75" stroked="false">
              <v:imagedata r:id="rId152" o:title=""/>
            </v:shape>
            <w10:wrap type="none"/>
          </v:group>
        </w:pict>
      </w:r>
      <w:r>
        <w:rPr/>
        <w:drawing>
          <wp:anchor distT="0" distB="0" distL="0" distR="0" allowOverlap="1" layoutInCell="1" locked="0" behindDoc="0" simplePos="0" relativeHeight="3184">
            <wp:simplePos x="0" y="0"/>
            <wp:positionH relativeFrom="page">
              <wp:posOffset>3371088</wp:posOffset>
            </wp:positionH>
            <wp:positionV relativeFrom="page">
              <wp:posOffset>1929378</wp:posOffset>
            </wp:positionV>
            <wp:extent cx="76200" cy="240792"/>
            <wp:effectExtent l="0" t="0" r="0" b="0"/>
            <wp:wrapNone/>
            <wp:docPr id="111" name="image137.png" descr=""/>
            <wp:cNvGraphicFramePr>
              <a:graphicFrameLocks noChangeAspect="1"/>
            </wp:cNvGraphicFramePr>
            <a:graphic>
              <a:graphicData uri="http://schemas.openxmlformats.org/drawingml/2006/picture">
                <pic:pic>
                  <pic:nvPicPr>
                    <pic:cNvPr id="112" name="image137.png"/>
                    <pic:cNvPicPr/>
                  </pic:nvPicPr>
                  <pic:blipFill>
                    <a:blip r:embed="rId153" cstate="print"/>
                    <a:stretch>
                      <a:fillRect/>
                    </a:stretch>
                  </pic:blipFill>
                  <pic:spPr>
                    <a:xfrm>
                      <a:off x="0" y="0"/>
                      <a:ext cx="76200" cy="240792"/>
                    </a:xfrm>
                    <a:prstGeom prst="rect">
                      <a:avLst/>
                    </a:prstGeom>
                  </pic:spPr>
                </pic:pic>
              </a:graphicData>
            </a:graphic>
          </wp:anchor>
        </w:drawing>
      </w:r>
      <w:r>
        <w:rPr/>
        <w:pict>
          <v:group style="position:absolute;margin-left:213.600006pt;margin-top:192.479599pt;width:43.7pt;height:19.2pt;mso-position-horizontal-relative:page;mso-position-vertical-relative:page;z-index:3208" coordorigin="4272,3850" coordsize="874,384">
            <v:shape style="position:absolute;left:4272;top:3854;width:125;height:379" type="#_x0000_t75" stroked="false">
              <v:imagedata r:id="rId154" o:title=""/>
            </v:shape>
            <v:shape style="position:absolute;left:4459;top:3854;width:125;height:379" type="#_x0000_t75" stroked="false">
              <v:imagedata r:id="rId155" o:title=""/>
            </v:shape>
            <v:shape style="position:absolute;left:4651;top:3850;width:120;height:384" type="#_x0000_t75" stroked="false">
              <v:imagedata r:id="rId156" o:title=""/>
            </v:shape>
            <v:shape style="position:absolute;left:4838;top:3859;width:120;height:374" type="#_x0000_t75" stroked="false">
              <v:imagedata r:id="rId157" o:title=""/>
            </v:shape>
            <v:shape style="position:absolute;left:5026;top:3864;width:120;height:370" type="#_x0000_t75" stroked="false">
              <v:imagedata r:id="rId158" o:title=""/>
            </v:shape>
            <w10:wrap type="none"/>
          </v:group>
        </w:pict>
      </w:r>
      <w:r>
        <w:rPr/>
        <w:drawing>
          <wp:anchor distT="0" distB="0" distL="0" distR="0" allowOverlap="1" layoutInCell="1" locked="0" behindDoc="0" simplePos="0" relativeHeight="3232">
            <wp:simplePos x="0" y="0"/>
            <wp:positionH relativeFrom="page">
              <wp:posOffset>3371088</wp:posOffset>
            </wp:positionH>
            <wp:positionV relativeFrom="page">
              <wp:posOffset>2447538</wp:posOffset>
            </wp:positionV>
            <wp:extent cx="76200" cy="240792"/>
            <wp:effectExtent l="0" t="0" r="0" b="0"/>
            <wp:wrapNone/>
            <wp:docPr id="113" name="image143.png" descr=""/>
            <wp:cNvGraphicFramePr>
              <a:graphicFrameLocks noChangeAspect="1"/>
            </wp:cNvGraphicFramePr>
            <a:graphic>
              <a:graphicData uri="http://schemas.openxmlformats.org/drawingml/2006/picture">
                <pic:pic>
                  <pic:nvPicPr>
                    <pic:cNvPr id="114" name="image143.png"/>
                    <pic:cNvPicPr/>
                  </pic:nvPicPr>
                  <pic:blipFill>
                    <a:blip r:embed="rId159" cstate="print"/>
                    <a:stretch>
                      <a:fillRect/>
                    </a:stretch>
                  </pic:blipFill>
                  <pic:spPr>
                    <a:xfrm>
                      <a:off x="0" y="0"/>
                      <a:ext cx="76200" cy="240792"/>
                    </a:xfrm>
                    <a:prstGeom prst="rect">
                      <a:avLst/>
                    </a:prstGeom>
                  </pic:spPr>
                </pic:pic>
              </a:graphicData>
            </a:graphic>
          </wp:anchor>
        </w:drawing>
      </w:r>
      <w:r>
        <w:rPr/>
        <w:pict>
          <v:group style="position:absolute;margin-left:213.600006pt;margin-top:228.719604pt;width:43.7pt;height:21.6pt;mso-position-horizontal-relative:page;mso-position-vertical-relative:page;z-index:3256" coordorigin="4272,4574" coordsize="874,432">
            <v:shape style="position:absolute;left:4272;top:4579;width:125;height:427" type="#_x0000_t75" stroked="false">
              <v:imagedata r:id="rId160" o:title=""/>
            </v:shape>
            <v:shape style="position:absolute;left:4459;top:4579;width:125;height:427" type="#_x0000_t75" stroked="false">
              <v:imagedata r:id="rId161" o:title=""/>
            </v:shape>
            <v:shape style="position:absolute;left:4651;top:4574;width:120;height:432" type="#_x0000_t75" stroked="false">
              <v:imagedata r:id="rId162" o:title=""/>
            </v:shape>
            <v:shape style="position:absolute;left:4838;top:4579;width:120;height:427" type="#_x0000_t75" stroked="false">
              <v:imagedata r:id="rId163" o:title=""/>
            </v:shape>
            <v:shape style="position:absolute;left:5026;top:4584;width:120;height:422" type="#_x0000_t75" stroked="false">
              <v:imagedata r:id="rId164" o:title=""/>
            </v:shape>
            <w10:wrap type="none"/>
          </v:group>
        </w:pict>
      </w:r>
      <w:r>
        <w:rPr/>
        <w:drawing>
          <wp:anchor distT="0" distB="0" distL="0" distR="0" allowOverlap="1" layoutInCell="1" locked="0" behindDoc="0" simplePos="0" relativeHeight="3280">
            <wp:simplePos x="0" y="0"/>
            <wp:positionH relativeFrom="page">
              <wp:posOffset>3371088</wp:posOffset>
            </wp:positionH>
            <wp:positionV relativeFrom="page">
              <wp:posOffset>2892546</wp:posOffset>
            </wp:positionV>
            <wp:extent cx="76200" cy="286511"/>
            <wp:effectExtent l="0" t="0" r="0" b="0"/>
            <wp:wrapNone/>
            <wp:docPr id="115" name="image149.png" descr=""/>
            <wp:cNvGraphicFramePr>
              <a:graphicFrameLocks noChangeAspect="1"/>
            </wp:cNvGraphicFramePr>
            <a:graphic>
              <a:graphicData uri="http://schemas.openxmlformats.org/drawingml/2006/picture">
                <pic:pic>
                  <pic:nvPicPr>
                    <pic:cNvPr id="116" name="image149.png"/>
                    <pic:cNvPicPr/>
                  </pic:nvPicPr>
                  <pic:blipFill>
                    <a:blip r:embed="rId165" cstate="print"/>
                    <a:stretch>
                      <a:fillRect/>
                    </a:stretch>
                  </pic:blipFill>
                  <pic:spPr>
                    <a:xfrm>
                      <a:off x="0" y="0"/>
                      <a:ext cx="76200" cy="286511"/>
                    </a:xfrm>
                    <a:prstGeom prst="rect">
                      <a:avLst/>
                    </a:prstGeom>
                  </pic:spPr>
                </pic:pic>
              </a:graphicData>
            </a:graphic>
          </wp:anchor>
        </w:drawing>
      </w:r>
      <w:r>
        <w:rPr/>
        <w:pict>
          <v:group style="position:absolute;margin-left:213.600006pt;margin-top:272.159607pt;width:43.7pt;height:14.4pt;mso-position-horizontal-relative:page;mso-position-vertical-relative:page;z-index:3304" coordorigin="4272,5443" coordsize="874,288">
            <v:shape style="position:absolute;left:4272;top:5443;width:125;height:288" type="#_x0000_t75" stroked="false">
              <v:imagedata r:id="rId166" o:title=""/>
            </v:shape>
            <v:shape style="position:absolute;left:4459;top:5443;width:125;height:288" type="#_x0000_t75" stroked="false">
              <v:imagedata r:id="rId167" o:title=""/>
            </v:shape>
            <v:shape style="position:absolute;left:4651;top:5453;width:120;height:278" type="#_x0000_t75" stroked="false">
              <v:imagedata r:id="rId168" o:title=""/>
            </v:shape>
            <v:shape style="position:absolute;left:4838;top:5453;width:120;height:278" type="#_x0000_t75" stroked="false">
              <v:imagedata r:id="rId169" o:title=""/>
            </v:shape>
            <v:shape style="position:absolute;left:5026;top:5443;width:120;height:288" type="#_x0000_t75" stroked="false">
              <v:imagedata r:id="rId170" o:title=""/>
            </v:shape>
            <w10:wrap type="none"/>
          </v:group>
        </w:pict>
      </w:r>
      <w:r>
        <w:rPr/>
        <w:drawing>
          <wp:anchor distT="0" distB="0" distL="0" distR="0" allowOverlap="1" layoutInCell="1" locked="0" behindDoc="0" simplePos="0" relativeHeight="3328">
            <wp:simplePos x="0" y="0"/>
            <wp:positionH relativeFrom="page">
              <wp:posOffset>3371088</wp:posOffset>
            </wp:positionH>
            <wp:positionV relativeFrom="page">
              <wp:posOffset>3401562</wp:posOffset>
            </wp:positionV>
            <wp:extent cx="76200" cy="240792"/>
            <wp:effectExtent l="0" t="0" r="0" b="0"/>
            <wp:wrapNone/>
            <wp:docPr id="117" name="image155.png" descr=""/>
            <wp:cNvGraphicFramePr>
              <a:graphicFrameLocks noChangeAspect="1"/>
            </wp:cNvGraphicFramePr>
            <a:graphic>
              <a:graphicData uri="http://schemas.openxmlformats.org/drawingml/2006/picture">
                <pic:pic>
                  <pic:nvPicPr>
                    <pic:cNvPr id="118" name="image155.png"/>
                    <pic:cNvPicPr/>
                  </pic:nvPicPr>
                  <pic:blipFill>
                    <a:blip r:embed="rId171" cstate="print"/>
                    <a:stretch>
                      <a:fillRect/>
                    </a:stretch>
                  </pic:blipFill>
                  <pic:spPr>
                    <a:xfrm>
                      <a:off x="0" y="0"/>
                      <a:ext cx="76200" cy="240792"/>
                    </a:xfrm>
                    <a:prstGeom prst="rect">
                      <a:avLst/>
                    </a:prstGeom>
                  </pic:spPr>
                </pic:pic>
              </a:graphicData>
            </a:graphic>
          </wp:anchor>
        </w:drawing>
      </w:r>
      <w:r>
        <w:rPr/>
        <w:pict>
          <v:group style="position:absolute;margin-left:213.600006pt;margin-top:310.559601pt;width:43.7pt;height:14.9pt;mso-position-horizontal-relative:page;mso-position-vertical-relative:page;z-index:3352" coordorigin="4272,6211" coordsize="874,298">
            <v:shape style="position:absolute;left:4272;top:6211;width:125;height:298" type="#_x0000_t75" stroked="false">
              <v:imagedata r:id="rId172" o:title=""/>
            </v:shape>
            <v:shape style="position:absolute;left:4459;top:6216;width:125;height:293" type="#_x0000_t75" stroked="false">
              <v:imagedata r:id="rId173" o:title=""/>
            </v:shape>
            <v:shape style="position:absolute;left:4651;top:6216;width:120;height:293" type="#_x0000_t75" stroked="false">
              <v:imagedata r:id="rId174" o:title=""/>
            </v:shape>
            <v:shape style="position:absolute;left:4838;top:6216;width:120;height:293" type="#_x0000_t75" stroked="false">
              <v:imagedata r:id="rId175" o:title=""/>
            </v:shape>
            <v:shape style="position:absolute;left:5026;top:6226;width:120;height:283" type="#_x0000_t75" stroked="false">
              <v:imagedata r:id="rId176" o:title=""/>
            </v:shape>
            <w10:wrap type="none"/>
          </v:group>
        </w:pict>
      </w:r>
      <w:r>
        <w:rPr/>
        <w:drawing>
          <wp:anchor distT="0" distB="0" distL="0" distR="0" allowOverlap="1" layoutInCell="1" locked="0" behindDoc="0" simplePos="0" relativeHeight="3376">
            <wp:simplePos x="0" y="0"/>
            <wp:positionH relativeFrom="page">
              <wp:posOffset>3371088</wp:posOffset>
            </wp:positionH>
            <wp:positionV relativeFrom="page">
              <wp:posOffset>3889242</wp:posOffset>
            </wp:positionV>
            <wp:extent cx="76200" cy="243840"/>
            <wp:effectExtent l="0" t="0" r="0" b="0"/>
            <wp:wrapNone/>
            <wp:docPr id="119" name="image161.png" descr=""/>
            <wp:cNvGraphicFramePr>
              <a:graphicFrameLocks noChangeAspect="1"/>
            </wp:cNvGraphicFramePr>
            <a:graphic>
              <a:graphicData uri="http://schemas.openxmlformats.org/drawingml/2006/picture">
                <pic:pic>
                  <pic:nvPicPr>
                    <pic:cNvPr id="120" name="image161.png"/>
                    <pic:cNvPicPr/>
                  </pic:nvPicPr>
                  <pic:blipFill>
                    <a:blip r:embed="rId177" cstate="print"/>
                    <a:stretch>
                      <a:fillRect/>
                    </a:stretch>
                  </pic:blipFill>
                  <pic:spPr>
                    <a:xfrm>
                      <a:off x="0" y="0"/>
                      <a:ext cx="76200" cy="243840"/>
                    </a:xfrm>
                    <a:prstGeom prst="rect">
                      <a:avLst/>
                    </a:prstGeom>
                  </pic:spPr>
                </pic:pic>
              </a:graphicData>
            </a:graphic>
          </wp:anchor>
        </w:drawing>
      </w:r>
      <w:r>
        <w:rPr/>
        <w:pict>
          <v:group style="position:absolute;margin-left:213.600006pt;margin-top:345.599609pt;width:43.7pt;height:14.4pt;mso-position-horizontal-relative:page;mso-position-vertical-relative:page;z-index:3400" coordorigin="4272,6912" coordsize="874,288">
            <v:shape style="position:absolute;left:4272;top:6912;width:125;height:288" type="#_x0000_t75" stroked="false">
              <v:imagedata r:id="rId178" o:title=""/>
            </v:shape>
            <v:shape style="position:absolute;left:4459;top:6912;width:125;height:288" type="#_x0000_t75" stroked="false">
              <v:imagedata r:id="rId179" o:title=""/>
            </v:shape>
            <v:shape style="position:absolute;left:4651;top:6917;width:120;height:283" type="#_x0000_t75" stroked="false">
              <v:imagedata r:id="rId180" o:title=""/>
            </v:shape>
            <v:shape style="position:absolute;left:4838;top:6917;width:120;height:283" type="#_x0000_t75" stroked="false">
              <v:imagedata r:id="rId181" o:title=""/>
            </v:shape>
            <v:shape style="position:absolute;left:5026;top:6912;width:120;height:288" type="#_x0000_t75" stroked="false">
              <v:imagedata r:id="rId182" o:title=""/>
            </v:shape>
            <w10:wrap type="none"/>
          </v:group>
        </w:pict>
      </w:r>
      <w:r>
        <w:rPr/>
        <w:drawing>
          <wp:anchor distT="0" distB="0" distL="0" distR="0" allowOverlap="1" layoutInCell="1" locked="0" behindDoc="0" simplePos="0" relativeHeight="3424">
            <wp:simplePos x="0" y="0"/>
            <wp:positionH relativeFrom="page">
              <wp:posOffset>3371088</wp:posOffset>
            </wp:positionH>
            <wp:positionV relativeFrom="page">
              <wp:posOffset>4334250</wp:posOffset>
            </wp:positionV>
            <wp:extent cx="76200" cy="237743"/>
            <wp:effectExtent l="0" t="0" r="0" b="0"/>
            <wp:wrapNone/>
            <wp:docPr id="121" name="image167.png" descr=""/>
            <wp:cNvGraphicFramePr>
              <a:graphicFrameLocks noChangeAspect="1"/>
            </wp:cNvGraphicFramePr>
            <a:graphic>
              <a:graphicData uri="http://schemas.openxmlformats.org/drawingml/2006/picture">
                <pic:pic>
                  <pic:nvPicPr>
                    <pic:cNvPr id="122" name="image167.png"/>
                    <pic:cNvPicPr/>
                  </pic:nvPicPr>
                  <pic:blipFill>
                    <a:blip r:embed="rId183" cstate="print"/>
                    <a:stretch>
                      <a:fillRect/>
                    </a:stretch>
                  </pic:blipFill>
                  <pic:spPr>
                    <a:xfrm>
                      <a:off x="0" y="0"/>
                      <a:ext cx="76200" cy="237743"/>
                    </a:xfrm>
                    <a:prstGeom prst="rect">
                      <a:avLst/>
                    </a:prstGeom>
                  </pic:spPr>
                </pic:pic>
              </a:graphicData>
            </a:graphic>
          </wp:anchor>
        </w:drawing>
      </w:r>
      <w:r>
        <w:rPr/>
        <w:drawing>
          <wp:anchor distT="0" distB="0" distL="0" distR="0" allowOverlap="1" layoutInCell="1" locked="0" behindDoc="0" simplePos="0" relativeHeight="3448">
            <wp:simplePos x="0" y="0"/>
            <wp:positionH relativeFrom="page">
              <wp:posOffset>3371088</wp:posOffset>
            </wp:positionH>
            <wp:positionV relativeFrom="page">
              <wp:posOffset>4806691</wp:posOffset>
            </wp:positionV>
            <wp:extent cx="76200" cy="179832"/>
            <wp:effectExtent l="0" t="0" r="0" b="0"/>
            <wp:wrapNone/>
            <wp:docPr id="123" name="image168.png" descr=""/>
            <wp:cNvGraphicFramePr>
              <a:graphicFrameLocks noChangeAspect="1"/>
            </wp:cNvGraphicFramePr>
            <a:graphic>
              <a:graphicData uri="http://schemas.openxmlformats.org/drawingml/2006/picture">
                <pic:pic>
                  <pic:nvPicPr>
                    <pic:cNvPr id="124" name="image168.png"/>
                    <pic:cNvPicPr/>
                  </pic:nvPicPr>
                  <pic:blipFill>
                    <a:blip r:embed="rId184" cstate="print"/>
                    <a:stretch>
                      <a:fillRect/>
                    </a:stretch>
                  </pic:blipFill>
                  <pic:spPr>
                    <a:xfrm>
                      <a:off x="0" y="0"/>
                      <a:ext cx="76200" cy="179832"/>
                    </a:xfrm>
                    <a:prstGeom prst="rect">
                      <a:avLst/>
                    </a:prstGeom>
                  </pic:spPr>
                </pic:pic>
              </a:graphicData>
            </a:graphic>
          </wp:anchor>
        </w:drawing>
      </w:r>
      <w:r>
        <w:rPr/>
        <w:pict>
          <v:group style="position:absolute;margin-left:213.600006pt;margin-top:381.599609pt;width:43.7pt;height:19pt;mso-position-horizontal-relative:page;mso-position-vertical-relative:page;z-index:3472" coordorigin="4272,7632" coordsize="874,380">
            <v:shape style="position:absolute;left:4272;top:7632;width:125;height:379" type="#_x0000_t75" stroked="false">
              <v:imagedata r:id="rId185" o:title=""/>
            </v:shape>
            <v:shape style="position:absolute;left:4459;top:7632;width:125;height:379" type="#_x0000_t75" stroked="false">
              <v:imagedata r:id="rId185" o:title=""/>
            </v:shape>
            <v:shape style="position:absolute;left:4651;top:7632;width:120;height:379" type="#_x0000_t75" stroked="false">
              <v:imagedata r:id="rId186" o:title=""/>
            </v:shape>
            <v:shape style="position:absolute;left:4838;top:7637;width:120;height:374" type="#_x0000_t75" stroked="false">
              <v:imagedata r:id="rId187" o:title=""/>
            </v:shape>
            <v:shape style="position:absolute;left:5026;top:7646;width:120;height:365" type="#_x0000_t75" stroked="false">
              <v:imagedata r:id="rId188" o:title=""/>
            </v:shape>
            <w10:wrap type="none"/>
          </v:group>
        </w:pict>
      </w:r>
      <w:r>
        <w:rPr/>
        <w:drawing>
          <wp:anchor distT="0" distB="0" distL="0" distR="0" allowOverlap="1" layoutInCell="1" locked="0" behindDoc="0" simplePos="0" relativeHeight="3496">
            <wp:simplePos x="0" y="0"/>
            <wp:positionH relativeFrom="page">
              <wp:posOffset>3371088</wp:posOffset>
            </wp:positionH>
            <wp:positionV relativeFrom="page">
              <wp:posOffset>5273034</wp:posOffset>
            </wp:positionV>
            <wp:extent cx="76200" cy="173736"/>
            <wp:effectExtent l="0" t="0" r="0" b="0"/>
            <wp:wrapNone/>
            <wp:docPr id="125" name="image173.png" descr=""/>
            <wp:cNvGraphicFramePr>
              <a:graphicFrameLocks noChangeAspect="1"/>
            </wp:cNvGraphicFramePr>
            <a:graphic>
              <a:graphicData uri="http://schemas.openxmlformats.org/drawingml/2006/picture">
                <pic:pic>
                  <pic:nvPicPr>
                    <pic:cNvPr id="126" name="image173.png"/>
                    <pic:cNvPicPr/>
                  </pic:nvPicPr>
                  <pic:blipFill>
                    <a:blip r:embed="rId189" cstate="print"/>
                    <a:stretch>
                      <a:fillRect/>
                    </a:stretch>
                  </pic:blipFill>
                  <pic:spPr>
                    <a:xfrm>
                      <a:off x="0" y="0"/>
                      <a:ext cx="76200" cy="173736"/>
                    </a:xfrm>
                    <a:prstGeom prst="rect">
                      <a:avLst/>
                    </a:prstGeom>
                  </pic:spPr>
                </pic:pic>
              </a:graphicData>
            </a:graphic>
          </wp:anchor>
        </w:drawing>
      </w:r>
      <w:r>
        <w:rPr/>
        <w:pict>
          <v:group style="position:absolute;margin-left:213.600006pt;margin-top:416.639587pt;width:43.7pt;height:17.55pt;mso-position-horizontal-relative:page;mso-position-vertical-relative:page;z-index:3520" coordorigin="4272,8333" coordsize="874,351">
            <v:shape style="position:absolute;left:4272;top:8338;width:125;height:341" type="#_x0000_t75" stroked="false">
              <v:imagedata r:id="rId190" o:title=""/>
            </v:shape>
            <v:shape style="position:absolute;left:4459;top:8333;width:125;height:346" type="#_x0000_t75" stroked="false">
              <v:imagedata r:id="rId191" o:title=""/>
            </v:shape>
            <v:shape style="position:absolute;left:5026;top:8338;width:120;height:341" type="#_x0000_t75" stroked="false">
              <v:imagedata r:id="rId192" o:title=""/>
            </v:shape>
            <v:shape style="position:absolute;left:4651;top:8333;width:307;height:350" type="#_x0000_t75" stroked="false">
              <v:imagedata r:id="rId193" o:title=""/>
            </v:shape>
            <w10:wrap type="none"/>
          </v:group>
        </w:pict>
      </w:r>
      <w:r>
        <w:rPr/>
        <w:drawing>
          <wp:anchor distT="0" distB="0" distL="0" distR="0" allowOverlap="1" layoutInCell="1" locked="0" behindDoc="0" simplePos="0" relativeHeight="3544">
            <wp:simplePos x="0" y="0"/>
            <wp:positionH relativeFrom="page">
              <wp:posOffset>3371088</wp:posOffset>
            </wp:positionH>
            <wp:positionV relativeFrom="page">
              <wp:posOffset>5766810</wp:posOffset>
            </wp:positionV>
            <wp:extent cx="76200" cy="176784"/>
            <wp:effectExtent l="0" t="0" r="0" b="0"/>
            <wp:wrapNone/>
            <wp:docPr id="127" name="image178.png" descr=""/>
            <wp:cNvGraphicFramePr>
              <a:graphicFrameLocks noChangeAspect="1"/>
            </wp:cNvGraphicFramePr>
            <a:graphic>
              <a:graphicData uri="http://schemas.openxmlformats.org/drawingml/2006/picture">
                <pic:pic>
                  <pic:nvPicPr>
                    <pic:cNvPr id="128" name="image178.png"/>
                    <pic:cNvPicPr/>
                  </pic:nvPicPr>
                  <pic:blipFill>
                    <a:blip r:embed="rId194" cstate="print"/>
                    <a:stretch>
                      <a:fillRect/>
                    </a:stretch>
                  </pic:blipFill>
                  <pic:spPr>
                    <a:xfrm>
                      <a:off x="0" y="0"/>
                      <a:ext cx="76200" cy="176784"/>
                    </a:xfrm>
                    <a:prstGeom prst="rect">
                      <a:avLst/>
                    </a:prstGeom>
                  </pic:spPr>
                </pic:pic>
              </a:graphicData>
            </a:graphic>
          </wp:anchor>
        </w:drawing>
      </w:r>
      <w:r>
        <w:rPr/>
        <w:pict>
          <v:group style="position:absolute;margin-left:213.600006pt;margin-top:456.959595pt;width:43.7pt;height:17.55pt;mso-position-horizontal-relative:page;mso-position-vertical-relative:page;z-index:3568" coordorigin="4272,9139" coordsize="874,351">
            <v:shape style="position:absolute;left:4651;top:9144;width:120;height:341" type="#_x0000_t75" stroked="false">
              <v:imagedata r:id="rId195" o:title=""/>
            </v:shape>
            <v:shape style="position:absolute;left:4272;top:9139;width:312;height:350" type="#_x0000_t75" stroked="false">
              <v:imagedata r:id="rId196" o:title=""/>
            </v:shape>
            <v:shape style="position:absolute;left:4838;top:9144;width:307;height:346" type="#_x0000_t75" stroked="false">
              <v:imagedata r:id="rId197" o:title=""/>
            </v:shape>
            <w10:wrap type="none"/>
          </v:group>
        </w:pict>
      </w:r>
      <w:r>
        <w:rPr/>
        <w:drawing>
          <wp:anchor distT="0" distB="0" distL="0" distR="0" allowOverlap="1" layoutInCell="1" locked="0" behindDoc="0" simplePos="0" relativeHeight="3592">
            <wp:simplePos x="0" y="0"/>
            <wp:positionH relativeFrom="page">
              <wp:posOffset>3371088</wp:posOffset>
            </wp:positionH>
            <wp:positionV relativeFrom="page">
              <wp:posOffset>6281922</wp:posOffset>
            </wp:positionV>
            <wp:extent cx="76200" cy="292608"/>
            <wp:effectExtent l="0" t="0" r="0" b="0"/>
            <wp:wrapNone/>
            <wp:docPr id="129" name="image182.png" descr=""/>
            <wp:cNvGraphicFramePr>
              <a:graphicFrameLocks noChangeAspect="1"/>
            </wp:cNvGraphicFramePr>
            <a:graphic>
              <a:graphicData uri="http://schemas.openxmlformats.org/drawingml/2006/picture">
                <pic:pic>
                  <pic:nvPicPr>
                    <pic:cNvPr id="130" name="image182.png"/>
                    <pic:cNvPicPr/>
                  </pic:nvPicPr>
                  <pic:blipFill>
                    <a:blip r:embed="rId198" cstate="print"/>
                    <a:stretch>
                      <a:fillRect/>
                    </a:stretch>
                  </pic:blipFill>
                  <pic:spPr>
                    <a:xfrm>
                      <a:off x="0" y="0"/>
                      <a:ext cx="76200" cy="292608"/>
                    </a:xfrm>
                    <a:prstGeom prst="rect">
                      <a:avLst/>
                    </a:prstGeom>
                  </pic:spPr>
                </pic:pic>
              </a:graphicData>
            </a:graphic>
          </wp:anchor>
        </w:drawing>
      </w:r>
      <w:r>
        <w:rPr/>
        <w:pict>
          <v:group style="position:absolute;margin-left:213.119995pt;margin-top:496.319611pt;width:44.2pt;height:21.6pt;mso-position-horizontal-relative:page;mso-position-vertical-relative:page;z-index:3616" coordorigin="4262,9926" coordsize="884,432">
            <v:shape style="position:absolute;left:4262;top:9926;width:134;height:432" type="#_x0000_t75" stroked="false">
              <v:imagedata r:id="rId199" o:title=""/>
            </v:shape>
            <v:shape style="position:absolute;left:4459;top:9931;width:125;height:427" type="#_x0000_t75" stroked="false">
              <v:imagedata r:id="rId200" o:title=""/>
            </v:shape>
            <v:shape style="position:absolute;left:4651;top:9931;width:120;height:427" type="#_x0000_t75" stroked="false">
              <v:imagedata r:id="rId201" o:title=""/>
            </v:shape>
            <v:shape style="position:absolute;left:4838;top:9926;width:307;height:432" type="#_x0000_t75" stroked="false">
              <v:imagedata r:id="rId202" o:title=""/>
            </v:shape>
            <w10:wrap type="none"/>
          </v:group>
        </w:pict>
      </w:r>
      <w:r>
        <w:rPr/>
        <w:drawing>
          <wp:anchor distT="0" distB="0" distL="0" distR="0" allowOverlap="1" layoutInCell="1" locked="0" behindDoc="0" simplePos="0" relativeHeight="3640">
            <wp:simplePos x="0" y="0"/>
            <wp:positionH relativeFrom="page">
              <wp:posOffset>3398520</wp:posOffset>
            </wp:positionH>
            <wp:positionV relativeFrom="page">
              <wp:posOffset>6833610</wp:posOffset>
            </wp:positionV>
            <wp:extent cx="79248" cy="240791"/>
            <wp:effectExtent l="0" t="0" r="0" b="0"/>
            <wp:wrapNone/>
            <wp:docPr id="131" name="image187.png" descr=""/>
            <wp:cNvGraphicFramePr>
              <a:graphicFrameLocks noChangeAspect="1"/>
            </wp:cNvGraphicFramePr>
            <a:graphic>
              <a:graphicData uri="http://schemas.openxmlformats.org/drawingml/2006/picture">
                <pic:pic>
                  <pic:nvPicPr>
                    <pic:cNvPr id="132" name="image187.png"/>
                    <pic:cNvPicPr/>
                  </pic:nvPicPr>
                  <pic:blipFill>
                    <a:blip r:embed="rId203" cstate="print"/>
                    <a:stretch>
                      <a:fillRect/>
                    </a:stretch>
                  </pic:blipFill>
                  <pic:spPr>
                    <a:xfrm>
                      <a:off x="0" y="0"/>
                      <a:ext cx="79248" cy="240791"/>
                    </a:xfrm>
                    <a:prstGeom prst="rect">
                      <a:avLst/>
                    </a:prstGeom>
                  </pic:spPr>
                </pic:pic>
              </a:graphicData>
            </a:graphic>
          </wp:anchor>
        </w:drawing>
      </w:r>
      <w:r>
        <w:rPr/>
        <w:drawing>
          <wp:anchor distT="0" distB="0" distL="0" distR="0" allowOverlap="1" layoutInCell="1" locked="0" behindDoc="0" simplePos="0" relativeHeight="3664">
            <wp:simplePos x="0" y="0"/>
            <wp:positionH relativeFrom="page">
              <wp:posOffset>3383279</wp:posOffset>
            </wp:positionH>
            <wp:positionV relativeFrom="page">
              <wp:posOffset>7592562</wp:posOffset>
            </wp:positionV>
            <wp:extent cx="79248" cy="219456"/>
            <wp:effectExtent l="0" t="0" r="0" b="0"/>
            <wp:wrapNone/>
            <wp:docPr id="133" name="image188.png" descr=""/>
            <wp:cNvGraphicFramePr>
              <a:graphicFrameLocks noChangeAspect="1"/>
            </wp:cNvGraphicFramePr>
            <a:graphic>
              <a:graphicData uri="http://schemas.openxmlformats.org/drawingml/2006/picture">
                <pic:pic>
                  <pic:nvPicPr>
                    <pic:cNvPr id="134" name="image188.png"/>
                    <pic:cNvPicPr/>
                  </pic:nvPicPr>
                  <pic:blipFill>
                    <a:blip r:embed="rId204" cstate="print"/>
                    <a:stretch>
                      <a:fillRect/>
                    </a:stretch>
                  </pic:blipFill>
                  <pic:spPr>
                    <a:xfrm>
                      <a:off x="0" y="0"/>
                      <a:ext cx="79248" cy="219456"/>
                    </a:xfrm>
                    <a:prstGeom prst="rect">
                      <a:avLst/>
                    </a:prstGeom>
                  </pic:spPr>
                </pic:pic>
              </a:graphicData>
            </a:graphic>
          </wp:anchor>
        </w:drawing>
      </w:r>
    </w:p>
    <w:p>
      <w:pPr>
        <w:spacing w:after="0"/>
        <w:rPr>
          <w:rFonts w:ascii="Times New Roman"/>
          <w:sz w:val="17"/>
        </w:rPr>
        <w:sectPr>
          <w:pgSz w:w="11900" w:h="16840"/>
          <w:pgMar w:header="0" w:footer="1616" w:top="1600" w:bottom="1800" w:left="1580" w:right="1680"/>
        </w:sectPr>
      </w:pPr>
    </w:p>
    <w:p>
      <w:pPr>
        <w:pStyle w:val="BodyText"/>
        <w:rPr>
          <w:rFonts w:ascii="Times New Roman"/>
          <w:sz w:val="20"/>
        </w:rPr>
      </w:pPr>
    </w:p>
    <w:p>
      <w:pPr>
        <w:pStyle w:val="BodyText"/>
        <w:rPr>
          <w:rFonts w:ascii="Times New Roman"/>
          <w:sz w:val="16"/>
        </w:rPr>
      </w:pPr>
    </w:p>
    <w:p>
      <w:pPr>
        <w:spacing w:line="280" w:lineRule="auto" w:before="77"/>
        <w:ind w:left="101" w:right="114" w:firstLine="0"/>
        <w:jc w:val="both"/>
        <w:rPr>
          <w:rFonts w:ascii="Times New Roman"/>
          <w:sz w:val="21"/>
        </w:rPr>
      </w:pPr>
      <w:r>
        <w:rPr>
          <w:rFonts w:ascii="Times New Roman"/>
          <w:sz w:val="21"/>
        </w:rPr>
        <w:t>Plasma protein was increased (P=0.001; linear effect) on days 0 and 60 continued to days 30 and     45, but it was decreased on day 30 of the experiment. No significant differences were observed in MHC, blood cells, segmented neutrophils, lymphocytes, basophils and eosinophils among days of sampling during the</w:t>
      </w:r>
      <w:r>
        <w:rPr>
          <w:rFonts w:ascii="Times New Roman"/>
          <w:spacing w:val="37"/>
          <w:sz w:val="21"/>
        </w:rPr>
        <w:t> </w:t>
      </w:r>
      <w:r>
        <w:rPr>
          <w:rFonts w:ascii="Times New Roman"/>
          <w:sz w:val="21"/>
        </w:rPr>
        <w:t>experiment.</w:t>
      </w:r>
    </w:p>
    <w:p>
      <w:pPr>
        <w:pStyle w:val="BodyText"/>
        <w:rPr>
          <w:rFonts w:ascii="Times New Roman"/>
          <w:sz w:val="20"/>
        </w:rPr>
      </w:pPr>
    </w:p>
    <w:p>
      <w:pPr>
        <w:pStyle w:val="BodyText"/>
        <w:spacing w:before="9"/>
        <w:rPr>
          <w:rFonts w:ascii="Times New Roman"/>
          <w:sz w:val="24"/>
        </w:rPr>
      </w:pPr>
    </w:p>
    <w:p>
      <w:pPr>
        <w:spacing w:before="1"/>
        <w:ind w:left="101" w:right="0" w:firstLine="0"/>
        <w:jc w:val="both"/>
        <w:rPr>
          <w:rFonts w:ascii="Times New Roman"/>
          <w:sz w:val="21"/>
        </w:rPr>
      </w:pPr>
      <w:r>
        <w:rPr>
          <w:rFonts w:ascii="Times New Roman"/>
          <w:sz w:val="21"/>
        </w:rPr>
        <w:t>DISCUSSION</w:t>
      </w:r>
    </w:p>
    <w:p>
      <w:pPr>
        <w:pStyle w:val="BodyText"/>
        <w:spacing w:before="8"/>
        <w:rPr>
          <w:rFonts w:ascii="Times New Roman"/>
          <w:sz w:val="25"/>
        </w:rPr>
      </w:pPr>
    </w:p>
    <w:p>
      <w:pPr>
        <w:spacing w:line="280" w:lineRule="auto" w:before="0"/>
        <w:ind w:left="101" w:right="112" w:firstLine="0"/>
        <w:jc w:val="both"/>
        <w:rPr>
          <w:rFonts w:ascii="Times New Roman" w:hAnsi="Times New Roman"/>
          <w:sz w:val="21"/>
        </w:rPr>
      </w:pPr>
      <w:r>
        <w:rPr>
          <w:rFonts w:ascii="Times New Roman" w:hAnsi="Times New Roman"/>
          <w:sz w:val="21"/>
        </w:rPr>
        <w:t>In this study, none of the treatments of EZ, SB or EZSB had any effect on blood  parameters measured as an indicator for animal health. </w:t>
      </w:r>
      <w:r>
        <w:rPr>
          <w:rFonts w:ascii="Times New Roman" w:hAnsi="Times New Roman"/>
          <w:spacing w:val="-3"/>
          <w:sz w:val="21"/>
        </w:rPr>
        <w:t>It </w:t>
      </w:r>
      <w:r>
        <w:rPr>
          <w:rFonts w:ascii="Times New Roman" w:hAnsi="Times New Roman"/>
          <w:sz w:val="21"/>
        </w:rPr>
        <w:t>has been shown that the use of  EZ  improves  utilization of nutrients in the feed through its effect on their degradation and absorption. This effect was not demonstrated on blood parameters and is consistent with Salem et al. (2011a) who showed that the lambs that consumed EZ treatment did not have signs of disease with the daily addition of    10 g/lamb/day of ZADO</w:t>
      </w:r>
      <w:r>
        <w:rPr>
          <w:rFonts w:ascii="Times New Roman" w:hAnsi="Times New Roman"/>
          <w:position w:val="10"/>
          <w:sz w:val="13"/>
        </w:rPr>
        <w:t>® </w:t>
      </w:r>
      <w:r>
        <w:rPr>
          <w:rFonts w:ascii="Times New Roman" w:hAnsi="Times New Roman"/>
          <w:sz w:val="21"/>
        </w:rPr>
        <w:t>and increased nutrient digestibilities and average daily gain in sheep and goat. </w:t>
      </w:r>
      <w:r>
        <w:rPr>
          <w:rFonts w:ascii="Times New Roman" w:hAnsi="Times New Roman"/>
          <w:spacing w:val="-3"/>
          <w:sz w:val="21"/>
        </w:rPr>
        <w:t>In </w:t>
      </w:r>
      <w:r>
        <w:rPr>
          <w:rFonts w:ascii="Times New Roman" w:hAnsi="Times New Roman"/>
          <w:sz w:val="21"/>
        </w:rPr>
        <w:t>the present study, white blood cells did not differ (P=0.146) among treatments that could </w:t>
      </w:r>
      <w:r>
        <w:rPr>
          <w:rFonts w:ascii="Times New Roman" w:hAnsi="Times New Roman"/>
          <w:spacing w:val="-3"/>
          <w:sz w:val="21"/>
        </w:rPr>
        <w:t>be </w:t>
      </w:r>
      <w:r>
        <w:rPr>
          <w:rFonts w:ascii="Times New Roman" w:hAnsi="Times New Roman"/>
          <w:sz w:val="21"/>
        </w:rPr>
        <w:t>very important results for the role of these cells in immune response innate and acquired as  phagocytic cells, antigen presenting cells and cytokine-producing cells (Provenza  and  Villalba, 2010). These results may be confirm  the validity to  use the SB extract  as feed additive instead of   the EZ preparation taking in account the other effects on animal performance. The present results of no impact of treatments on blood parameters is an important finding in the case of those lambs that consumed extract of </w:t>
      </w:r>
      <w:r>
        <w:rPr>
          <w:rFonts w:ascii="Times New Roman" w:hAnsi="Times New Roman"/>
          <w:i/>
          <w:sz w:val="21"/>
        </w:rPr>
        <w:t>S. babylonica </w:t>
      </w:r>
      <w:r>
        <w:rPr>
          <w:rFonts w:ascii="Times New Roman" w:hAnsi="Times New Roman"/>
          <w:sz w:val="21"/>
        </w:rPr>
        <w:t>because they contain secondary compounds which could be expected to have a detrimental effect on cellular components and protein in blood mainly because     of the presence of tannins and saponins (Khalil and El-Adawy, 1994).  </w:t>
      </w:r>
      <w:r>
        <w:rPr>
          <w:rFonts w:ascii="Times New Roman" w:hAnsi="Times New Roman"/>
          <w:spacing w:val="-3"/>
          <w:sz w:val="21"/>
        </w:rPr>
        <w:t>It  </w:t>
      </w:r>
      <w:r>
        <w:rPr>
          <w:rFonts w:ascii="Times New Roman" w:hAnsi="Times New Roman"/>
          <w:sz w:val="21"/>
        </w:rPr>
        <w:t>is  known  that  saponinshave ahaemolytic activity when it was used in high concentration and may cause death to animals by the affinity of the aglyconesaponins with cell  membrane  cholesterol  (sterol)  which forms a complex and increase in cellular permeability with subsequent loss of haemoglobin (Wang    et al., 2007). </w:t>
      </w:r>
      <w:r>
        <w:rPr>
          <w:rFonts w:ascii="Times New Roman" w:hAnsi="Times New Roman"/>
          <w:spacing w:val="-3"/>
          <w:sz w:val="21"/>
        </w:rPr>
        <w:t>In </w:t>
      </w:r>
      <w:r>
        <w:rPr>
          <w:rFonts w:ascii="Times New Roman" w:hAnsi="Times New Roman"/>
          <w:sz w:val="21"/>
        </w:rPr>
        <w:t>the present study, the dose used of secondary compounds in the extract was low therefore we expected that animals consuming extract of </w:t>
      </w:r>
      <w:r>
        <w:rPr>
          <w:rFonts w:ascii="Times New Roman" w:hAnsi="Times New Roman"/>
          <w:i/>
          <w:sz w:val="21"/>
        </w:rPr>
        <w:t>S. babylonica </w:t>
      </w:r>
      <w:r>
        <w:rPr>
          <w:rFonts w:ascii="Times New Roman" w:hAnsi="Times New Roman"/>
          <w:sz w:val="21"/>
        </w:rPr>
        <w:t>would  increase red blood  cells and also have a high  amount of circulating haemoglobin in  blood which did  not happen  and the  haemoglobin  values are  within the range  for  lamb of  similar age. Mahgoub et  al.  (2008)</w:t>
      </w:r>
      <w:r>
        <w:rPr>
          <w:rFonts w:ascii="Times New Roman" w:hAnsi="Times New Roman"/>
          <w:spacing w:val="5"/>
          <w:sz w:val="21"/>
        </w:rPr>
        <w:t> </w:t>
      </w:r>
      <w:r>
        <w:rPr>
          <w:rFonts w:ascii="Times New Roman" w:hAnsi="Times New Roman"/>
          <w:sz w:val="21"/>
        </w:rPr>
        <w:t>used</w:t>
      </w:r>
    </w:p>
    <w:p>
      <w:pPr>
        <w:spacing w:line="280" w:lineRule="auto" w:before="2"/>
        <w:ind w:left="101" w:right="115" w:firstLine="0"/>
        <w:jc w:val="both"/>
        <w:rPr>
          <w:rFonts w:ascii="Times New Roman"/>
          <w:sz w:val="21"/>
        </w:rPr>
      </w:pPr>
      <w:r>
        <w:rPr>
          <w:rFonts w:ascii="Times New Roman"/>
          <w:sz w:val="21"/>
        </w:rPr>
        <w:t>unconventional feed high in phenolics and condensed tannins  in sheep to evaluate  their effect  on   the clinical profile of the animals, and they noted that a negative effect on haematocrit (Mahgoub et al., 2008). These authors also assumed that the detrimental effect of the secondary compound was dependent on the animal species that consume secondary metabolites  (Provenza  and  Villalba,  2010).</w:t>
      </w:r>
    </w:p>
    <w:p>
      <w:pPr>
        <w:spacing w:after="0" w:line="280" w:lineRule="auto"/>
        <w:jc w:val="both"/>
        <w:rPr>
          <w:rFonts w:ascii="Times New Roman"/>
          <w:sz w:val="21"/>
        </w:rPr>
        <w:sectPr>
          <w:pgSz w:w="11900" w:h="16840"/>
          <w:pgMar w:header="0" w:footer="1616" w:top="1600" w:bottom="1800" w:left="1540" w:right="1560"/>
        </w:sectPr>
      </w:pPr>
    </w:p>
    <w:p>
      <w:pPr>
        <w:pStyle w:val="BodyText"/>
        <w:rPr>
          <w:rFonts w:ascii="Times New Roman"/>
          <w:sz w:val="20"/>
        </w:rPr>
      </w:pPr>
    </w:p>
    <w:p>
      <w:pPr>
        <w:pStyle w:val="BodyText"/>
        <w:rPr>
          <w:rFonts w:ascii="Times New Roman"/>
          <w:sz w:val="16"/>
        </w:rPr>
      </w:pPr>
    </w:p>
    <w:p>
      <w:pPr>
        <w:spacing w:line="280" w:lineRule="auto" w:before="77"/>
        <w:ind w:left="101" w:right="155" w:firstLine="0"/>
        <w:jc w:val="both"/>
        <w:rPr>
          <w:rFonts w:ascii="Times New Roman"/>
          <w:sz w:val="21"/>
        </w:rPr>
      </w:pPr>
      <w:r>
        <w:rPr>
          <w:rFonts w:ascii="Times New Roman"/>
          <w:sz w:val="21"/>
        </w:rPr>
        <w:t>Time of sampling had effects on red blood cells, haematocrit, haemoglobin, MCV, monocytes and plasma protein. This may be because ruminants have the ability to adapt to the consumption of    plants with high content of secondary compounds such as </w:t>
      </w:r>
      <w:r>
        <w:rPr>
          <w:rFonts w:ascii="Times New Roman"/>
          <w:i/>
          <w:sz w:val="21"/>
        </w:rPr>
        <w:t>S. babylonica</w:t>
      </w:r>
      <w:r>
        <w:rPr>
          <w:rFonts w:ascii="Times New Roman"/>
          <w:sz w:val="21"/>
        </w:rPr>
        <w:t>, </w:t>
      </w:r>
      <w:r>
        <w:rPr>
          <w:rFonts w:ascii="Times New Roman"/>
          <w:spacing w:val="-3"/>
          <w:sz w:val="21"/>
        </w:rPr>
        <w:t>or </w:t>
      </w:r>
      <w:r>
        <w:rPr>
          <w:rFonts w:ascii="Times New Roman"/>
          <w:sz w:val="21"/>
        </w:rPr>
        <w:t>EZ addition that  improved</w:t>
      </w:r>
      <w:r>
        <w:rPr>
          <w:rFonts w:ascii="Times New Roman"/>
          <w:spacing w:val="14"/>
          <w:sz w:val="21"/>
        </w:rPr>
        <w:t> </w:t>
      </w:r>
      <w:r>
        <w:rPr>
          <w:rFonts w:ascii="Times New Roman"/>
          <w:sz w:val="21"/>
        </w:rPr>
        <w:t>ruminal</w:t>
      </w:r>
      <w:r>
        <w:rPr>
          <w:rFonts w:ascii="Times New Roman"/>
          <w:spacing w:val="20"/>
          <w:sz w:val="21"/>
        </w:rPr>
        <w:t> </w:t>
      </w:r>
      <w:r>
        <w:rPr>
          <w:rFonts w:ascii="Times New Roman"/>
          <w:sz w:val="21"/>
        </w:rPr>
        <w:t>microorganisms</w:t>
      </w:r>
      <w:r>
        <w:rPr>
          <w:rFonts w:ascii="Times New Roman"/>
          <w:spacing w:val="16"/>
          <w:sz w:val="21"/>
        </w:rPr>
        <w:t> </w:t>
      </w:r>
      <w:r>
        <w:rPr>
          <w:rFonts w:ascii="Times New Roman"/>
          <w:sz w:val="21"/>
        </w:rPr>
        <w:t>activities</w:t>
      </w:r>
      <w:r>
        <w:rPr>
          <w:rFonts w:ascii="Times New Roman"/>
          <w:spacing w:val="16"/>
          <w:sz w:val="21"/>
        </w:rPr>
        <w:t> </w:t>
      </w:r>
      <w:r>
        <w:rPr>
          <w:rFonts w:ascii="Times New Roman"/>
          <w:sz w:val="21"/>
        </w:rPr>
        <w:t>with</w:t>
      </w:r>
      <w:r>
        <w:rPr>
          <w:rFonts w:ascii="Times New Roman"/>
          <w:spacing w:val="14"/>
          <w:sz w:val="21"/>
        </w:rPr>
        <w:t> </w:t>
      </w:r>
      <w:r>
        <w:rPr>
          <w:rFonts w:ascii="Times New Roman"/>
          <w:sz w:val="21"/>
        </w:rPr>
        <w:t>increasing</w:t>
      </w:r>
      <w:r>
        <w:rPr>
          <w:rFonts w:ascii="Times New Roman"/>
          <w:spacing w:val="14"/>
          <w:sz w:val="21"/>
        </w:rPr>
        <w:t> </w:t>
      </w:r>
      <w:r>
        <w:rPr>
          <w:rFonts w:ascii="Times New Roman"/>
          <w:sz w:val="21"/>
        </w:rPr>
        <w:t>the</w:t>
      </w:r>
      <w:r>
        <w:rPr>
          <w:rFonts w:ascii="Times New Roman"/>
          <w:spacing w:val="17"/>
          <w:sz w:val="21"/>
        </w:rPr>
        <w:t> </w:t>
      </w:r>
      <w:r>
        <w:rPr>
          <w:rFonts w:ascii="Times New Roman"/>
          <w:sz w:val="21"/>
        </w:rPr>
        <w:t>time</w:t>
      </w:r>
      <w:r>
        <w:rPr>
          <w:rFonts w:ascii="Times New Roman"/>
          <w:spacing w:val="20"/>
          <w:sz w:val="21"/>
        </w:rPr>
        <w:t> </w:t>
      </w:r>
      <w:r>
        <w:rPr>
          <w:rFonts w:ascii="Times New Roman"/>
          <w:sz w:val="21"/>
        </w:rPr>
        <w:t>of</w:t>
      </w:r>
      <w:r>
        <w:rPr>
          <w:rFonts w:ascii="Times New Roman"/>
          <w:spacing w:val="16"/>
          <w:sz w:val="21"/>
        </w:rPr>
        <w:t> </w:t>
      </w:r>
      <w:r>
        <w:rPr>
          <w:rFonts w:ascii="Times New Roman"/>
          <w:sz w:val="21"/>
        </w:rPr>
        <w:t>feeding</w:t>
      </w:r>
      <w:r>
        <w:rPr>
          <w:rFonts w:ascii="Times New Roman"/>
          <w:spacing w:val="12"/>
          <w:sz w:val="21"/>
        </w:rPr>
        <w:t> </w:t>
      </w:r>
      <w:r>
        <w:rPr>
          <w:rFonts w:ascii="Times New Roman"/>
          <w:sz w:val="21"/>
        </w:rPr>
        <w:t>diets</w:t>
      </w:r>
      <w:r>
        <w:rPr>
          <w:rFonts w:ascii="Times New Roman"/>
          <w:spacing w:val="16"/>
          <w:sz w:val="21"/>
        </w:rPr>
        <w:t> </w:t>
      </w:r>
      <w:r>
        <w:rPr>
          <w:rFonts w:ascii="Times New Roman"/>
          <w:sz w:val="21"/>
        </w:rPr>
        <w:t>with</w:t>
      </w:r>
      <w:r>
        <w:rPr>
          <w:rFonts w:ascii="Times New Roman"/>
          <w:spacing w:val="12"/>
          <w:sz w:val="21"/>
        </w:rPr>
        <w:t> </w:t>
      </w:r>
      <w:r>
        <w:rPr>
          <w:rFonts w:ascii="Times New Roman"/>
          <w:sz w:val="21"/>
        </w:rPr>
        <w:t>EZ</w:t>
      </w:r>
      <w:r>
        <w:rPr>
          <w:rFonts w:ascii="Times New Roman"/>
          <w:spacing w:val="14"/>
          <w:sz w:val="21"/>
        </w:rPr>
        <w:t> </w:t>
      </w:r>
      <w:r>
        <w:rPr>
          <w:rFonts w:ascii="Times New Roman"/>
          <w:sz w:val="21"/>
        </w:rPr>
        <w:t>until</w:t>
      </w:r>
    </w:p>
    <w:p>
      <w:pPr>
        <w:spacing w:line="280" w:lineRule="auto" w:before="4"/>
        <w:ind w:left="101" w:right="152" w:firstLine="0"/>
        <w:jc w:val="both"/>
        <w:rPr>
          <w:rFonts w:ascii="Times New Roman"/>
          <w:sz w:val="21"/>
        </w:rPr>
      </w:pPr>
      <w:r>
        <w:rPr>
          <w:rFonts w:ascii="Times New Roman"/>
          <w:sz w:val="21"/>
        </w:rPr>
        <w:t>60 days (Salem et al., 2011b). Other haematological parameters such as white blood  cells,  segmented neutrophils, lymphocytes, basophils and eosinophils were not affected by the sampling time. This result is contradictory because </w:t>
      </w:r>
      <w:r>
        <w:rPr>
          <w:rFonts w:ascii="Times New Roman"/>
          <w:i/>
          <w:sz w:val="21"/>
        </w:rPr>
        <w:t>S. babylonica </w:t>
      </w:r>
      <w:r>
        <w:rPr>
          <w:rFonts w:ascii="Times New Roman"/>
          <w:sz w:val="21"/>
        </w:rPr>
        <w:t>secondary compounds have been shown to have effect on white blood cells and their immunostimulatory activity  (Provenza  and  Villalba, 2010). Some studies revealed that ginsenosides and astragalussaponins strengthen the phagocytic function of the reticuloendothelial system, elevate the lymphocyte transformation rate and promote antibody formation (Liu et al., 2011). Saponinshave direct effect on the immune system produced a variety of specific antigens and stimulate specific immune response (Weng et al.,  2010).  Addition   of EZ also may be affect on the animal immune </w:t>
      </w:r>
      <w:r>
        <w:rPr>
          <w:rFonts w:ascii="Times New Roman"/>
          <w:spacing w:val="20"/>
          <w:sz w:val="21"/>
        </w:rPr>
        <w:t> </w:t>
      </w:r>
      <w:r>
        <w:rPr>
          <w:rFonts w:ascii="Times New Roman"/>
          <w:sz w:val="21"/>
        </w:rPr>
        <w:t>response.</w:t>
      </w:r>
    </w:p>
    <w:p>
      <w:pPr>
        <w:pStyle w:val="BodyText"/>
        <w:rPr>
          <w:rFonts w:ascii="Times New Roman"/>
          <w:sz w:val="20"/>
        </w:rPr>
      </w:pPr>
    </w:p>
    <w:p>
      <w:pPr>
        <w:pStyle w:val="BodyText"/>
        <w:spacing w:before="9"/>
        <w:rPr>
          <w:rFonts w:ascii="Times New Roman"/>
          <w:sz w:val="24"/>
        </w:rPr>
      </w:pPr>
    </w:p>
    <w:p>
      <w:pPr>
        <w:spacing w:before="1"/>
        <w:ind w:left="101" w:right="0" w:firstLine="0"/>
        <w:jc w:val="both"/>
        <w:rPr>
          <w:rFonts w:ascii="Times New Roman"/>
          <w:sz w:val="21"/>
        </w:rPr>
      </w:pPr>
      <w:r>
        <w:rPr>
          <w:rFonts w:ascii="Times New Roman"/>
          <w:sz w:val="21"/>
        </w:rPr>
        <w:t>CONCLUSIONS</w:t>
      </w:r>
    </w:p>
    <w:p>
      <w:pPr>
        <w:pStyle w:val="BodyText"/>
        <w:rPr>
          <w:rFonts w:ascii="Times New Roman"/>
          <w:sz w:val="20"/>
        </w:rPr>
      </w:pPr>
    </w:p>
    <w:p>
      <w:pPr>
        <w:pStyle w:val="BodyText"/>
        <w:spacing w:before="5"/>
        <w:rPr>
          <w:rFonts w:ascii="Times New Roman"/>
          <w:sz w:val="28"/>
        </w:rPr>
      </w:pPr>
    </w:p>
    <w:p>
      <w:pPr>
        <w:spacing w:line="280" w:lineRule="auto" w:before="0"/>
        <w:ind w:left="101" w:right="152" w:firstLine="0"/>
        <w:jc w:val="both"/>
        <w:rPr>
          <w:rFonts w:ascii="Times New Roman"/>
          <w:sz w:val="21"/>
        </w:rPr>
      </w:pPr>
      <w:r>
        <w:rPr>
          <w:rFonts w:ascii="Times New Roman"/>
          <w:sz w:val="21"/>
        </w:rPr>
        <w:t>The exogenous enzymes and </w:t>
      </w:r>
      <w:r>
        <w:rPr>
          <w:rFonts w:ascii="Times New Roman"/>
          <w:i/>
          <w:sz w:val="21"/>
        </w:rPr>
        <w:t>Salix babylonica </w:t>
      </w:r>
      <w:r>
        <w:rPr>
          <w:rFonts w:ascii="Times New Roman"/>
          <w:sz w:val="21"/>
        </w:rPr>
        <w:t>extract, either individually or in combination had no effect on haematological parameters of lamb as an indicator health status during the 60-day experiment.</w:t>
      </w:r>
    </w:p>
    <w:p>
      <w:pPr>
        <w:pStyle w:val="BodyText"/>
        <w:rPr>
          <w:rFonts w:ascii="Times New Roman"/>
          <w:sz w:val="20"/>
        </w:rPr>
      </w:pPr>
    </w:p>
    <w:p>
      <w:pPr>
        <w:pStyle w:val="BodyText"/>
        <w:spacing w:before="7"/>
        <w:rPr>
          <w:rFonts w:ascii="Times New Roman"/>
          <w:sz w:val="24"/>
        </w:rPr>
      </w:pPr>
    </w:p>
    <w:p>
      <w:pPr>
        <w:spacing w:before="0"/>
        <w:ind w:left="101" w:right="0" w:firstLine="0"/>
        <w:jc w:val="both"/>
        <w:rPr>
          <w:rFonts w:ascii="Times New Roman"/>
          <w:sz w:val="21"/>
        </w:rPr>
      </w:pPr>
      <w:r>
        <w:rPr>
          <w:rFonts w:ascii="Times New Roman"/>
          <w:sz w:val="21"/>
        </w:rPr>
        <w:t>REFERENCES</w:t>
      </w:r>
    </w:p>
    <w:p>
      <w:pPr>
        <w:pStyle w:val="BodyText"/>
        <w:rPr>
          <w:rFonts w:ascii="Times New Roman"/>
          <w:sz w:val="20"/>
        </w:rPr>
      </w:pPr>
    </w:p>
    <w:p>
      <w:pPr>
        <w:pStyle w:val="BodyText"/>
        <w:spacing w:before="11"/>
        <w:rPr>
          <w:rFonts w:ascii="Times New Roman"/>
          <w:sz w:val="20"/>
        </w:rPr>
      </w:pPr>
    </w:p>
    <w:p>
      <w:pPr>
        <w:spacing w:line="247" w:lineRule="auto" w:before="0"/>
        <w:ind w:left="116" w:right="119" w:firstLine="0"/>
        <w:jc w:val="both"/>
        <w:rPr>
          <w:rFonts w:ascii="Times New Roman"/>
          <w:sz w:val="21"/>
        </w:rPr>
      </w:pPr>
      <w:r>
        <w:rPr>
          <w:rFonts w:ascii="Times New Roman"/>
          <w:sz w:val="21"/>
        </w:rPr>
        <w:t>Ahmed V.U., Perveen S., Bano S., 1990. Saponin from the leaves of </w:t>
      </w:r>
      <w:r>
        <w:rPr>
          <w:rFonts w:ascii="Times New Roman"/>
          <w:i/>
          <w:sz w:val="21"/>
        </w:rPr>
        <w:t>Guaiacum officinale</w:t>
      </w:r>
      <w:r>
        <w:rPr>
          <w:rFonts w:ascii="Times New Roman"/>
          <w:sz w:val="21"/>
        </w:rPr>
        <w:t>. Phytochemistry 29, 3287-3290</w:t>
      </w:r>
    </w:p>
    <w:p>
      <w:pPr>
        <w:spacing w:line="244" w:lineRule="auto" w:before="0"/>
        <w:ind w:left="115" w:right="119" w:firstLine="0"/>
        <w:jc w:val="both"/>
        <w:rPr>
          <w:rFonts w:ascii="Times New Roman"/>
          <w:sz w:val="21"/>
        </w:rPr>
      </w:pPr>
      <w:r>
        <w:rPr>
          <w:rFonts w:ascii="Times New Roman"/>
          <w:sz w:val="21"/>
        </w:rPr>
        <w:t>Archer, R.K., Jeffcott L.B., 1977. Comparative Clinical Haemotology.Archer</w:t>
      </w:r>
      <w:r>
        <w:rPr>
          <w:rFonts w:ascii="Times New Roman"/>
          <w:color w:val="212121"/>
          <w:sz w:val="21"/>
        </w:rPr>
        <w:t>, </w:t>
      </w:r>
      <w:r>
        <w:rPr>
          <w:rFonts w:ascii="Times New Roman"/>
          <w:sz w:val="21"/>
        </w:rPr>
        <w:t>R.K.</w:t>
      </w:r>
      <w:r>
        <w:rPr>
          <w:rFonts w:ascii="Times New Roman"/>
          <w:color w:val="212121"/>
          <w:sz w:val="21"/>
        </w:rPr>
        <w:t>&amp;</w:t>
      </w:r>
      <w:r>
        <w:rPr>
          <w:rFonts w:ascii="Times New Roman"/>
          <w:sz w:val="21"/>
        </w:rPr>
        <w:t>L.B. Jeffcott</w:t>
      </w:r>
      <w:r>
        <w:rPr>
          <w:rFonts w:ascii="Times New Roman"/>
          <w:color w:val="212121"/>
          <w:sz w:val="21"/>
        </w:rPr>
        <w:t>. (Editors). Internet Bookshop UK Ltd. Gloucestershire, GLS  (UK)</w:t>
      </w:r>
    </w:p>
    <w:p>
      <w:pPr>
        <w:spacing w:line="240" w:lineRule="exact" w:before="0"/>
        <w:ind w:left="115" w:right="0" w:firstLine="0"/>
        <w:jc w:val="both"/>
        <w:rPr>
          <w:rFonts w:ascii="Times New Roman"/>
          <w:sz w:val="13"/>
        </w:rPr>
      </w:pPr>
      <w:r>
        <w:rPr>
          <w:rFonts w:ascii="Times New Roman"/>
          <w:sz w:val="21"/>
        </w:rPr>
        <w:t>AOAC,1997.Association  of  Official  Analytical  Chemists,  Official  Methods  of  Analysis.      </w:t>
      </w:r>
      <w:r>
        <w:rPr>
          <w:rFonts w:ascii="Times New Roman"/>
          <w:spacing w:val="50"/>
          <w:sz w:val="21"/>
        </w:rPr>
        <w:t> </w:t>
      </w:r>
      <w:r>
        <w:rPr>
          <w:rFonts w:ascii="Times New Roman"/>
          <w:sz w:val="21"/>
        </w:rPr>
        <w:t>16</w:t>
      </w:r>
      <w:r>
        <w:rPr>
          <w:rFonts w:ascii="Times New Roman"/>
          <w:position w:val="10"/>
          <w:sz w:val="13"/>
        </w:rPr>
        <w:t>th</w:t>
      </w:r>
    </w:p>
    <w:p>
      <w:pPr>
        <w:spacing w:before="3"/>
        <w:ind w:left="115" w:right="0" w:firstLine="0"/>
        <w:jc w:val="both"/>
        <w:rPr>
          <w:rFonts w:ascii="Times New Roman"/>
          <w:sz w:val="21"/>
        </w:rPr>
      </w:pPr>
      <w:r>
        <w:rPr>
          <w:rFonts w:ascii="Times New Roman"/>
          <w:sz w:val="21"/>
        </w:rPr>
        <w:t>Edition. Arlington, VA</w:t>
      </w:r>
    </w:p>
    <w:p>
      <w:pPr>
        <w:spacing w:line="242" w:lineRule="auto" w:before="8"/>
        <w:ind w:left="115" w:right="119" w:firstLine="0"/>
        <w:jc w:val="both"/>
        <w:rPr>
          <w:rFonts w:ascii="Times New Roman"/>
          <w:sz w:val="21"/>
        </w:rPr>
      </w:pPr>
      <w:r>
        <w:rPr>
          <w:rFonts w:ascii="Times New Roman"/>
          <w:sz w:val="21"/>
        </w:rPr>
        <w:t>Athanasiadou S., Kyriazakis I.,  2004.  Plant secondary metabolites: antiparasitic effects and their  role in ruminant production systems. Proc. Nutr. Soc. 63, </w:t>
      </w:r>
      <w:r>
        <w:rPr>
          <w:rFonts w:ascii="Times New Roman"/>
          <w:spacing w:val="33"/>
          <w:sz w:val="21"/>
        </w:rPr>
        <w:t> </w:t>
      </w:r>
      <w:r>
        <w:rPr>
          <w:rFonts w:ascii="Times New Roman"/>
          <w:sz w:val="21"/>
        </w:rPr>
        <w:t>631-639</w:t>
      </w:r>
    </w:p>
    <w:p>
      <w:pPr>
        <w:spacing w:before="3"/>
        <w:ind w:left="115" w:right="0" w:firstLine="0"/>
        <w:jc w:val="both"/>
        <w:rPr>
          <w:rFonts w:ascii="Times New Roman"/>
          <w:sz w:val="21"/>
        </w:rPr>
      </w:pPr>
      <w:r>
        <w:rPr>
          <w:rFonts w:ascii="Times New Roman"/>
          <w:sz w:val="21"/>
        </w:rPr>
        <w:t>Bernfeld P., 1955. Amylases, alpha and beta.Methods.Enzymol. 1,  149-158</w:t>
      </w:r>
    </w:p>
    <w:p>
      <w:pPr>
        <w:spacing w:line="244" w:lineRule="auto" w:before="3"/>
        <w:ind w:left="115" w:right="118" w:firstLine="0"/>
        <w:jc w:val="both"/>
        <w:rPr>
          <w:rFonts w:ascii="Times New Roman"/>
          <w:sz w:val="21"/>
        </w:rPr>
      </w:pPr>
      <w:r>
        <w:rPr>
          <w:rFonts w:ascii="Times New Roman"/>
          <w:sz w:val="21"/>
        </w:rPr>
        <w:t>Chung Y.-H., Zhou M., Holtshausen L., Alexander T.W., McAllister T.A., Guan L.L., Oba M., Beauchemin K.A., 2012. A fibrolytic enzyme additive for lactating Holstein cow diets: Ruminal fermentation, rumen microbial populations, and enteric methane emissions. J. Dairy Sci. 95, 1419- 1427</w:t>
      </w:r>
    </w:p>
    <w:p>
      <w:pPr>
        <w:spacing w:before="1"/>
        <w:ind w:left="115" w:right="0" w:firstLine="0"/>
        <w:jc w:val="both"/>
        <w:rPr>
          <w:rFonts w:ascii="Times New Roman"/>
          <w:sz w:val="21"/>
        </w:rPr>
      </w:pPr>
      <w:r>
        <w:rPr>
          <w:rFonts w:ascii="Times New Roman"/>
          <w:sz w:val="21"/>
        </w:rPr>
        <w:t>Cowan M.M., 1999. Plant products as antimicrobial agents.Clin.Microbiol. Rev. 12,   564-582</w:t>
      </w:r>
    </w:p>
    <w:p>
      <w:pPr>
        <w:spacing w:line="244" w:lineRule="auto" w:before="3"/>
        <w:ind w:left="115" w:right="118" w:firstLine="0"/>
        <w:jc w:val="both"/>
        <w:rPr>
          <w:rFonts w:ascii="Times New Roman"/>
          <w:sz w:val="21"/>
        </w:rPr>
      </w:pPr>
      <w:r>
        <w:rPr>
          <w:rFonts w:ascii="Times New Roman"/>
          <w:sz w:val="21"/>
        </w:rPr>
        <w:t>Gado H.M., Salem A.Z.M., Odongo N.E. Borhami B.E., 2011. Influence of exogenous enzymes ensiled with orange pulp on digestion and growth performance in lambs. Anim. Feed Sci. Tech.165, 131-136.</w:t>
      </w:r>
    </w:p>
    <w:p>
      <w:pPr>
        <w:spacing w:after="0" w:line="244" w:lineRule="auto"/>
        <w:jc w:val="both"/>
        <w:rPr>
          <w:rFonts w:ascii="Times New Roman"/>
          <w:sz w:val="21"/>
        </w:rPr>
        <w:sectPr>
          <w:pgSz w:w="11900" w:h="16840"/>
          <w:pgMar w:header="0" w:footer="1616" w:top="1600" w:bottom="1860" w:left="1540" w:right="1520"/>
        </w:sectPr>
      </w:pPr>
    </w:p>
    <w:p>
      <w:pPr>
        <w:pStyle w:val="BodyText"/>
        <w:rPr>
          <w:rFonts w:ascii="Times New Roman"/>
          <w:sz w:val="20"/>
        </w:rPr>
      </w:pPr>
    </w:p>
    <w:p>
      <w:pPr>
        <w:pStyle w:val="BodyText"/>
        <w:rPr>
          <w:rFonts w:ascii="Times New Roman"/>
          <w:sz w:val="16"/>
        </w:rPr>
      </w:pPr>
    </w:p>
    <w:p>
      <w:pPr>
        <w:spacing w:line="244" w:lineRule="auto" w:before="77"/>
        <w:ind w:left="668" w:right="118" w:hanging="552"/>
        <w:jc w:val="both"/>
        <w:rPr>
          <w:rFonts w:ascii="Times New Roman"/>
          <w:sz w:val="21"/>
        </w:rPr>
      </w:pPr>
      <w:r>
        <w:rPr>
          <w:rFonts w:ascii="Times New Roman"/>
          <w:sz w:val="21"/>
        </w:rPr>
        <w:t>Gado H.M., Salem A.Z.M., Robinson P.H., Hassan M., 2009. Influence of exogenous enzymes on nutrient digestibility, extent of ruminal fermentation as well as milk production and composition in dairy cows. Anim. Feed Sci. Tech.154, </w:t>
      </w:r>
      <w:r>
        <w:rPr>
          <w:rFonts w:ascii="Times New Roman"/>
          <w:spacing w:val="21"/>
          <w:sz w:val="21"/>
        </w:rPr>
        <w:t> </w:t>
      </w:r>
      <w:r>
        <w:rPr>
          <w:rFonts w:ascii="Times New Roman"/>
          <w:sz w:val="21"/>
        </w:rPr>
        <w:t>36-46</w:t>
      </w:r>
    </w:p>
    <w:p>
      <w:pPr>
        <w:spacing w:line="244" w:lineRule="auto" w:before="1"/>
        <w:ind w:left="668" w:right="118" w:hanging="552"/>
        <w:jc w:val="both"/>
        <w:rPr>
          <w:rFonts w:ascii="Times New Roman" w:hAnsi="Times New Roman"/>
          <w:sz w:val="21"/>
        </w:rPr>
      </w:pPr>
      <w:r>
        <w:rPr>
          <w:rFonts w:ascii="Times New Roman" w:hAnsi="Times New Roman"/>
          <w:sz w:val="21"/>
        </w:rPr>
        <w:t>Jiménez P., Salem A.Z.M., Mejia H.P., González R.M.,  Albarrán  P.B., Rojo R.R., Tinoco J.L.,  2011. Influence of individual and mixed extracts of two tree species on  </w:t>
      </w:r>
      <w:r>
        <w:rPr>
          <w:rFonts w:ascii="Times New Roman" w:hAnsi="Times New Roman"/>
          <w:i/>
          <w:sz w:val="21"/>
        </w:rPr>
        <w:t>in  vitro  </w:t>
      </w:r>
      <w:r>
        <w:rPr>
          <w:rFonts w:ascii="Times New Roman" w:hAnsi="Times New Roman"/>
          <w:sz w:val="21"/>
        </w:rPr>
        <w:t>gas  production kinetics of a high concentrate diet fed to growing lambs. Livest. Sci.136,  </w:t>
      </w:r>
      <w:r>
        <w:rPr>
          <w:rFonts w:ascii="Times New Roman" w:hAnsi="Times New Roman"/>
          <w:spacing w:val="14"/>
          <w:sz w:val="21"/>
        </w:rPr>
        <w:t> </w:t>
      </w:r>
      <w:r>
        <w:rPr>
          <w:rFonts w:ascii="Times New Roman" w:hAnsi="Times New Roman"/>
          <w:sz w:val="21"/>
        </w:rPr>
        <w:t>192-200</w:t>
      </w:r>
    </w:p>
    <w:p>
      <w:pPr>
        <w:spacing w:line="244" w:lineRule="auto" w:before="0"/>
        <w:ind w:left="668" w:right="118" w:hanging="552"/>
        <w:jc w:val="both"/>
        <w:rPr>
          <w:rFonts w:ascii="Times New Roman"/>
          <w:sz w:val="21"/>
        </w:rPr>
      </w:pPr>
      <w:r>
        <w:rPr>
          <w:rFonts w:ascii="Times New Roman"/>
          <w:sz w:val="21"/>
        </w:rPr>
        <w:t>Khalil A.H., El-Adawy T.A., 1994.Isolation, identification and toxicity of saponin from different legumes.Food Chem. 50, 197-201</w:t>
      </w:r>
    </w:p>
    <w:p>
      <w:pPr>
        <w:spacing w:line="244" w:lineRule="auto" w:before="1"/>
        <w:ind w:left="668" w:right="118" w:hanging="552"/>
        <w:jc w:val="both"/>
        <w:rPr>
          <w:rFonts w:ascii="Times New Roman"/>
          <w:sz w:val="21"/>
        </w:rPr>
      </w:pPr>
      <w:r>
        <w:rPr>
          <w:rFonts w:ascii="Times New Roman"/>
          <w:sz w:val="21"/>
        </w:rPr>
        <w:t>Lin Y., Gary E., Robert E.,  1969. Action of proteolytic enzymes on N,N-dimethyl proteins. Basis    for a micro-assay for proteolytic enzymes. J. Biol. Chem. 244, </w:t>
      </w:r>
      <w:r>
        <w:rPr>
          <w:rFonts w:ascii="Times New Roman"/>
          <w:spacing w:val="39"/>
          <w:sz w:val="21"/>
        </w:rPr>
        <w:t> </w:t>
      </w:r>
      <w:r>
        <w:rPr>
          <w:rFonts w:ascii="Times New Roman"/>
          <w:sz w:val="21"/>
        </w:rPr>
        <w:t>789-793</w:t>
      </w:r>
    </w:p>
    <w:p>
      <w:pPr>
        <w:spacing w:line="242" w:lineRule="auto" w:before="0"/>
        <w:ind w:left="668" w:right="119" w:hanging="552"/>
        <w:jc w:val="both"/>
        <w:rPr>
          <w:rFonts w:ascii="Times New Roman"/>
          <w:sz w:val="21"/>
        </w:rPr>
      </w:pPr>
      <w:r>
        <w:rPr>
          <w:rFonts w:ascii="Times New Roman"/>
          <w:sz w:val="21"/>
        </w:rPr>
        <w:t>Littell R.C., Henry P.R., Ammerman C.B., 1998. Statistical  analysis  of  repeated  measures  data using SAS procedures. J. Anim. Sci. 76,  1216-1231</w:t>
      </w:r>
    </w:p>
    <w:p>
      <w:pPr>
        <w:spacing w:line="244" w:lineRule="auto" w:before="3"/>
        <w:ind w:left="668" w:right="118" w:hanging="552"/>
        <w:jc w:val="both"/>
        <w:rPr>
          <w:rFonts w:ascii="Times New Roman"/>
          <w:sz w:val="21"/>
        </w:rPr>
      </w:pPr>
      <w:r>
        <w:rPr>
          <w:rFonts w:ascii="Times New Roman"/>
          <w:sz w:val="21"/>
        </w:rPr>
        <w:t>Liu H.W., Tong J., Zhou D.W., 2011. Utilization of chinese herbal feed additives in animal production. Agric. Sci. China 10,  1262-1272</w:t>
      </w:r>
    </w:p>
    <w:p>
      <w:pPr>
        <w:spacing w:line="242" w:lineRule="auto" w:before="1"/>
        <w:ind w:left="668" w:right="118" w:hanging="552"/>
        <w:jc w:val="both"/>
        <w:rPr>
          <w:rFonts w:ascii="Times New Roman"/>
          <w:sz w:val="21"/>
        </w:rPr>
      </w:pPr>
      <w:r>
        <w:rPr>
          <w:rFonts w:ascii="Times New Roman"/>
          <w:sz w:val="21"/>
        </w:rPr>
        <w:t>Mahgoub O., Kadim I.T., Tageldin M.H., Al Marzooqi W.S., Khalaf S.Q., Amnbu Ali A., 2008. Clinical Profile of sheep fed non- conventional feeds containing phenols and condensed  tannins. Small Ruminant Res. 78, </w:t>
      </w:r>
      <w:r>
        <w:rPr>
          <w:rFonts w:ascii="Times New Roman"/>
          <w:spacing w:val="5"/>
          <w:sz w:val="21"/>
        </w:rPr>
        <w:t> </w:t>
      </w:r>
      <w:r>
        <w:rPr>
          <w:rFonts w:ascii="Times New Roman"/>
          <w:sz w:val="21"/>
        </w:rPr>
        <w:t>115-122</w:t>
      </w:r>
    </w:p>
    <w:p>
      <w:pPr>
        <w:spacing w:line="242" w:lineRule="auto" w:before="3"/>
        <w:ind w:left="116" w:right="224" w:firstLine="0"/>
        <w:jc w:val="left"/>
        <w:rPr>
          <w:rFonts w:ascii="Times New Roman"/>
          <w:sz w:val="21"/>
        </w:rPr>
      </w:pPr>
      <w:r>
        <w:rPr>
          <w:rFonts w:ascii="Times New Roman"/>
          <w:sz w:val="21"/>
        </w:rPr>
        <w:t>NRC, 1985.Nutrient Requirements of Domestic Animals. National Research Council.Washington, DC</w:t>
      </w:r>
    </w:p>
    <w:p>
      <w:pPr>
        <w:spacing w:line="242" w:lineRule="auto" w:before="5"/>
        <w:ind w:left="668" w:right="118" w:hanging="552"/>
        <w:jc w:val="both"/>
        <w:rPr>
          <w:rFonts w:ascii="Times New Roman"/>
          <w:sz w:val="21"/>
        </w:rPr>
      </w:pPr>
      <w:r>
        <w:rPr>
          <w:rFonts w:ascii="Times New Roman"/>
          <w:sz w:val="21"/>
        </w:rPr>
        <w:t>Provenza F.D., Villalba J.J., 2010. The role of natural plant products in modulating the immune system: an adaptable approach for combating disease in grazing animals.  Small  Ruminant Res. 89,</w:t>
      </w:r>
      <w:r>
        <w:rPr>
          <w:rFonts w:ascii="Times New Roman"/>
          <w:spacing w:val="22"/>
          <w:sz w:val="21"/>
        </w:rPr>
        <w:t> </w:t>
      </w:r>
      <w:r>
        <w:rPr>
          <w:rFonts w:ascii="Times New Roman"/>
          <w:sz w:val="21"/>
        </w:rPr>
        <w:t>131-139</w:t>
      </w:r>
    </w:p>
    <w:p>
      <w:pPr>
        <w:spacing w:line="244" w:lineRule="auto" w:before="3"/>
        <w:ind w:left="668" w:right="118" w:hanging="552"/>
        <w:jc w:val="both"/>
        <w:rPr>
          <w:rFonts w:ascii="Times New Roman"/>
          <w:sz w:val="21"/>
        </w:rPr>
      </w:pPr>
      <w:r>
        <w:rPr>
          <w:rFonts w:ascii="Times New Roman"/>
          <w:sz w:val="21"/>
        </w:rPr>
        <w:t>Robyt J.F., Whelan W.J., 1972. Reducing valuemethods for maltodextrins: 1. Chain length dependence of alkaline 3,5-dinitrosalicylate and chain length independence  of  alkaline  copper. Anal.Biochem. 45,</w:t>
      </w:r>
      <w:r>
        <w:rPr>
          <w:rFonts w:ascii="Times New Roman"/>
          <w:spacing w:val="47"/>
          <w:sz w:val="21"/>
        </w:rPr>
        <w:t> </w:t>
      </w:r>
      <w:r>
        <w:rPr>
          <w:rFonts w:ascii="Times New Roman"/>
          <w:sz w:val="21"/>
        </w:rPr>
        <w:t>510-516</w:t>
      </w:r>
    </w:p>
    <w:p>
      <w:pPr>
        <w:spacing w:line="240" w:lineRule="exact" w:before="0"/>
        <w:ind w:left="116" w:right="224" w:firstLine="0"/>
        <w:jc w:val="left"/>
        <w:rPr>
          <w:rFonts w:ascii="Times New Roman" w:hAnsi="Times New Roman"/>
          <w:sz w:val="21"/>
        </w:rPr>
      </w:pPr>
      <w:r>
        <w:rPr>
          <w:rFonts w:ascii="Times New Roman" w:hAnsi="Times New Roman"/>
          <w:sz w:val="21"/>
        </w:rPr>
        <w:t>SAS, 2002. SAS User´s Guide: Statistics. Ver 9.0. SAS Institute. Cary,  NC</w:t>
      </w:r>
    </w:p>
    <w:p>
      <w:pPr>
        <w:spacing w:line="244" w:lineRule="auto" w:before="3"/>
        <w:ind w:left="668" w:right="119" w:hanging="552"/>
        <w:jc w:val="both"/>
        <w:rPr>
          <w:rFonts w:ascii="Times New Roman"/>
          <w:sz w:val="21"/>
        </w:rPr>
      </w:pPr>
      <w:r>
        <w:rPr>
          <w:rFonts w:ascii="Times New Roman"/>
          <w:sz w:val="21"/>
        </w:rPr>
        <w:t>Salem A.Z.M., El-Adawy M., Gado H., Camacho L.M., Ronquillo M., Alsersy H., Borhami B.,  2011a. Effects of exogenous enzymes on nutrients digestibility and growth performance in sheep and goats. Trop. Subtrop. Agroecosyst. 14, </w:t>
      </w:r>
      <w:r>
        <w:rPr>
          <w:rFonts w:ascii="Times New Roman"/>
          <w:spacing w:val="19"/>
          <w:sz w:val="21"/>
        </w:rPr>
        <w:t> </w:t>
      </w:r>
      <w:r>
        <w:rPr>
          <w:rFonts w:ascii="Times New Roman"/>
          <w:sz w:val="21"/>
        </w:rPr>
        <w:t>867-874</w:t>
      </w:r>
    </w:p>
    <w:p>
      <w:pPr>
        <w:spacing w:line="242" w:lineRule="auto" w:before="3"/>
        <w:ind w:left="668" w:right="116" w:hanging="552"/>
        <w:jc w:val="both"/>
        <w:rPr>
          <w:rFonts w:ascii="Times New Roman"/>
          <w:sz w:val="21"/>
        </w:rPr>
      </w:pPr>
      <w:r>
        <w:rPr>
          <w:rFonts w:ascii="Times New Roman"/>
          <w:sz w:val="21"/>
        </w:rPr>
        <w:t>Salem A.Z.M., Hassan A.A., Khalil M.S., Gado H.M., Alsersy H., Simbaya J., 2012. Effects of sun- drying and exogenous enzymes on nutrients intake, digestibility and nitrogen utilization in sheep fed </w:t>
      </w:r>
      <w:r>
        <w:rPr>
          <w:rFonts w:ascii="Times New Roman"/>
          <w:i/>
          <w:sz w:val="21"/>
        </w:rPr>
        <w:t>Atriplexhalimus</w:t>
      </w:r>
      <w:r>
        <w:rPr>
          <w:rFonts w:ascii="Times New Roman"/>
          <w:sz w:val="21"/>
        </w:rPr>
        <w:t>foliages. Anim. FeedSci. Tech. 171,  128-135</w:t>
      </w:r>
    </w:p>
    <w:p>
      <w:pPr>
        <w:spacing w:line="244" w:lineRule="auto" w:before="3"/>
        <w:ind w:left="667" w:right="118" w:hanging="552"/>
        <w:jc w:val="both"/>
        <w:rPr>
          <w:rFonts w:ascii="Times New Roman"/>
          <w:sz w:val="21"/>
        </w:rPr>
      </w:pPr>
      <w:r>
        <w:rPr>
          <w:rFonts w:ascii="Times New Roman"/>
          <w:sz w:val="21"/>
        </w:rPr>
        <w:t>Salem A.Z.M., Olivares M., Lopez S., Gonzalez-Ronquillo M., Rojo R., Camacho L.M., Cerrillo S.M.A., Mejia H.P., 2011b. Effect of natural extracts of </w:t>
      </w:r>
      <w:r>
        <w:rPr>
          <w:rFonts w:ascii="Times New Roman"/>
          <w:i/>
          <w:sz w:val="21"/>
        </w:rPr>
        <w:t>Salix babylonica </w:t>
      </w:r>
      <w:r>
        <w:rPr>
          <w:rFonts w:ascii="Times New Roman"/>
          <w:sz w:val="21"/>
        </w:rPr>
        <w:t>and </w:t>
      </w:r>
      <w:r>
        <w:rPr>
          <w:rFonts w:ascii="Times New Roman"/>
          <w:i/>
          <w:sz w:val="21"/>
        </w:rPr>
        <w:t>Leucaena </w:t>
      </w:r>
      <w:r>
        <w:rPr>
          <w:rFonts w:ascii="Times New Roman"/>
          <w:i/>
          <w:sz w:val="21"/>
        </w:rPr>
        <w:t>leucocephala </w:t>
      </w:r>
      <w:r>
        <w:rPr>
          <w:rFonts w:ascii="Times New Roman"/>
          <w:sz w:val="21"/>
        </w:rPr>
        <w:t>on nutrient digestibility and growth performance of lambs. Anim. Feed Sci. Tech.170, 27-34</w:t>
      </w:r>
    </w:p>
    <w:p>
      <w:pPr>
        <w:spacing w:line="242" w:lineRule="auto" w:before="1"/>
        <w:ind w:left="667" w:right="118" w:hanging="552"/>
        <w:jc w:val="both"/>
        <w:rPr>
          <w:rFonts w:ascii="Times New Roman" w:hAnsi="Times New Roman"/>
          <w:sz w:val="21"/>
        </w:rPr>
      </w:pPr>
      <w:r>
        <w:rPr>
          <w:rFonts w:ascii="Times New Roman" w:hAnsi="Times New Roman"/>
          <w:sz w:val="21"/>
        </w:rPr>
        <w:t>Salem A.Z.M., Robinson P.H., López S., Gohar Y.M., Rojo R., Tinoco J.L., 2010. Sensitivity of sheep intestinal lactic acid bacteria to secondary compounds extracted from </w:t>
      </w:r>
      <w:r>
        <w:rPr>
          <w:rFonts w:ascii="Times New Roman" w:hAnsi="Times New Roman"/>
          <w:i/>
          <w:sz w:val="21"/>
        </w:rPr>
        <w:t>Acacia </w:t>
      </w:r>
      <w:r>
        <w:rPr>
          <w:rFonts w:ascii="Times New Roman" w:hAnsi="Times New Roman"/>
          <w:i/>
          <w:sz w:val="21"/>
        </w:rPr>
        <w:t>saligna</w:t>
      </w:r>
      <w:r>
        <w:rPr>
          <w:rFonts w:ascii="Times New Roman" w:hAnsi="Times New Roman"/>
          <w:sz w:val="21"/>
        </w:rPr>
        <w:t>leaves. Anim. Feed Sci. Tech.161, </w:t>
      </w:r>
      <w:r>
        <w:rPr>
          <w:rFonts w:ascii="Times New Roman" w:hAnsi="Times New Roman"/>
          <w:spacing w:val="8"/>
          <w:sz w:val="21"/>
        </w:rPr>
        <w:t> </w:t>
      </w:r>
      <w:r>
        <w:rPr>
          <w:rFonts w:ascii="Times New Roman" w:hAnsi="Times New Roman"/>
          <w:sz w:val="21"/>
        </w:rPr>
        <w:t>85-93</w:t>
      </w:r>
    </w:p>
    <w:p>
      <w:pPr>
        <w:spacing w:line="244" w:lineRule="auto" w:before="3"/>
        <w:ind w:left="668" w:right="116" w:hanging="552"/>
        <w:jc w:val="both"/>
        <w:rPr>
          <w:rFonts w:ascii="Times New Roman"/>
          <w:i/>
          <w:sz w:val="21"/>
        </w:rPr>
      </w:pPr>
      <w:r>
        <w:rPr>
          <w:rFonts w:ascii="Times New Roman"/>
          <w:sz w:val="21"/>
        </w:rPr>
        <w:t>Salem A.Z.M., Salem M.Z.M., El-Adawy M.M., Robinson P.H.,  2006.  Nutritive  evaluations  of some browse tree foliages during the dry season: Secondary compounds, feed intake and   </w:t>
      </w:r>
      <w:r>
        <w:rPr>
          <w:rFonts w:ascii="Times New Roman"/>
          <w:i/>
          <w:sz w:val="21"/>
        </w:rPr>
        <w:t>in</w:t>
      </w:r>
    </w:p>
    <w:p>
      <w:pPr>
        <w:spacing w:before="1"/>
        <w:ind w:left="116" w:right="224" w:firstLine="0"/>
        <w:jc w:val="left"/>
        <w:rPr>
          <w:rFonts w:ascii="Times New Roman"/>
          <w:sz w:val="21"/>
        </w:rPr>
      </w:pPr>
      <w:r>
        <w:rPr>
          <w:rFonts w:ascii="Times New Roman"/>
          <w:i/>
          <w:sz w:val="21"/>
        </w:rPr>
        <w:t>vivo </w:t>
      </w:r>
      <w:r>
        <w:rPr>
          <w:rFonts w:ascii="Times New Roman"/>
          <w:sz w:val="21"/>
        </w:rPr>
        <w:t>digestibility in sheep and goats. Anim. Feed Sci. Tech. 127,  251-267</w:t>
      </w:r>
    </w:p>
    <w:p>
      <w:pPr>
        <w:spacing w:line="242" w:lineRule="auto" w:before="3"/>
        <w:ind w:left="668" w:right="119" w:hanging="552"/>
        <w:jc w:val="both"/>
        <w:rPr>
          <w:rFonts w:ascii="Times New Roman"/>
          <w:sz w:val="21"/>
        </w:rPr>
      </w:pPr>
      <w:r>
        <w:rPr>
          <w:rFonts w:ascii="Times New Roman"/>
          <w:sz w:val="21"/>
        </w:rPr>
        <w:t>Van Soest P.J., Robertson J.B., Lewis B.A., 1991. Methods of dietary fiber, neutral detergent fiber  and non-polysaccharides in relation to animal nutrition. J. Dairy Sci. 74, </w:t>
      </w:r>
      <w:r>
        <w:rPr>
          <w:rFonts w:ascii="Times New Roman"/>
          <w:spacing w:val="48"/>
          <w:sz w:val="21"/>
        </w:rPr>
        <w:t> </w:t>
      </w:r>
      <w:r>
        <w:rPr>
          <w:rFonts w:ascii="Times New Roman"/>
          <w:sz w:val="21"/>
        </w:rPr>
        <w:t>3583-3597</w:t>
      </w:r>
    </w:p>
    <w:p>
      <w:pPr>
        <w:spacing w:line="244" w:lineRule="auto" w:before="3"/>
        <w:ind w:left="668" w:right="119" w:hanging="552"/>
        <w:jc w:val="both"/>
        <w:rPr>
          <w:rFonts w:ascii="Times New Roman"/>
          <w:sz w:val="21"/>
        </w:rPr>
      </w:pPr>
      <w:r>
        <w:rPr>
          <w:rFonts w:ascii="Times New Roman"/>
          <w:sz w:val="21"/>
        </w:rPr>
        <w:t>Wang Y., Zhang Y., Zhu Z., Zhu S., </w:t>
      </w:r>
      <w:r>
        <w:rPr>
          <w:rFonts w:ascii="Times New Roman"/>
          <w:spacing w:val="-3"/>
          <w:sz w:val="21"/>
        </w:rPr>
        <w:t>Li </w:t>
      </w:r>
      <w:r>
        <w:rPr>
          <w:rFonts w:ascii="Times New Roman"/>
          <w:sz w:val="21"/>
        </w:rPr>
        <w:t>Y., </w:t>
      </w:r>
      <w:r>
        <w:rPr>
          <w:rFonts w:ascii="Times New Roman"/>
          <w:spacing w:val="-3"/>
          <w:sz w:val="21"/>
        </w:rPr>
        <w:t>Li </w:t>
      </w:r>
      <w:r>
        <w:rPr>
          <w:rFonts w:ascii="Times New Roman"/>
          <w:sz w:val="21"/>
        </w:rPr>
        <w:t>M., Yu B., 2007. Exploration of the correlation  between the structure, hemolytic activity, and cytotoxicity  of  steroid  saponins.Bioorgan.  Med. Chem. 15,</w:t>
      </w:r>
      <w:r>
        <w:rPr>
          <w:rFonts w:ascii="Times New Roman"/>
          <w:spacing w:val="37"/>
          <w:sz w:val="21"/>
        </w:rPr>
        <w:t> </w:t>
      </w:r>
      <w:r>
        <w:rPr>
          <w:rFonts w:ascii="Times New Roman"/>
          <w:sz w:val="21"/>
        </w:rPr>
        <w:t>2528-2532</w:t>
      </w:r>
    </w:p>
    <w:p>
      <w:pPr>
        <w:spacing w:line="244" w:lineRule="auto" w:before="0"/>
        <w:ind w:left="667" w:right="118" w:hanging="552"/>
        <w:jc w:val="both"/>
        <w:rPr>
          <w:rFonts w:ascii="Times New Roman" w:hAnsi="Times New Roman"/>
          <w:sz w:val="21"/>
        </w:rPr>
      </w:pPr>
      <w:r>
        <w:rPr>
          <w:rFonts w:ascii="Times New Roman" w:hAnsi="Times New Roman"/>
          <w:sz w:val="21"/>
        </w:rPr>
        <w:t>Weng A., Jenett-Siems  K.,  Schmieder P., Bachran D.,  Bachran C., Görick C., Thakur M.,  Fuchs  H., Melzig F.M., 2010. A convenient method for saponin isolation in tumour therapy. J. Chromatogr.878,</w:t>
      </w:r>
      <w:r>
        <w:rPr>
          <w:rFonts w:ascii="Times New Roman" w:hAnsi="Times New Roman"/>
          <w:spacing w:val="37"/>
          <w:sz w:val="21"/>
        </w:rPr>
        <w:t> </w:t>
      </w:r>
      <w:r>
        <w:rPr>
          <w:rFonts w:ascii="Times New Roman" w:hAnsi="Times New Roman"/>
          <w:sz w:val="21"/>
        </w:rPr>
        <w:t>713-718</w:t>
      </w:r>
    </w:p>
    <w:p>
      <w:pPr>
        <w:spacing w:after="0" w:line="244" w:lineRule="auto"/>
        <w:jc w:val="both"/>
        <w:rPr>
          <w:rFonts w:ascii="Times New Roman" w:hAnsi="Times New Roman"/>
          <w:sz w:val="21"/>
        </w:rPr>
        <w:sectPr>
          <w:footerReference w:type="default" r:id="rId205"/>
          <w:pgSz w:w="11900" w:h="16840"/>
          <w:pgMar w:footer="1619" w:header="0" w:top="1600" w:bottom="1800" w:left="1540" w:right="1520"/>
          <w:pgNumType w:start="50"/>
        </w:sectPr>
      </w:pPr>
    </w:p>
    <w:p>
      <w:pPr>
        <w:pStyle w:val="BodyText"/>
        <w:rPr>
          <w:rFonts w:ascii="Times New Roman"/>
          <w:sz w:val="20"/>
        </w:rPr>
      </w:pPr>
    </w:p>
    <w:p>
      <w:pPr>
        <w:pStyle w:val="BodyText"/>
        <w:rPr>
          <w:rFonts w:ascii="Times New Roman"/>
          <w:sz w:val="20"/>
        </w:rPr>
      </w:pPr>
    </w:p>
    <w:p>
      <w:pPr>
        <w:pStyle w:val="BodyText"/>
        <w:spacing w:before="9"/>
        <w:rPr>
          <w:rFonts w:ascii="Times New Roman"/>
          <w:sz w:val="19"/>
        </w:rPr>
      </w:pPr>
    </w:p>
    <w:p>
      <w:pPr>
        <w:pStyle w:val="Heading1"/>
        <w:spacing w:line="280" w:lineRule="auto"/>
        <w:ind w:left="116" w:right="171"/>
        <w:jc w:val="left"/>
      </w:pPr>
      <w:r>
        <w:rPr/>
        <w:t>7. 2. Artículo Effects of exogenous enzyme and </w:t>
      </w:r>
      <w:r>
        <w:rPr>
          <w:i/>
        </w:rPr>
        <w:t>Salix babylonica L</w:t>
      </w:r>
      <w:r>
        <w:rPr/>
        <w:t>. extract on Cellular immune response and its correlation with average daily weight gain  in growing</w:t>
      </w:r>
      <w:r>
        <w:rPr>
          <w:spacing w:val="18"/>
        </w:rPr>
        <w:t> </w:t>
      </w:r>
      <w:r>
        <w:rPr/>
        <w:t>lambs.</w:t>
      </w:r>
    </w:p>
    <w:p>
      <w:pPr>
        <w:pStyle w:val="BodyText"/>
        <w:rPr>
          <w:b/>
          <w:sz w:val="20"/>
        </w:rPr>
      </w:pPr>
    </w:p>
    <w:p>
      <w:pPr>
        <w:pStyle w:val="BodyText"/>
        <w:spacing w:before="4"/>
        <w:rPr>
          <w:b/>
          <w:sz w:val="21"/>
        </w:rPr>
      </w:pPr>
      <w:r>
        <w:rPr/>
        <w:drawing>
          <wp:anchor distT="0" distB="0" distL="0" distR="0" allowOverlap="1" layoutInCell="1" locked="0" behindDoc="0" simplePos="0" relativeHeight="3688">
            <wp:simplePos x="0" y="0"/>
            <wp:positionH relativeFrom="page">
              <wp:posOffset>1621536</wp:posOffset>
            </wp:positionH>
            <wp:positionV relativeFrom="paragraph">
              <wp:posOffset>180837</wp:posOffset>
            </wp:positionV>
            <wp:extent cx="4261300" cy="6838188"/>
            <wp:effectExtent l="0" t="0" r="0" b="0"/>
            <wp:wrapTopAndBottom/>
            <wp:docPr id="135" name="image189.png" descr=""/>
            <wp:cNvGraphicFramePr>
              <a:graphicFrameLocks noChangeAspect="1"/>
            </wp:cNvGraphicFramePr>
            <a:graphic>
              <a:graphicData uri="http://schemas.openxmlformats.org/drawingml/2006/picture">
                <pic:pic>
                  <pic:nvPicPr>
                    <pic:cNvPr id="136" name="image189.png"/>
                    <pic:cNvPicPr/>
                  </pic:nvPicPr>
                  <pic:blipFill>
                    <a:blip r:embed="rId206" cstate="print"/>
                    <a:stretch>
                      <a:fillRect/>
                    </a:stretch>
                  </pic:blipFill>
                  <pic:spPr>
                    <a:xfrm>
                      <a:off x="0" y="0"/>
                      <a:ext cx="4261300" cy="6838188"/>
                    </a:xfrm>
                    <a:prstGeom prst="rect">
                      <a:avLst/>
                    </a:prstGeom>
                  </pic:spPr>
                </pic:pic>
              </a:graphicData>
            </a:graphic>
          </wp:anchor>
        </w:drawing>
      </w:r>
    </w:p>
    <w:p>
      <w:pPr>
        <w:spacing w:after="0"/>
        <w:rPr>
          <w:sz w:val="21"/>
        </w:rPr>
        <w:sectPr>
          <w:pgSz w:w="11900" w:h="16840"/>
          <w:pgMar w:header="0" w:footer="1619" w:top="1600" w:bottom="1860" w:left="1540" w:right="1560"/>
        </w:sectPr>
      </w:pPr>
    </w:p>
    <w:p>
      <w:pPr>
        <w:pStyle w:val="BodyText"/>
        <w:rPr>
          <w:b/>
          <w:sz w:val="20"/>
        </w:rPr>
      </w:pPr>
    </w:p>
    <w:p>
      <w:pPr>
        <w:pStyle w:val="BodyText"/>
        <w:rPr>
          <w:b/>
          <w:sz w:val="20"/>
        </w:rPr>
      </w:pPr>
    </w:p>
    <w:p>
      <w:pPr>
        <w:pStyle w:val="BodyText"/>
        <w:rPr>
          <w:b/>
          <w:sz w:val="20"/>
        </w:rPr>
      </w:pPr>
    </w:p>
    <w:p>
      <w:pPr>
        <w:pStyle w:val="BodyText"/>
        <w:spacing w:before="181"/>
        <w:ind w:left="785" w:right="417"/>
        <w:rPr>
          <w:rFonts w:ascii="Calibri"/>
        </w:rPr>
      </w:pPr>
      <w:r>
        <w:rPr/>
        <w:drawing>
          <wp:anchor distT="0" distB="0" distL="0" distR="0" allowOverlap="1" layoutInCell="1" locked="0" behindDoc="1" simplePos="0" relativeHeight="268300223">
            <wp:simplePos x="0" y="0"/>
            <wp:positionH relativeFrom="page">
              <wp:posOffset>1098803</wp:posOffset>
            </wp:positionH>
            <wp:positionV relativeFrom="paragraph">
              <wp:posOffset>-123964</wp:posOffset>
            </wp:positionV>
            <wp:extent cx="377952" cy="377951"/>
            <wp:effectExtent l="0" t="0" r="0" b="0"/>
            <wp:wrapNone/>
            <wp:docPr id="137" name="image190.png" descr=""/>
            <wp:cNvGraphicFramePr>
              <a:graphicFrameLocks noChangeAspect="1"/>
            </wp:cNvGraphicFramePr>
            <a:graphic>
              <a:graphicData uri="http://schemas.openxmlformats.org/drawingml/2006/picture">
                <pic:pic>
                  <pic:nvPicPr>
                    <pic:cNvPr id="138" name="image190.png"/>
                    <pic:cNvPicPr/>
                  </pic:nvPicPr>
                  <pic:blipFill>
                    <a:blip r:embed="rId207" cstate="print"/>
                    <a:stretch>
                      <a:fillRect/>
                    </a:stretch>
                  </pic:blipFill>
                  <pic:spPr>
                    <a:xfrm>
                      <a:off x="0" y="0"/>
                      <a:ext cx="377952" cy="377951"/>
                    </a:xfrm>
                    <a:prstGeom prst="rect">
                      <a:avLst/>
                    </a:prstGeom>
                  </pic:spPr>
                </pic:pic>
              </a:graphicData>
            </a:graphic>
          </wp:anchor>
        </w:drawing>
      </w:r>
      <w:r>
        <w:rPr>
          <w:rFonts w:ascii="Calibri"/>
        </w:rPr>
        <w:t>Animal Nutrition and Feed Technology (2013) 13:  411-422</w:t>
      </w:r>
    </w:p>
    <w:p>
      <w:pPr>
        <w:pStyle w:val="BodyText"/>
        <w:rPr>
          <w:rFonts w:ascii="Calibri"/>
          <w:sz w:val="22"/>
        </w:rPr>
      </w:pPr>
    </w:p>
    <w:p>
      <w:pPr>
        <w:pStyle w:val="BodyText"/>
        <w:spacing w:before="10"/>
        <w:rPr>
          <w:rFonts w:ascii="Calibri"/>
          <w:sz w:val="22"/>
        </w:rPr>
      </w:pPr>
    </w:p>
    <w:p>
      <w:pPr>
        <w:spacing w:before="0"/>
        <w:ind w:left="298" w:right="105" w:firstLine="0"/>
        <w:jc w:val="center"/>
        <w:rPr>
          <w:rFonts w:ascii="Times New Roman"/>
          <w:b/>
          <w:sz w:val="17"/>
        </w:rPr>
      </w:pPr>
      <w:r>
        <w:rPr>
          <w:rFonts w:ascii="Times New Roman"/>
          <w:b/>
          <w:w w:val="105"/>
          <w:sz w:val="17"/>
        </w:rPr>
        <w:t>Effects of Exogenous Enzymes and Salix babylonica L.</w:t>
      </w:r>
    </w:p>
    <w:p>
      <w:pPr>
        <w:spacing w:before="47"/>
        <w:ind w:left="142" w:right="105" w:firstLine="0"/>
        <w:jc w:val="center"/>
        <w:rPr>
          <w:rFonts w:ascii="Times New Roman"/>
          <w:b/>
          <w:sz w:val="11"/>
        </w:rPr>
      </w:pPr>
      <w:r>
        <w:rPr>
          <w:rFonts w:ascii="Times New Roman"/>
          <w:b/>
          <w:w w:val="105"/>
          <w:sz w:val="17"/>
        </w:rPr>
        <w:t>Extract on Cellular Immune Response and its Correlation with Average Daily Weight Gain in Growing Lambs</w:t>
      </w:r>
      <w:r>
        <w:rPr>
          <w:rFonts w:ascii="Times New Roman"/>
          <w:b/>
          <w:w w:val="105"/>
          <w:position w:val="8"/>
          <w:sz w:val="11"/>
        </w:rPr>
        <w:t>2</w:t>
      </w:r>
    </w:p>
    <w:p>
      <w:pPr>
        <w:pStyle w:val="BodyText"/>
        <w:spacing w:before="10"/>
        <w:rPr>
          <w:rFonts w:ascii="Times New Roman"/>
          <w:b/>
          <w:sz w:val="18"/>
        </w:rPr>
      </w:pPr>
    </w:p>
    <w:p>
      <w:pPr>
        <w:spacing w:before="0"/>
        <w:ind w:left="1829" w:right="417" w:firstLine="0"/>
        <w:jc w:val="left"/>
        <w:rPr>
          <w:rFonts w:ascii="Times New Roman"/>
          <w:b/>
          <w:sz w:val="17"/>
        </w:rPr>
      </w:pPr>
      <w:r>
        <w:rPr>
          <w:rFonts w:ascii="Times New Roman"/>
          <w:b/>
          <w:w w:val="105"/>
          <w:sz w:val="17"/>
        </w:rPr>
        <w:t>N. Rivero</w:t>
      </w:r>
      <w:r>
        <w:rPr>
          <w:rFonts w:ascii="Times New Roman"/>
          <w:b/>
          <w:w w:val="105"/>
          <w:position w:val="8"/>
          <w:sz w:val="11"/>
        </w:rPr>
        <w:t>3</w:t>
      </w:r>
      <w:r>
        <w:rPr>
          <w:rFonts w:ascii="Times New Roman"/>
          <w:b/>
          <w:w w:val="105"/>
          <w:sz w:val="17"/>
        </w:rPr>
        <w:t>, A.Z.M. Salem</w:t>
      </w:r>
      <w:r>
        <w:rPr>
          <w:rFonts w:ascii="Times New Roman"/>
          <w:b/>
          <w:w w:val="105"/>
          <w:position w:val="8"/>
          <w:sz w:val="11"/>
        </w:rPr>
        <w:t>1,4,5,</w:t>
      </w:r>
      <w:r>
        <w:rPr>
          <w:rFonts w:ascii="Times New Roman"/>
          <w:b/>
          <w:w w:val="105"/>
          <w:sz w:val="17"/>
        </w:rPr>
        <w:t>*, M.G. Ronquillo</w:t>
      </w:r>
      <w:r>
        <w:rPr>
          <w:rFonts w:ascii="Times New Roman"/>
          <w:b/>
          <w:w w:val="105"/>
          <w:position w:val="8"/>
          <w:sz w:val="11"/>
        </w:rPr>
        <w:t>1</w:t>
      </w:r>
      <w:r>
        <w:rPr>
          <w:rFonts w:ascii="Times New Roman"/>
          <w:b/>
          <w:w w:val="105"/>
          <w:sz w:val="17"/>
        </w:rPr>
        <w:t>, M.A. Cerrillo-Soto</w:t>
      </w:r>
      <w:r>
        <w:rPr>
          <w:rFonts w:ascii="Times New Roman"/>
          <w:b/>
          <w:w w:val="105"/>
          <w:position w:val="8"/>
          <w:sz w:val="11"/>
        </w:rPr>
        <w:t>4</w:t>
      </w:r>
      <w:r>
        <w:rPr>
          <w:rFonts w:ascii="Times New Roman"/>
          <w:b/>
          <w:w w:val="105"/>
          <w:sz w:val="17"/>
        </w:rPr>
        <w:t>,</w:t>
      </w:r>
    </w:p>
    <w:p>
      <w:pPr>
        <w:spacing w:before="11"/>
        <w:ind w:left="156" w:right="105" w:firstLine="0"/>
        <w:jc w:val="center"/>
        <w:rPr>
          <w:rFonts w:ascii="Times New Roman" w:hAnsi="Times New Roman"/>
          <w:b/>
          <w:sz w:val="11"/>
        </w:rPr>
      </w:pPr>
      <w:r>
        <w:rPr>
          <w:rFonts w:ascii="Times New Roman" w:hAnsi="Times New Roman"/>
          <w:b/>
          <w:w w:val="105"/>
          <w:sz w:val="17"/>
        </w:rPr>
        <w:t>L.M. Camacho</w:t>
      </w:r>
      <w:r>
        <w:rPr>
          <w:rFonts w:ascii="Times New Roman" w:hAnsi="Times New Roman"/>
          <w:b/>
          <w:w w:val="105"/>
          <w:position w:val="8"/>
          <w:sz w:val="11"/>
        </w:rPr>
        <w:t>5</w:t>
      </w:r>
      <w:r>
        <w:rPr>
          <w:rFonts w:ascii="Times New Roman" w:hAnsi="Times New Roman"/>
          <w:b/>
          <w:w w:val="105"/>
          <w:sz w:val="17"/>
        </w:rPr>
        <w:t>, H. Gado</w:t>
      </w:r>
      <w:r>
        <w:rPr>
          <w:rFonts w:ascii="Times New Roman" w:hAnsi="Times New Roman"/>
          <w:b/>
          <w:w w:val="105"/>
          <w:position w:val="8"/>
          <w:sz w:val="11"/>
        </w:rPr>
        <w:t>6 </w:t>
      </w:r>
      <w:r>
        <w:rPr>
          <w:rFonts w:ascii="Times New Roman" w:hAnsi="Times New Roman"/>
          <w:b/>
          <w:w w:val="105"/>
          <w:sz w:val="17"/>
        </w:rPr>
        <w:t>and C.G. Peñuelas</w:t>
      </w:r>
      <w:r>
        <w:rPr>
          <w:rFonts w:ascii="Times New Roman" w:hAnsi="Times New Roman"/>
          <w:b/>
          <w:w w:val="105"/>
          <w:position w:val="8"/>
          <w:sz w:val="11"/>
        </w:rPr>
        <w:t>1</w:t>
      </w:r>
    </w:p>
    <w:p>
      <w:pPr>
        <w:pStyle w:val="BodyText"/>
        <w:spacing w:before="9"/>
        <w:rPr>
          <w:rFonts w:ascii="Times New Roman"/>
          <w:b/>
          <w:sz w:val="26"/>
        </w:rPr>
      </w:pPr>
    </w:p>
    <w:p>
      <w:pPr>
        <w:spacing w:before="0"/>
        <w:ind w:left="157" w:right="105" w:firstLine="0"/>
        <w:jc w:val="center"/>
        <w:rPr>
          <w:rFonts w:ascii="Times New Roman" w:hAnsi="Times New Roman"/>
          <w:sz w:val="17"/>
        </w:rPr>
      </w:pPr>
      <w:r>
        <w:rPr>
          <w:rFonts w:ascii="Times New Roman" w:hAnsi="Times New Roman"/>
          <w:w w:val="105"/>
          <w:sz w:val="17"/>
        </w:rPr>
        <w:t>Universidad Autónoma del Estado de México, Toluca, 50200, México</w:t>
      </w:r>
    </w:p>
    <w:p>
      <w:pPr>
        <w:pStyle w:val="BodyText"/>
        <w:rPr>
          <w:rFonts w:ascii="Times New Roman"/>
          <w:sz w:val="18"/>
        </w:rPr>
      </w:pPr>
    </w:p>
    <w:p>
      <w:pPr>
        <w:pStyle w:val="BodyText"/>
        <w:spacing w:before="8"/>
        <w:rPr>
          <w:rFonts w:ascii="Times New Roman"/>
          <w:sz w:val="15"/>
        </w:rPr>
      </w:pPr>
    </w:p>
    <w:p>
      <w:pPr>
        <w:spacing w:before="0"/>
        <w:ind w:left="160" w:right="105" w:firstLine="0"/>
        <w:jc w:val="center"/>
        <w:rPr>
          <w:rFonts w:ascii="Times New Roman"/>
          <w:b/>
          <w:sz w:val="17"/>
        </w:rPr>
      </w:pPr>
      <w:r>
        <w:rPr>
          <w:rFonts w:ascii="Times New Roman"/>
          <w:b/>
          <w:w w:val="105"/>
          <w:sz w:val="17"/>
        </w:rPr>
        <w:t>ABSTRACT</w:t>
      </w:r>
    </w:p>
    <w:p>
      <w:pPr>
        <w:pStyle w:val="BodyText"/>
        <w:rPr>
          <w:rFonts w:ascii="Times New Roman"/>
          <w:b/>
          <w:sz w:val="20"/>
        </w:rPr>
      </w:pPr>
    </w:p>
    <w:p>
      <w:pPr>
        <w:pStyle w:val="BodyText"/>
        <w:spacing w:before="9"/>
        <w:rPr>
          <w:rFonts w:ascii="Times New Roman"/>
          <w:b/>
          <w:sz w:val="27"/>
        </w:rPr>
      </w:pPr>
      <w:r>
        <w:rPr/>
        <w:pict>
          <v:line style="position:absolute;mso-position-horizontal-relative:page;mso-position-vertical-relative:paragraph;z-index:3712;mso-wrap-distance-left:0;mso-wrap-distance-right:0" from="85.080002pt,18.341761pt" to="509.399992pt,18.341761pt" stroked="true" strokeweight=".730032pt" strokecolor="#000000">
            <w10:wrap type="topAndBottom"/>
          </v:line>
        </w:pict>
      </w:r>
    </w:p>
    <w:p>
      <w:pPr>
        <w:spacing w:line="283" w:lineRule="auto" w:before="138"/>
        <w:ind w:left="118" w:right="417" w:firstLine="0"/>
        <w:jc w:val="left"/>
        <w:rPr>
          <w:rFonts w:ascii="Times New Roman" w:hAnsi="Times New Roman"/>
          <w:i/>
          <w:sz w:val="17"/>
        </w:rPr>
      </w:pPr>
      <w:r>
        <w:rPr>
          <w:rFonts w:ascii="Times New Roman" w:hAnsi="Times New Roman"/>
          <w:i/>
          <w:w w:val="105"/>
          <w:sz w:val="17"/>
        </w:rPr>
        <w:t>Rivero,</w:t>
      </w:r>
      <w:r>
        <w:rPr>
          <w:rFonts w:ascii="Times New Roman" w:hAnsi="Times New Roman"/>
          <w:i/>
          <w:spacing w:val="-14"/>
          <w:w w:val="105"/>
          <w:sz w:val="17"/>
        </w:rPr>
        <w:t> </w:t>
      </w:r>
      <w:r>
        <w:rPr>
          <w:rFonts w:ascii="Times New Roman" w:hAnsi="Times New Roman"/>
          <w:i/>
          <w:w w:val="105"/>
          <w:sz w:val="17"/>
        </w:rPr>
        <w:t>N.,</w:t>
      </w:r>
      <w:r>
        <w:rPr>
          <w:rFonts w:ascii="Times New Roman" w:hAnsi="Times New Roman"/>
          <w:i/>
          <w:spacing w:val="-12"/>
          <w:w w:val="105"/>
          <w:sz w:val="17"/>
        </w:rPr>
        <w:t> </w:t>
      </w:r>
      <w:r>
        <w:rPr>
          <w:rFonts w:ascii="Times New Roman" w:hAnsi="Times New Roman"/>
          <w:i/>
          <w:w w:val="105"/>
          <w:sz w:val="17"/>
        </w:rPr>
        <w:t>Salem,</w:t>
      </w:r>
      <w:r>
        <w:rPr>
          <w:rFonts w:ascii="Times New Roman" w:hAnsi="Times New Roman"/>
          <w:i/>
          <w:spacing w:val="-12"/>
          <w:w w:val="105"/>
          <w:sz w:val="17"/>
        </w:rPr>
        <w:t> </w:t>
      </w:r>
      <w:r>
        <w:rPr>
          <w:rFonts w:ascii="Times New Roman" w:hAnsi="Times New Roman"/>
          <w:i/>
          <w:w w:val="105"/>
          <w:sz w:val="17"/>
        </w:rPr>
        <w:t>A.Z.M.,</w:t>
      </w:r>
      <w:r>
        <w:rPr>
          <w:rFonts w:ascii="Times New Roman" w:hAnsi="Times New Roman"/>
          <w:i/>
          <w:spacing w:val="-14"/>
          <w:w w:val="105"/>
          <w:sz w:val="17"/>
        </w:rPr>
        <w:t> </w:t>
      </w:r>
      <w:r>
        <w:rPr>
          <w:rFonts w:ascii="Times New Roman" w:hAnsi="Times New Roman"/>
          <w:i/>
          <w:w w:val="105"/>
          <w:sz w:val="17"/>
        </w:rPr>
        <w:t>Ronquillo,</w:t>
      </w:r>
      <w:r>
        <w:rPr>
          <w:rFonts w:ascii="Times New Roman" w:hAnsi="Times New Roman"/>
          <w:i/>
          <w:spacing w:val="-14"/>
          <w:w w:val="105"/>
          <w:sz w:val="17"/>
        </w:rPr>
        <w:t> </w:t>
      </w:r>
      <w:r>
        <w:rPr>
          <w:rFonts w:ascii="Times New Roman" w:hAnsi="Times New Roman"/>
          <w:i/>
          <w:w w:val="105"/>
          <w:sz w:val="17"/>
        </w:rPr>
        <w:t>M.G.,</w:t>
      </w:r>
      <w:r>
        <w:rPr>
          <w:rFonts w:ascii="Times New Roman" w:hAnsi="Times New Roman"/>
          <w:i/>
          <w:spacing w:val="-12"/>
          <w:w w:val="105"/>
          <w:sz w:val="17"/>
        </w:rPr>
        <w:t> </w:t>
      </w:r>
      <w:r>
        <w:rPr>
          <w:rFonts w:ascii="Times New Roman" w:hAnsi="Times New Roman"/>
          <w:i/>
          <w:w w:val="105"/>
          <w:sz w:val="17"/>
        </w:rPr>
        <w:t>Cerrillo-Soto,</w:t>
      </w:r>
      <w:r>
        <w:rPr>
          <w:rFonts w:ascii="Times New Roman" w:hAnsi="Times New Roman"/>
          <w:i/>
          <w:spacing w:val="-14"/>
          <w:w w:val="105"/>
          <w:sz w:val="17"/>
        </w:rPr>
        <w:t> </w:t>
      </w:r>
      <w:r>
        <w:rPr>
          <w:rFonts w:ascii="Times New Roman" w:hAnsi="Times New Roman"/>
          <w:i/>
          <w:w w:val="105"/>
          <w:sz w:val="17"/>
        </w:rPr>
        <w:t>M.A.,</w:t>
      </w:r>
      <w:r>
        <w:rPr>
          <w:rFonts w:ascii="Times New Roman" w:hAnsi="Times New Roman"/>
          <w:i/>
          <w:spacing w:val="-12"/>
          <w:w w:val="105"/>
          <w:sz w:val="17"/>
        </w:rPr>
        <w:t> </w:t>
      </w:r>
      <w:r>
        <w:rPr>
          <w:rFonts w:ascii="Times New Roman" w:hAnsi="Times New Roman"/>
          <w:i/>
          <w:w w:val="105"/>
          <w:sz w:val="17"/>
        </w:rPr>
        <w:t>Camacho,</w:t>
      </w:r>
      <w:r>
        <w:rPr>
          <w:rFonts w:ascii="Times New Roman" w:hAnsi="Times New Roman"/>
          <w:i/>
          <w:spacing w:val="-14"/>
          <w:w w:val="105"/>
          <w:sz w:val="17"/>
        </w:rPr>
        <w:t> </w:t>
      </w:r>
      <w:r>
        <w:rPr>
          <w:rFonts w:ascii="Times New Roman" w:hAnsi="Times New Roman"/>
          <w:i/>
          <w:w w:val="105"/>
          <w:sz w:val="17"/>
        </w:rPr>
        <w:t>L.M.,</w:t>
      </w:r>
      <w:r>
        <w:rPr>
          <w:rFonts w:ascii="Times New Roman" w:hAnsi="Times New Roman"/>
          <w:i/>
          <w:spacing w:val="-12"/>
          <w:w w:val="105"/>
          <w:sz w:val="17"/>
        </w:rPr>
        <w:t> </w:t>
      </w:r>
      <w:r>
        <w:rPr>
          <w:rFonts w:ascii="Times New Roman" w:hAnsi="Times New Roman"/>
          <w:i/>
          <w:w w:val="105"/>
          <w:sz w:val="17"/>
        </w:rPr>
        <w:t>Gado,</w:t>
      </w:r>
      <w:r>
        <w:rPr>
          <w:rFonts w:ascii="Times New Roman" w:hAnsi="Times New Roman"/>
          <w:i/>
          <w:spacing w:val="-12"/>
          <w:w w:val="105"/>
          <w:sz w:val="17"/>
        </w:rPr>
        <w:t> </w:t>
      </w:r>
      <w:r>
        <w:rPr>
          <w:rFonts w:ascii="Times New Roman" w:hAnsi="Times New Roman"/>
          <w:i/>
          <w:w w:val="105"/>
          <w:sz w:val="17"/>
        </w:rPr>
        <w:t>H.</w:t>
      </w:r>
      <w:r>
        <w:rPr>
          <w:rFonts w:ascii="Times New Roman" w:hAnsi="Times New Roman"/>
          <w:i/>
          <w:spacing w:val="-12"/>
          <w:w w:val="105"/>
          <w:sz w:val="17"/>
        </w:rPr>
        <w:t> </w:t>
      </w:r>
      <w:r>
        <w:rPr>
          <w:rFonts w:ascii="Times New Roman" w:hAnsi="Times New Roman"/>
          <w:i/>
          <w:w w:val="105"/>
          <w:sz w:val="17"/>
        </w:rPr>
        <w:t>and</w:t>
      </w:r>
      <w:r>
        <w:rPr>
          <w:rFonts w:ascii="Times New Roman" w:hAnsi="Times New Roman"/>
          <w:i/>
          <w:spacing w:val="-11"/>
          <w:w w:val="105"/>
          <w:sz w:val="17"/>
        </w:rPr>
        <w:t> </w:t>
      </w:r>
      <w:r>
        <w:rPr>
          <w:rFonts w:ascii="Times New Roman" w:hAnsi="Times New Roman"/>
          <w:i/>
          <w:w w:val="105"/>
          <w:sz w:val="17"/>
        </w:rPr>
        <w:t>Peñuelas,</w:t>
      </w:r>
      <w:r>
        <w:rPr>
          <w:rFonts w:ascii="Times New Roman" w:hAnsi="Times New Roman"/>
          <w:i/>
          <w:spacing w:val="-14"/>
          <w:w w:val="105"/>
          <w:sz w:val="17"/>
        </w:rPr>
        <w:t> </w:t>
      </w:r>
      <w:r>
        <w:rPr>
          <w:rFonts w:ascii="Times New Roman" w:hAnsi="Times New Roman"/>
          <w:i/>
          <w:w w:val="105"/>
          <w:sz w:val="17"/>
        </w:rPr>
        <w:t>C.G.</w:t>
      </w:r>
      <w:r>
        <w:rPr>
          <w:rFonts w:ascii="Times New Roman" w:hAnsi="Times New Roman"/>
          <w:i/>
          <w:spacing w:val="-14"/>
          <w:w w:val="105"/>
          <w:sz w:val="17"/>
        </w:rPr>
        <w:t> </w:t>
      </w:r>
      <w:r>
        <w:rPr>
          <w:rFonts w:ascii="Times New Roman" w:hAnsi="Times New Roman"/>
          <w:i/>
          <w:w w:val="105"/>
          <w:sz w:val="17"/>
        </w:rPr>
        <w:t>2013. </w:t>
      </w:r>
      <w:r>
        <w:rPr>
          <w:rFonts w:ascii="Times New Roman" w:hAnsi="Times New Roman"/>
          <w:i/>
          <w:w w:val="105"/>
          <w:sz w:val="17"/>
        </w:rPr>
        <w:t>Effects of exogenous enzymes and Salix babylonica L. extract on cellular immune response and its correlation with average</w:t>
      </w:r>
      <w:r>
        <w:rPr>
          <w:rFonts w:ascii="Times New Roman" w:hAnsi="Times New Roman"/>
          <w:i/>
          <w:spacing w:val="-13"/>
          <w:w w:val="105"/>
          <w:sz w:val="17"/>
        </w:rPr>
        <w:t> </w:t>
      </w:r>
      <w:r>
        <w:rPr>
          <w:rFonts w:ascii="Times New Roman" w:hAnsi="Times New Roman"/>
          <w:i/>
          <w:w w:val="105"/>
          <w:sz w:val="17"/>
        </w:rPr>
        <w:t>daily</w:t>
      </w:r>
      <w:r>
        <w:rPr>
          <w:rFonts w:ascii="Times New Roman" w:hAnsi="Times New Roman"/>
          <w:i/>
          <w:spacing w:val="-14"/>
          <w:w w:val="105"/>
          <w:sz w:val="17"/>
        </w:rPr>
        <w:t> </w:t>
      </w:r>
      <w:r>
        <w:rPr>
          <w:rFonts w:ascii="Times New Roman" w:hAnsi="Times New Roman"/>
          <w:i/>
          <w:w w:val="105"/>
          <w:sz w:val="17"/>
        </w:rPr>
        <w:t>weight</w:t>
      </w:r>
      <w:r>
        <w:rPr>
          <w:rFonts w:ascii="Times New Roman" w:hAnsi="Times New Roman"/>
          <w:i/>
          <w:spacing w:val="-12"/>
          <w:w w:val="105"/>
          <w:sz w:val="17"/>
        </w:rPr>
        <w:t> </w:t>
      </w:r>
      <w:r>
        <w:rPr>
          <w:rFonts w:ascii="Times New Roman" w:hAnsi="Times New Roman"/>
          <w:i/>
          <w:w w:val="105"/>
          <w:sz w:val="17"/>
        </w:rPr>
        <w:t>gain</w:t>
      </w:r>
      <w:r>
        <w:rPr>
          <w:rFonts w:ascii="Times New Roman" w:hAnsi="Times New Roman"/>
          <w:i/>
          <w:spacing w:val="-13"/>
          <w:w w:val="105"/>
          <w:sz w:val="17"/>
        </w:rPr>
        <w:t> </w:t>
      </w:r>
      <w:r>
        <w:rPr>
          <w:rFonts w:ascii="Times New Roman" w:hAnsi="Times New Roman"/>
          <w:i/>
          <w:w w:val="105"/>
          <w:sz w:val="17"/>
        </w:rPr>
        <w:t>in</w:t>
      </w:r>
      <w:r>
        <w:rPr>
          <w:rFonts w:ascii="Times New Roman" w:hAnsi="Times New Roman"/>
          <w:i/>
          <w:spacing w:val="-13"/>
          <w:w w:val="105"/>
          <w:sz w:val="17"/>
        </w:rPr>
        <w:t> </w:t>
      </w:r>
      <w:r>
        <w:rPr>
          <w:rFonts w:ascii="Times New Roman" w:hAnsi="Times New Roman"/>
          <w:i/>
          <w:w w:val="105"/>
          <w:sz w:val="17"/>
        </w:rPr>
        <w:t>growing</w:t>
      </w:r>
      <w:r>
        <w:rPr>
          <w:rFonts w:ascii="Times New Roman" w:hAnsi="Times New Roman"/>
          <w:i/>
          <w:spacing w:val="-13"/>
          <w:w w:val="105"/>
          <w:sz w:val="17"/>
        </w:rPr>
        <w:t> </w:t>
      </w:r>
      <w:r>
        <w:rPr>
          <w:rFonts w:ascii="Times New Roman" w:hAnsi="Times New Roman"/>
          <w:i/>
          <w:w w:val="105"/>
          <w:sz w:val="17"/>
        </w:rPr>
        <w:t>lambs.</w:t>
      </w:r>
      <w:r>
        <w:rPr>
          <w:rFonts w:ascii="Times New Roman" w:hAnsi="Times New Roman"/>
          <w:i/>
          <w:spacing w:val="-14"/>
          <w:w w:val="105"/>
          <w:sz w:val="17"/>
        </w:rPr>
        <w:t> </w:t>
      </w:r>
      <w:r>
        <w:rPr>
          <w:rFonts w:ascii="Times New Roman" w:hAnsi="Times New Roman"/>
          <w:i/>
          <w:w w:val="105"/>
          <w:sz w:val="17"/>
        </w:rPr>
        <w:t>Animal</w:t>
      </w:r>
      <w:r>
        <w:rPr>
          <w:rFonts w:ascii="Times New Roman" w:hAnsi="Times New Roman"/>
          <w:i/>
          <w:spacing w:val="-12"/>
          <w:w w:val="105"/>
          <w:sz w:val="17"/>
        </w:rPr>
        <w:t> </w:t>
      </w:r>
      <w:r>
        <w:rPr>
          <w:rFonts w:ascii="Times New Roman" w:hAnsi="Times New Roman"/>
          <w:i/>
          <w:w w:val="105"/>
          <w:sz w:val="17"/>
        </w:rPr>
        <w:t>Nutrition</w:t>
      </w:r>
      <w:r>
        <w:rPr>
          <w:rFonts w:ascii="Times New Roman" w:hAnsi="Times New Roman"/>
          <w:i/>
          <w:spacing w:val="-13"/>
          <w:w w:val="105"/>
          <w:sz w:val="17"/>
        </w:rPr>
        <w:t> </w:t>
      </w:r>
      <w:r>
        <w:rPr>
          <w:rFonts w:ascii="Times New Roman" w:hAnsi="Times New Roman"/>
          <w:i/>
          <w:w w:val="105"/>
          <w:sz w:val="17"/>
        </w:rPr>
        <w:t>and</w:t>
      </w:r>
      <w:r>
        <w:rPr>
          <w:rFonts w:ascii="Times New Roman" w:hAnsi="Times New Roman"/>
          <w:i/>
          <w:spacing w:val="-13"/>
          <w:w w:val="105"/>
          <w:sz w:val="17"/>
        </w:rPr>
        <w:t> </w:t>
      </w:r>
      <w:r>
        <w:rPr>
          <w:rFonts w:ascii="Times New Roman" w:hAnsi="Times New Roman"/>
          <w:i/>
          <w:w w:val="105"/>
          <w:sz w:val="17"/>
        </w:rPr>
        <w:t>Feed</w:t>
      </w:r>
      <w:r>
        <w:rPr>
          <w:rFonts w:ascii="Times New Roman" w:hAnsi="Times New Roman"/>
          <w:i/>
          <w:spacing w:val="-13"/>
          <w:w w:val="105"/>
          <w:sz w:val="17"/>
        </w:rPr>
        <w:t> </w:t>
      </w:r>
      <w:r>
        <w:rPr>
          <w:rFonts w:ascii="Times New Roman" w:hAnsi="Times New Roman"/>
          <w:i/>
          <w:w w:val="105"/>
          <w:sz w:val="17"/>
        </w:rPr>
        <w:t>Technology,</w:t>
      </w:r>
      <w:r>
        <w:rPr>
          <w:rFonts w:ascii="Times New Roman" w:hAnsi="Times New Roman"/>
          <w:i/>
          <w:spacing w:val="-14"/>
          <w:w w:val="105"/>
          <w:sz w:val="17"/>
        </w:rPr>
        <w:t> </w:t>
      </w:r>
      <w:r>
        <w:rPr>
          <w:rFonts w:ascii="Times New Roman" w:hAnsi="Times New Roman"/>
          <w:i/>
          <w:w w:val="105"/>
          <w:sz w:val="17"/>
        </w:rPr>
        <w:t>13:</w:t>
      </w:r>
      <w:r>
        <w:rPr>
          <w:rFonts w:ascii="Times New Roman" w:hAnsi="Times New Roman"/>
          <w:i/>
          <w:spacing w:val="-12"/>
          <w:w w:val="105"/>
          <w:sz w:val="17"/>
        </w:rPr>
        <w:t> </w:t>
      </w:r>
      <w:r>
        <w:rPr>
          <w:rFonts w:ascii="Times New Roman" w:hAnsi="Times New Roman"/>
          <w:i/>
          <w:w w:val="105"/>
          <w:sz w:val="17"/>
        </w:rPr>
        <w:t>411-422.</w:t>
      </w:r>
    </w:p>
    <w:p>
      <w:pPr>
        <w:spacing w:line="283" w:lineRule="auto" w:before="118"/>
        <w:ind w:left="178" w:right="123" w:firstLine="492"/>
        <w:jc w:val="both"/>
        <w:rPr>
          <w:rFonts w:ascii="Times New Roman" w:hAnsi="Times New Roman"/>
          <w:sz w:val="17"/>
        </w:rPr>
      </w:pPr>
      <w:r>
        <w:rPr>
          <w:rFonts w:ascii="Times New Roman" w:hAnsi="Times New Roman"/>
          <w:w w:val="105"/>
          <w:sz w:val="17"/>
        </w:rPr>
        <w:t>The aim of this study was to determine the effects of exogenous enzyme (EZ) and </w:t>
      </w:r>
      <w:r>
        <w:rPr>
          <w:rFonts w:ascii="Times New Roman" w:hAnsi="Times New Roman"/>
          <w:i/>
          <w:w w:val="105"/>
          <w:sz w:val="17"/>
        </w:rPr>
        <w:t>Salix babylonica </w:t>
      </w:r>
      <w:r>
        <w:rPr>
          <w:rFonts w:ascii="Times New Roman" w:hAnsi="Times New Roman"/>
          <w:w w:val="105"/>
          <w:sz w:val="17"/>
        </w:rPr>
        <w:t>L. (SB) extract</w:t>
      </w:r>
      <w:r>
        <w:rPr>
          <w:rFonts w:ascii="Times New Roman" w:hAnsi="Times New Roman"/>
          <w:spacing w:val="-3"/>
          <w:w w:val="105"/>
          <w:sz w:val="17"/>
        </w:rPr>
        <w:t> </w:t>
      </w:r>
      <w:r>
        <w:rPr>
          <w:rFonts w:ascii="Times New Roman" w:hAnsi="Times New Roman"/>
          <w:w w:val="105"/>
          <w:sz w:val="17"/>
        </w:rPr>
        <w:t>on</w:t>
      </w:r>
      <w:r>
        <w:rPr>
          <w:rFonts w:ascii="Times New Roman" w:hAnsi="Times New Roman"/>
          <w:spacing w:val="-2"/>
          <w:w w:val="105"/>
          <w:sz w:val="17"/>
        </w:rPr>
        <w:t> </w:t>
      </w:r>
      <w:r>
        <w:rPr>
          <w:rFonts w:ascii="Times New Roman" w:hAnsi="Times New Roman"/>
          <w:w w:val="105"/>
          <w:sz w:val="17"/>
        </w:rPr>
        <w:t>cellular</w:t>
      </w:r>
      <w:r>
        <w:rPr>
          <w:rFonts w:ascii="Times New Roman" w:hAnsi="Times New Roman"/>
          <w:spacing w:val="-3"/>
          <w:w w:val="105"/>
          <w:sz w:val="17"/>
        </w:rPr>
        <w:t> </w:t>
      </w:r>
      <w:r>
        <w:rPr>
          <w:rFonts w:ascii="Times New Roman" w:hAnsi="Times New Roman"/>
          <w:w w:val="105"/>
          <w:sz w:val="17"/>
        </w:rPr>
        <w:t>immune</w:t>
      </w:r>
      <w:r>
        <w:rPr>
          <w:rFonts w:ascii="Times New Roman" w:hAnsi="Times New Roman"/>
          <w:spacing w:val="-5"/>
          <w:w w:val="105"/>
          <w:sz w:val="17"/>
        </w:rPr>
        <w:t> </w:t>
      </w:r>
      <w:r>
        <w:rPr>
          <w:rFonts w:ascii="Times New Roman" w:hAnsi="Times New Roman"/>
          <w:w w:val="105"/>
          <w:sz w:val="17"/>
        </w:rPr>
        <w:t>response,</w:t>
      </w:r>
      <w:r>
        <w:rPr>
          <w:rFonts w:ascii="Times New Roman" w:hAnsi="Times New Roman"/>
          <w:spacing w:val="-5"/>
          <w:w w:val="105"/>
          <w:sz w:val="17"/>
        </w:rPr>
        <w:t> </w:t>
      </w:r>
      <w:r>
        <w:rPr>
          <w:rFonts w:ascii="Times New Roman" w:hAnsi="Times New Roman"/>
          <w:w w:val="105"/>
          <w:sz w:val="17"/>
        </w:rPr>
        <w:t>and</w:t>
      </w:r>
      <w:r>
        <w:rPr>
          <w:rFonts w:ascii="Times New Roman" w:hAnsi="Times New Roman"/>
          <w:spacing w:val="-3"/>
          <w:w w:val="105"/>
          <w:sz w:val="17"/>
        </w:rPr>
        <w:t> </w:t>
      </w:r>
      <w:r>
        <w:rPr>
          <w:rFonts w:ascii="Times New Roman" w:hAnsi="Times New Roman"/>
          <w:w w:val="105"/>
          <w:sz w:val="17"/>
        </w:rPr>
        <w:t>its</w:t>
      </w:r>
      <w:r>
        <w:rPr>
          <w:rFonts w:ascii="Times New Roman" w:hAnsi="Times New Roman"/>
          <w:spacing w:val="-3"/>
          <w:w w:val="105"/>
          <w:sz w:val="17"/>
        </w:rPr>
        <w:t> </w:t>
      </w:r>
      <w:r>
        <w:rPr>
          <w:rFonts w:ascii="Times New Roman" w:hAnsi="Times New Roman"/>
          <w:w w:val="105"/>
          <w:sz w:val="17"/>
        </w:rPr>
        <w:t>correlation</w:t>
      </w:r>
      <w:r>
        <w:rPr>
          <w:rFonts w:ascii="Times New Roman" w:hAnsi="Times New Roman"/>
          <w:spacing w:val="-3"/>
          <w:w w:val="105"/>
          <w:sz w:val="17"/>
        </w:rPr>
        <w:t> </w:t>
      </w:r>
      <w:r>
        <w:rPr>
          <w:rFonts w:ascii="Times New Roman" w:hAnsi="Times New Roman"/>
          <w:w w:val="105"/>
          <w:sz w:val="17"/>
        </w:rPr>
        <w:t>with</w:t>
      </w:r>
      <w:r>
        <w:rPr>
          <w:rFonts w:ascii="Times New Roman" w:hAnsi="Times New Roman"/>
          <w:spacing w:val="-3"/>
          <w:w w:val="105"/>
          <w:sz w:val="17"/>
        </w:rPr>
        <w:t> </w:t>
      </w:r>
      <w:r>
        <w:rPr>
          <w:rFonts w:ascii="Times New Roman" w:hAnsi="Times New Roman"/>
          <w:w w:val="105"/>
          <w:sz w:val="17"/>
        </w:rPr>
        <w:t>average</w:t>
      </w:r>
      <w:r>
        <w:rPr>
          <w:rFonts w:ascii="Times New Roman" w:hAnsi="Times New Roman"/>
          <w:spacing w:val="-7"/>
          <w:w w:val="105"/>
          <w:sz w:val="17"/>
        </w:rPr>
        <w:t> </w:t>
      </w:r>
      <w:r>
        <w:rPr>
          <w:rFonts w:ascii="Times New Roman" w:hAnsi="Times New Roman"/>
          <w:w w:val="105"/>
          <w:sz w:val="17"/>
        </w:rPr>
        <w:t>daily</w:t>
      </w:r>
      <w:r>
        <w:rPr>
          <w:rFonts w:ascii="Times New Roman" w:hAnsi="Times New Roman"/>
          <w:spacing w:val="-3"/>
          <w:w w:val="105"/>
          <w:sz w:val="17"/>
        </w:rPr>
        <w:t> </w:t>
      </w:r>
      <w:r>
        <w:rPr>
          <w:rFonts w:ascii="Times New Roman" w:hAnsi="Times New Roman"/>
          <w:w w:val="105"/>
          <w:sz w:val="17"/>
        </w:rPr>
        <w:t>weight</w:t>
      </w:r>
      <w:r>
        <w:rPr>
          <w:rFonts w:ascii="Times New Roman" w:hAnsi="Times New Roman"/>
          <w:spacing w:val="-3"/>
          <w:w w:val="105"/>
          <w:sz w:val="17"/>
        </w:rPr>
        <w:t> </w:t>
      </w:r>
      <w:r>
        <w:rPr>
          <w:rFonts w:ascii="Times New Roman" w:hAnsi="Times New Roman"/>
          <w:w w:val="105"/>
          <w:sz w:val="17"/>
        </w:rPr>
        <w:t>gain</w:t>
      </w:r>
      <w:r>
        <w:rPr>
          <w:rFonts w:ascii="Times New Roman" w:hAnsi="Times New Roman"/>
          <w:spacing w:val="-3"/>
          <w:w w:val="105"/>
          <w:sz w:val="17"/>
        </w:rPr>
        <w:t> </w:t>
      </w:r>
      <w:r>
        <w:rPr>
          <w:rFonts w:ascii="Times New Roman" w:hAnsi="Times New Roman"/>
          <w:w w:val="105"/>
          <w:sz w:val="17"/>
        </w:rPr>
        <w:t>(ADG).</w:t>
      </w:r>
      <w:r>
        <w:rPr>
          <w:rFonts w:ascii="Times New Roman" w:hAnsi="Times New Roman"/>
          <w:spacing w:val="-5"/>
          <w:w w:val="105"/>
          <w:sz w:val="17"/>
        </w:rPr>
        <w:t> </w:t>
      </w:r>
      <w:r>
        <w:rPr>
          <w:rFonts w:ascii="Times New Roman" w:hAnsi="Times New Roman"/>
          <w:w w:val="105"/>
          <w:sz w:val="17"/>
        </w:rPr>
        <w:t>Twenty</w:t>
      </w:r>
      <w:r>
        <w:rPr>
          <w:rFonts w:ascii="Times New Roman" w:hAnsi="Times New Roman"/>
          <w:spacing w:val="-5"/>
          <w:w w:val="105"/>
          <w:sz w:val="17"/>
        </w:rPr>
        <w:t> </w:t>
      </w:r>
      <w:r>
        <w:rPr>
          <w:rFonts w:ascii="Times New Roman" w:hAnsi="Times New Roman"/>
          <w:w w:val="105"/>
          <w:sz w:val="17"/>
        </w:rPr>
        <w:t>Suffolk</w:t>
      </w:r>
      <w:r>
        <w:rPr>
          <w:rFonts w:ascii="Times New Roman" w:hAnsi="Times New Roman"/>
          <w:spacing w:val="-5"/>
          <w:w w:val="105"/>
          <w:sz w:val="17"/>
        </w:rPr>
        <w:t> </w:t>
      </w:r>
      <w:r>
        <w:rPr>
          <w:rFonts w:ascii="Times New Roman" w:hAnsi="Times New Roman"/>
          <w:w w:val="105"/>
          <w:sz w:val="17"/>
        </w:rPr>
        <w:t>lambs, 6-8 months of age and average live weight of 24±0.3 kg, were used in a trial which lasted 60 days. The lambs were distributed</w:t>
      </w:r>
      <w:r>
        <w:rPr>
          <w:rFonts w:ascii="Times New Roman" w:hAnsi="Times New Roman"/>
          <w:spacing w:val="-5"/>
          <w:w w:val="105"/>
          <w:sz w:val="17"/>
        </w:rPr>
        <w:t> </w:t>
      </w:r>
      <w:r>
        <w:rPr>
          <w:rFonts w:ascii="Times New Roman" w:hAnsi="Times New Roman"/>
          <w:w w:val="105"/>
          <w:sz w:val="17"/>
        </w:rPr>
        <w:t>into</w:t>
      </w:r>
      <w:r>
        <w:rPr>
          <w:rFonts w:ascii="Times New Roman" w:hAnsi="Times New Roman"/>
          <w:spacing w:val="-7"/>
          <w:w w:val="105"/>
          <w:sz w:val="17"/>
        </w:rPr>
        <w:t> </w:t>
      </w:r>
      <w:r>
        <w:rPr>
          <w:rFonts w:ascii="Times New Roman" w:hAnsi="Times New Roman"/>
          <w:w w:val="105"/>
          <w:sz w:val="17"/>
        </w:rPr>
        <w:t>4</w:t>
      </w:r>
      <w:r>
        <w:rPr>
          <w:rFonts w:ascii="Times New Roman" w:hAnsi="Times New Roman"/>
          <w:spacing w:val="-1"/>
          <w:w w:val="105"/>
          <w:sz w:val="17"/>
        </w:rPr>
        <w:t> </w:t>
      </w:r>
      <w:r>
        <w:rPr>
          <w:rFonts w:ascii="Times New Roman" w:hAnsi="Times New Roman"/>
          <w:w w:val="105"/>
          <w:sz w:val="17"/>
        </w:rPr>
        <w:t>groups</w:t>
      </w:r>
      <w:r>
        <w:rPr>
          <w:rFonts w:ascii="Times New Roman" w:hAnsi="Times New Roman"/>
          <w:spacing w:val="-5"/>
          <w:w w:val="105"/>
          <w:sz w:val="17"/>
        </w:rPr>
        <w:t> </w:t>
      </w:r>
      <w:r>
        <w:rPr>
          <w:rFonts w:ascii="Times New Roman" w:hAnsi="Times New Roman"/>
          <w:w w:val="105"/>
          <w:sz w:val="17"/>
        </w:rPr>
        <w:t>of</w:t>
      </w:r>
      <w:r>
        <w:rPr>
          <w:rFonts w:ascii="Times New Roman" w:hAnsi="Times New Roman"/>
          <w:spacing w:val="-5"/>
          <w:w w:val="105"/>
          <w:sz w:val="17"/>
        </w:rPr>
        <w:t> </w:t>
      </w:r>
      <w:r>
        <w:rPr>
          <w:rFonts w:ascii="Times New Roman" w:hAnsi="Times New Roman"/>
          <w:w w:val="105"/>
          <w:sz w:val="17"/>
        </w:rPr>
        <w:t>5</w:t>
      </w:r>
      <w:r>
        <w:rPr>
          <w:rFonts w:ascii="Times New Roman" w:hAnsi="Times New Roman"/>
          <w:spacing w:val="-3"/>
          <w:w w:val="105"/>
          <w:sz w:val="17"/>
        </w:rPr>
        <w:t> </w:t>
      </w:r>
      <w:r>
        <w:rPr>
          <w:rFonts w:ascii="Times New Roman" w:hAnsi="Times New Roman"/>
          <w:w w:val="105"/>
          <w:sz w:val="17"/>
        </w:rPr>
        <w:t>lambs</w:t>
      </w:r>
      <w:r>
        <w:rPr>
          <w:rFonts w:ascii="Times New Roman" w:hAnsi="Times New Roman"/>
          <w:spacing w:val="-5"/>
          <w:w w:val="105"/>
          <w:sz w:val="17"/>
        </w:rPr>
        <w:t> </w:t>
      </w:r>
      <w:r>
        <w:rPr>
          <w:rFonts w:ascii="Times New Roman" w:hAnsi="Times New Roman"/>
          <w:w w:val="105"/>
          <w:sz w:val="17"/>
        </w:rPr>
        <w:t>each</w:t>
      </w:r>
      <w:r>
        <w:rPr>
          <w:rFonts w:ascii="Times New Roman" w:hAnsi="Times New Roman"/>
          <w:spacing w:val="-5"/>
          <w:w w:val="105"/>
          <w:sz w:val="17"/>
        </w:rPr>
        <w:t> </w:t>
      </w:r>
      <w:r>
        <w:rPr>
          <w:rFonts w:ascii="Times New Roman" w:hAnsi="Times New Roman"/>
          <w:w w:val="105"/>
          <w:sz w:val="17"/>
        </w:rPr>
        <w:t>and</w:t>
      </w:r>
      <w:r>
        <w:rPr>
          <w:rFonts w:ascii="Times New Roman" w:hAnsi="Times New Roman"/>
          <w:spacing w:val="-3"/>
          <w:w w:val="105"/>
          <w:sz w:val="17"/>
        </w:rPr>
        <w:t> </w:t>
      </w:r>
      <w:r>
        <w:rPr>
          <w:rFonts w:ascii="Times New Roman" w:hAnsi="Times New Roman"/>
          <w:w w:val="105"/>
          <w:sz w:val="17"/>
        </w:rPr>
        <w:t>housed</w:t>
      </w:r>
      <w:r>
        <w:rPr>
          <w:rFonts w:ascii="Times New Roman" w:hAnsi="Times New Roman"/>
          <w:spacing w:val="-3"/>
          <w:w w:val="105"/>
          <w:sz w:val="17"/>
        </w:rPr>
        <w:t> </w:t>
      </w:r>
      <w:r>
        <w:rPr>
          <w:rFonts w:ascii="Times New Roman" w:hAnsi="Times New Roman"/>
          <w:w w:val="105"/>
          <w:sz w:val="17"/>
        </w:rPr>
        <w:t>in</w:t>
      </w:r>
      <w:r>
        <w:rPr>
          <w:rFonts w:ascii="Times New Roman" w:hAnsi="Times New Roman"/>
          <w:spacing w:val="-5"/>
          <w:w w:val="105"/>
          <w:sz w:val="17"/>
        </w:rPr>
        <w:t> </w:t>
      </w:r>
      <w:r>
        <w:rPr>
          <w:rFonts w:ascii="Times New Roman" w:hAnsi="Times New Roman"/>
          <w:w w:val="105"/>
          <w:sz w:val="17"/>
        </w:rPr>
        <w:t>individual</w:t>
      </w:r>
      <w:r>
        <w:rPr>
          <w:rFonts w:ascii="Times New Roman" w:hAnsi="Times New Roman"/>
          <w:spacing w:val="-5"/>
          <w:w w:val="105"/>
          <w:sz w:val="17"/>
        </w:rPr>
        <w:t> </w:t>
      </w:r>
      <w:r>
        <w:rPr>
          <w:rFonts w:ascii="Times New Roman" w:hAnsi="Times New Roman"/>
          <w:w w:val="105"/>
          <w:sz w:val="17"/>
        </w:rPr>
        <w:t>1.5x1.5</w:t>
      </w:r>
      <w:r>
        <w:rPr>
          <w:rFonts w:ascii="Times New Roman" w:hAnsi="Times New Roman"/>
          <w:spacing w:val="-5"/>
          <w:w w:val="105"/>
          <w:sz w:val="17"/>
        </w:rPr>
        <w:t> </w:t>
      </w:r>
      <w:r>
        <w:rPr>
          <w:rFonts w:ascii="Times New Roman" w:hAnsi="Times New Roman"/>
          <w:w w:val="105"/>
          <w:sz w:val="17"/>
        </w:rPr>
        <w:t>m</w:t>
      </w:r>
      <w:r>
        <w:rPr>
          <w:rFonts w:ascii="Times New Roman" w:hAnsi="Times New Roman"/>
          <w:spacing w:val="-8"/>
          <w:w w:val="105"/>
          <w:sz w:val="17"/>
        </w:rPr>
        <w:t> </w:t>
      </w:r>
      <w:r>
        <w:rPr>
          <w:rFonts w:ascii="Times New Roman" w:hAnsi="Times New Roman"/>
          <w:w w:val="105"/>
          <w:sz w:val="17"/>
        </w:rPr>
        <w:t>cages</w:t>
      </w:r>
      <w:r>
        <w:rPr>
          <w:rFonts w:ascii="Times New Roman" w:hAnsi="Times New Roman"/>
          <w:spacing w:val="-5"/>
          <w:w w:val="105"/>
          <w:sz w:val="17"/>
        </w:rPr>
        <w:t> </w:t>
      </w:r>
      <w:r>
        <w:rPr>
          <w:rFonts w:ascii="Times New Roman" w:hAnsi="Times New Roman"/>
          <w:w w:val="105"/>
          <w:sz w:val="17"/>
        </w:rPr>
        <w:t>in</w:t>
      </w:r>
      <w:r>
        <w:rPr>
          <w:rFonts w:ascii="Times New Roman" w:hAnsi="Times New Roman"/>
          <w:spacing w:val="-3"/>
          <w:w w:val="105"/>
          <w:sz w:val="17"/>
        </w:rPr>
        <w:t> </w:t>
      </w:r>
      <w:r>
        <w:rPr>
          <w:rFonts w:ascii="Times New Roman" w:hAnsi="Times New Roman"/>
          <w:w w:val="105"/>
          <w:sz w:val="17"/>
        </w:rPr>
        <w:t>a</w:t>
      </w:r>
      <w:r>
        <w:rPr>
          <w:rFonts w:ascii="Times New Roman" w:hAnsi="Times New Roman"/>
          <w:spacing w:val="-5"/>
          <w:w w:val="105"/>
          <w:sz w:val="17"/>
        </w:rPr>
        <w:t> </w:t>
      </w:r>
      <w:r>
        <w:rPr>
          <w:rFonts w:ascii="Times New Roman" w:hAnsi="Times New Roman"/>
          <w:w w:val="105"/>
          <w:sz w:val="17"/>
        </w:rPr>
        <w:t>completely</w:t>
      </w:r>
      <w:r>
        <w:rPr>
          <w:rFonts w:ascii="Times New Roman" w:hAnsi="Times New Roman"/>
          <w:spacing w:val="-3"/>
          <w:w w:val="105"/>
          <w:sz w:val="17"/>
        </w:rPr>
        <w:t> </w:t>
      </w:r>
      <w:r>
        <w:rPr>
          <w:rFonts w:ascii="Times New Roman" w:hAnsi="Times New Roman"/>
          <w:w w:val="105"/>
          <w:sz w:val="17"/>
        </w:rPr>
        <w:t>randomized</w:t>
      </w:r>
      <w:r>
        <w:rPr>
          <w:rFonts w:ascii="Times New Roman" w:hAnsi="Times New Roman"/>
          <w:spacing w:val="-3"/>
          <w:w w:val="105"/>
          <w:sz w:val="17"/>
        </w:rPr>
        <w:t> </w:t>
      </w:r>
      <w:r>
        <w:rPr>
          <w:rFonts w:ascii="Times New Roman" w:hAnsi="Times New Roman"/>
          <w:w w:val="105"/>
          <w:sz w:val="17"/>
        </w:rPr>
        <w:t>design. The</w:t>
      </w:r>
      <w:r>
        <w:rPr>
          <w:rFonts w:ascii="Times New Roman" w:hAnsi="Times New Roman"/>
          <w:spacing w:val="-5"/>
          <w:w w:val="105"/>
          <w:sz w:val="17"/>
        </w:rPr>
        <w:t> </w:t>
      </w:r>
      <w:r>
        <w:rPr>
          <w:rFonts w:ascii="Times New Roman" w:hAnsi="Times New Roman"/>
          <w:w w:val="105"/>
          <w:sz w:val="17"/>
        </w:rPr>
        <w:t>treatments</w:t>
      </w:r>
      <w:r>
        <w:rPr>
          <w:rFonts w:ascii="Times New Roman" w:hAnsi="Times New Roman"/>
          <w:spacing w:val="-2"/>
          <w:w w:val="105"/>
          <w:sz w:val="17"/>
        </w:rPr>
        <w:t> </w:t>
      </w:r>
      <w:r>
        <w:rPr>
          <w:rFonts w:ascii="Times New Roman" w:hAnsi="Times New Roman"/>
          <w:w w:val="105"/>
          <w:sz w:val="17"/>
        </w:rPr>
        <w:t>were:</w:t>
      </w:r>
      <w:r>
        <w:rPr>
          <w:rFonts w:ascii="Times New Roman" w:hAnsi="Times New Roman"/>
          <w:spacing w:val="-2"/>
          <w:w w:val="105"/>
          <w:sz w:val="17"/>
        </w:rPr>
        <w:t> </w:t>
      </w:r>
      <w:r>
        <w:rPr>
          <w:rFonts w:ascii="Times New Roman" w:hAnsi="Times New Roman"/>
          <w:w w:val="105"/>
          <w:sz w:val="17"/>
        </w:rPr>
        <w:t>(i)</w:t>
      </w:r>
      <w:r>
        <w:rPr>
          <w:rFonts w:ascii="Times New Roman" w:hAnsi="Times New Roman"/>
          <w:spacing w:val="-2"/>
          <w:w w:val="105"/>
          <w:sz w:val="17"/>
        </w:rPr>
        <w:t> </w:t>
      </w:r>
      <w:r>
        <w:rPr>
          <w:rFonts w:ascii="Times New Roman" w:hAnsi="Times New Roman"/>
          <w:w w:val="105"/>
          <w:sz w:val="17"/>
        </w:rPr>
        <w:t>Control; lambs</w:t>
      </w:r>
      <w:r>
        <w:rPr>
          <w:rFonts w:ascii="Times New Roman" w:hAnsi="Times New Roman"/>
          <w:spacing w:val="-4"/>
          <w:w w:val="105"/>
          <w:sz w:val="17"/>
        </w:rPr>
        <w:t> </w:t>
      </w:r>
      <w:r>
        <w:rPr>
          <w:rFonts w:ascii="Times New Roman" w:hAnsi="Times New Roman"/>
          <w:w w:val="105"/>
          <w:sz w:val="17"/>
        </w:rPr>
        <w:t>consuming</w:t>
      </w:r>
      <w:r>
        <w:rPr>
          <w:rFonts w:ascii="Times New Roman" w:hAnsi="Times New Roman"/>
          <w:spacing w:val="-5"/>
          <w:w w:val="105"/>
          <w:sz w:val="17"/>
        </w:rPr>
        <w:t> </w:t>
      </w:r>
      <w:r>
        <w:rPr>
          <w:rFonts w:ascii="Times New Roman" w:hAnsi="Times New Roman"/>
          <w:w w:val="105"/>
          <w:sz w:val="17"/>
        </w:rPr>
        <w:t>basal</w:t>
      </w:r>
      <w:r>
        <w:rPr>
          <w:rFonts w:ascii="Times New Roman" w:hAnsi="Times New Roman"/>
          <w:spacing w:val="-2"/>
          <w:w w:val="105"/>
          <w:sz w:val="17"/>
        </w:rPr>
        <w:t> </w:t>
      </w:r>
      <w:r>
        <w:rPr>
          <w:rFonts w:ascii="Times New Roman" w:hAnsi="Times New Roman"/>
          <w:w w:val="105"/>
          <w:sz w:val="17"/>
        </w:rPr>
        <w:t>diet</w:t>
      </w:r>
      <w:r>
        <w:rPr>
          <w:rFonts w:ascii="Times New Roman" w:hAnsi="Times New Roman"/>
          <w:spacing w:val="-2"/>
          <w:w w:val="105"/>
          <w:sz w:val="17"/>
        </w:rPr>
        <w:t> </w:t>
      </w:r>
      <w:r>
        <w:rPr>
          <w:rFonts w:ascii="Times New Roman" w:hAnsi="Times New Roman"/>
          <w:w w:val="105"/>
          <w:sz w:val="17"/>
        </w:rPr>
        <w:t>(BD)</w:t>
      </w:r>
      <w:r>
        <w:rPr>
          <w:rFonts w:ascii="Times New Roman" w:hAnsi="Times New Roman"/>
          <w:spacing w:val="-2"/>
          <w:w w:val="105"/>
          <w:sz w:val="17"/>
        </w:rPr>
        <w:t> </w:t>
      </w:r>
      <w:r>
        <w:rPr>
          <w:rFonts w:ascii="Times New Roman" w:hAnsi="Times New Roman"/>
          <w:w w:val="105"/>
          <w:sz w:val="17"/>
        </w:rPr>
        <w:t>only;</w:t>
      </w:r>
      <w:r>
        <w:rPr>
          <w:rFonts w:ascii="Times New Roman" w:hAnsi="Times New Roman"/>
          <w:spacing w:val="-2"/>
          <w:w w:val="105"/>
          <w:sz w:val="17"/>
        </w:rPr>
        <w:t> </w:t>
      </w:r>
      <w:r>
        <w:rPr>
          <w:rFonts w:ascii="Times New Roman" w:hAnsi="Times New Roman"/>
          <w:w w:val="105"/>
          <w:sz w:val="17"/>
        </w:rPr>
        <w:t>(ii)</w:t>
      </w:r>
      <w:r>
        <w:rPr>
          <w:rFonts w:ascii="Times New Roman" w:hAnsi="Times New Roman"/>
          <w:spacing w:val="-2"/>
          <w:w w:val="105"/>
          <w:sz w:val="17"/>
        </w:rPr>
        <w:t> </w:t>
      </w:r>
      <w:r>
        <w:rPr>
          <w:rFonts w:ascii="Times New Roman" w:hAnsi="Times New Roman"/>
          <w:w w:val="105"/>
          <w:sz w:val="17"/>
        </w:rPr>
        <w:t>EZ;</w:t>
      </w:r>
      <w:r>
        <w:rPr>
          <w:rFonts w:ascii="Times New Roman" w:hAnsi="Times New Roman"/>
          <w:spacing w:val="-4"/>
          <w:w w:val="105"/>
          <w:sz w:val="17"/>
        </w:rPr>
        <w:t> </w:t>
      </w:r>
      <w:r>
        <w:rPr>
          <w:rFonts w:ascii="Times New Roman" w:hAnsi="Times New Roman"/>
          <w:w w:val="105"/>
          <w:sz w:val="17"/>
        </w:rPr>
        <w:t>lambs</w:t>
      </w:r>
      <w:r>
        <w:rPr>
          <w:rFonts w:ascii="Times New Roman" w:hAnsi="Times New Roman"/>
          <w:spacing w:val="-2"/>
          <w:w w:val="105"/>
          <w:sz w:val="17"/>
        </w:rPr>
        <w:t> </w:t>
      </w:r>
      <w:r>
        <w:rPr>
          <w:rFonts w:ascii="Times New Roman" w:hAnsi="Times New Roman"/>
          <w:w w:val="105"/>
          <w:sz w:val="17"/>
        </w:rPr>
        <w:t>consuming</w:t>
      </w:r>
      <w:r>
        <w:rPr>
          <w:rFonts w:ascii="Times New Roman" w:hAnsi="Times New Roman"/>
          <w:spacing w:val="-2"/>
          <w:w w:val="105"/>
          <w:sz w:val="17"/>
        </w:rPr>
        <w:t> </w:t>
      </w:r>
      <w:r>
        <w:rPr>
          <w:rFonts w:ascii="Times New Roman" w:hAnsi="Times New Roman"/>
          <w:w w:val="105"/>
          <w:sz w:val="17"/>
        </w:rPr>
        <w:t>BD</w:t>
      </w:r>
      <w:r>
        <w:rPr>
          <w:rFonts w:ascii="Times New Roman" w:hAnsi="Times New Roman"/>
          <w:spacing w:val="-3"/>
          <w:w w:val="105"/>
          <w:sz w:val="17"/>
        </w:rPr>
        <w:t> </w:t>
      </w:r>
      <w:r>
        <w:rPr>
          <w:rFonts w:ascii="Times New Roman" w:hAnsi="Times New Roman"/>
          <w:w w:val="105"/>
          <w:sz w:val="17"/>
        </w:rPr>
        <w:t>plus</w:t>
      </w:r>
      <w:r>
        <w:rPr>
          <w:rFonts w:ascii="Times New Roman" w:hAnsi="Times New Roman"/>
          <w:spacing w:val="-4"/>
          <w:w w:val="105"/>
          <w:sz w:val="17"/>
        </w:rPr>
        <w:t> </w:t>
      </w:r>
      <w:r>
        <w:rPr>
          <w:rFonts w:ascii="Times New Roman" w:hAnsi="Times New Roman"/>
          <w:w w:val="105"/>
          <w:sz w:val="17"/>
        </w:rPr>
        <w:t>10g</w:t>
      </w:r>
      <w:r>
        <w:rPr>
          <w:rFonts w:ascii="Times New Roman" w:hAnsi="Times New Roman"/>
          <w:spacing w:val="-5"/>
          <w:w w:val="105"/>
          <w:sz w:val="17"/>
        </w:rPr>
        <w:t> </w:t>
      </w:r>
      <w:r>
        <w:rPr>
          <w:rFonts w:ascii="Times New Roman" w:hAnsi="Times New Roman"/>
          <w:w w:val="105"/>
          <w:sz w:val="17"/>
        </w:rPr>
        <w:t>of</w:t>
      </w:r>
      <w:r>
        <w:rPr>
          <w:rFonts w:ascii="Times New Roman" w:hAnsi="Times New Roman"/>
          <w:spacing w:val="-4"/>
          <w:w w:val="105"/>
          <w:sz w:val="17"/>
        </w:rPr>
        <w:t> </w:t>
      </w:r>
      <w:r>
        <w:rPr>
          <w:rFonts w:ascii="Times New Roman" w:hAnsi="Times New Roman"/>
          <w:w w:val="105"/>
          <w:sz w:val="17"/>
        </w:rPr>
        <w:t>EZ (ZADO®);</w:t>
      </w:r>
      <w:r>
        <w:rPr>
          <w:rFonts w:ascii="Times New Roman" w:hAnsi="Times New Roman"/>
          <w:spacing w:val="-3"/>
          <w:w w:val="105"/>
          <w:sz w:val="17"/>
        </w:rPr>
        <w:t> </w:t>
      </w:r>
      <w:r>
        <w:rPr>
          <w:rFonts w:ascii="Times New Roman" w:hAnsi="Times New Roman"/>
          <w:w w:val="105"/>
          <w:sz w:val="17"/>
        </w:rPr>
        <w:t>(iii)</w:t>
      </w:r>
      <w:r>
        <w:rPr>
          <w:rFonts w:ascii="Times New Roman" w:hAnsi="Times New Roman"/>
          <w:spacing w:val="-3"/>
          <w:w w:val="105"/>
          <w:sz w:val="17"/>
        </w:rPr>
        <w:t> </w:t>
      </w:r>
      <w:r>
        <w:rPr>
          <w:rFonts w:ascii="Times New Roman" w:hAnsi="Times New Roman"/>
          <w:w w:val="105"/>
          <w:sz w:val="17"/>
        </w:rPr>
        <w:t>SB;</w:t>
      </w:r>
      <w:r>
        <w:rPr>
          <w:rFonts w:ascii="Times New Roman" w:hAnsi="Times New Roman"/>
          <w:spacing w:val="-6"/>
          <w:w w:val="105"/>
          <w:sz w:val="17"/>
        </w:rPr>
        <w:t> </w:t>
      </w:r>
      <w:r>
        <w:rPr>
          <w:rFonts w:ascii="Times New Roman" w:hAnsi="Times New Roman"/>
          <w:w w:val="105"/>
          <w:sz w:val="17"/>
        </w:rPr>
        <w:t>lambs</w:t>
      </w:r>
      <w:r>
        <w:rPr>
          <w:rFonts w:ascii="Times New Roman" w:hAnsi="Times New Roman"/>
          <w:spacing w:val="-3"/>
          <w:w w:val="105"/>
          <w:sz w:val="17"/>
        </w:rPr>
        <w:t> </w:t>
      </w:r>
      <w:r>
        <w:rPr>
          <w:rFonts w:ascii="Times New Roman" w:hAnsi="Times New Roman"/>
          <w:w w:val="105"/>
          <w:sz w:val="17"/>
        </w:rPr>
        <w:t>consuming</w:t>
      </w:r>
      <w:r>
        <w:rPr>
          <w:rFonts w:ascii="Times New Roman" w:hAnsi="Times New Roman"/>
          <w:spacing w:val="-6"/>
          <w:w w:val="105"/>
          <w:sz w:val="17"/>
        </w:rPr>
        <w:t> </w:t>
      </w:r>
      <w:r>
        <w:rPr>
          <w:rFonts w:ascii="Times New Roman" w:hAnsi="Times New Roman"/>
          <w:w w:val="105"/>
          <w:sz w:val="17"/>
        </w:rPr>
        <w:t>BD</w:t>
      </w:r>
      <w:r>
        <w:rPr>
          <w:rFonts w:ascii="Times New Roman" w:hAnsi="Times New Roman"/>
          <w:spacing w:val="-4"/>
          <w:w w:val="105"/>
          <w:sz w:val="17"/>
        </w:rPr>
        <w:t> </w:t>
      </w:r>
      <w:r>
        <w:rPr>
          <w:rFonts w:ascii="Times New Roman" w:hAnsi="Times New Roman"/>
          <w:w w:val="105"/>
          <w:sz w:val="17"/>
        </w:rPr>
        <w:t>plus</w:t>
      </w:r>
      <w:r>
        <w:rPr>
          <w:rFonts w:ascii="Times New Roman" w:hAnsi="Times New Roman"/>
          <w:spacing w:val="-6"/>
          <w:w w:val="105"/>
          <w:sz w:val="17"/>
        </w:rPr>
        <w:t> </w:t>
      </w:r>
      <w:r>
        <w:rPr>
          <w:rFonts w:ascii="Times New Roman" w:hAnsi="Times New Roman"/>
          <w:w w:val="105"/>
          <w:sz w:val="17"/>
        </w:rPr>
        <w:t>30</w:t>
      </w:r>
      <w:r>
        <w:rPr>
          <w:rFonts w:ascii="Times New Roman" w:hAnsi="Times New Roman"/>
          <w:spacing w:val="-4"/>
          <w:w w:val="105"/>
          <w:sz w:val="17"/>
        </w:rPr>
        <w:t> </w:t>
      </w:r>
      <w:r>
        <w:rPr>
          <w:rFonts w:ascii="Times New Roman" w:hAnsi="Times New Roman"/>
          <w:spacing w:val="-3"/>
          <w:w w:val="105"/>
          <w:sz w:val="17"/>
        </w:rPr>
        <w:t>mL </w:t>
      </w:r>
      <w:r>
        <w:rPr>
          <w:rFonts w:ascii="Times New Roman" w:hAnsi="Times New Roman"/>
          <w:w w:val="105"/>
          <w:sz w:val="17"/>
        </w:rPr>
        <w:t>of</w:t>
      </w:r>
      <w:r>
        <w:rPr>
          <w:rFonts w:ascii="Times New Roman" w:hAnsi="Times New Roman"/>
          <w:spacing w:val="-5"/>
          <w:w w:val="105"/>
          <w:sz w:val="17"/>
        </w:rPr>
        <w:t> </w:t>
      </w:r>
      <w:r>
        <w:rPr>
          <w:rFonts w:ascii="Times New Roman" w:hAnsi="Times New Roman"/>
          <w:w w:val="105"/>
          <w:sz w:val="17"/>
        </w:rPr>
        <w:t>SB,</w:t>
      </w:r>
      <w:r>
        <w:rPr>
          <w:rFonts w:ascii="Times New Roman" w:hAnsi="Times New Roman"/>
          <w:spacing w:val="-6"/>
          <w:w w:val="105"/>
          <w:sz w:val="17"/>
        </w:rPr>
        <w:t> </w:t>
      </w:r>
      <w:r>
        <w:rPr>
          <w:rFonts w:ascii="Times New Roman" w:hAnsi="Times New Roman"/>
          <w:w w:val="105"/>
          <w:sz w:val="17"/>
        </w:rPr>
        <w:t>and</w:t>
      </w:r>
      <w:r>
        <w:rPr>
          <w:rFonts w:ascii="Times New Roman" w:hAnsi="Times New Roman"/>
          <w:spacing w:val="-9"/>
          <w:w w:val="105"/>
          <w:sz w:val="17"/>
        </w:rPr>
        <w:t> </w:t>
      </w:r>
      <w:r>
        <w:rPr>
          <w:rFonts w:ascii="Times New Roman" w:hAnsi="Times New Roman"/>
          <w:w w:val="105"/>
          <w:sz w:val="17"/>
        </w:rPr>
        <w:t>(iv)</w:t>
      </w:r>
      <w:r>
        <w:rPr>
          <w:rFonts w:ascii="Times New Roman" w:hAnsi="Times New Roman"/>
          <w:spacing w:val="-3"/>
          <w:w w:val="105"/>
          <w:sz w:val="17"/>
        </w:rPr>
        <w:t> </w:t>
      </w:r>
      <w:r>
        <w:rPr>
          <w:rFonts w:ascii="Times New Roman" w:hAnsi="Times New Roman"/>
          <w:w w:val="105"/>
          <w:sz w:val="17"/>
        </w:rPr>
        <w:t>EZSB;</w:t>
      </w:r>
      <w:r>
        <w:rPr>
          <w:rFonts w:ascii="Times New Roman" w:hAnsi="Times New Roman"/>
          <w:spacing w:val="-3"/>
          <w:w w:val="105"/>
          <w:sz w:val="17"/>
        </w:rPr>
        <w:t> </w:t>
      </w:r>
      <w:r>
        <w:rPr>
          <w:rFonts w:ascii="Times New Roman" w:hAnsi="Times New Roman"/>
          <w:w w:val="105"/>
          <w:sz w:val="17"/>
        </w:rPr>
        <w:t>lambs</w:t>
      </w:r>
      <w:r>
        <w:rPr>
          <w:rFonts w:ascii="Times New Roman" w:hAnsi="Times New Roman"/>
          <w:spacing w:val="-3"/>
          <w:w w:val="105"/>
          <w:sz w:val="17"/>
        </w:rPr>
        <w:t> </w:t>
      </w:r>
      <w:r>
        <w:rPr>
          <w:rFonts w:ascii="Times New Roman" w:hAnsi="Times New Roman"/>
          <w:w w:val="105"/>
          <w:sz w:val="17"/>
        </w:rPr>
        <w:t>consuming</w:t>
      </w:r>
      <w:r>
        <w:rPr>
          <w:rFonts w:ascii="Times New Roman" w:hAnsi="Times New Roman"/>
          <w:spacing w:val="-9"/>
          <w:w w:val="105"/>
          <w:sz w:val="17"/>
        </w:rPr>
        <w:t> </w:t>
      </w:r>
      <w:r>
        <w:rPr>
          <w:rFonts w:ascii="Times New Roman" w:hAnsi="Times New Roman"/>
          <w:w w:val="105"/>
          <w:sz w:val="17"/>
        </w:rPr>
        <w:t>BD</w:t>
      </w:r>
      <w:r>
        <w:rPr>
          <w:rFonts w:ascii="Times New Roman" w:hAnsi="Times New Roman"/>
          <w:spacing w:val="-4"/>
          <w:w w:val="105"/>
          <w:sz w:val="17"/>
        </w:rPr>
        <w:t> </w:t>
      </w:r>
      <w:r>
        <w:rPr>
          <w:rFonts w:ascii="Times New Roman" w:hAnsi="Times New Roman"/>
          <w:w w:val="105"/>
          <w:sz w:val="17"/>
        </w:rPr>
        <w:t>plus</w:t>
      </w:r>
      <w:r>
        <w:rPr>
          <w:rFonts w:ascii="Times New Roman" w:hAnsi="Times New Roman"/>
          <w:spacing w:val="-3"/>
          <w:w w:val="105"/>
          <w:sz w:val="17"/>
        </w:rPr>
        <w:t> </w:t>
      </w:r>
      <w:r>
        <w:rPr>
          <w:rFonts w:ascii="Times New Roman" w:hAnsi="Times New Roman"/>
          <w:w w:val="105"/>
          <w:sz w:val="17"/>
        </w:rPr>
        <w:t>10g</w:t>
      </w:r>
      <w:r>
        <w:rPr>
          <w:rFonts w:ascii="Times New Roman" w:hAnsi="Times New Roman"/>
          <w:spacing w:val="-9"/>
          <w:w w:val="105"/>
          <w:sz w:val="17"/>
        </w:rPr>
        <w:t> </w:t>
      </w:r>
      <w:r>
        <w:rPr>
          <w:rFonts w:ascii="Times New Roman" w:hAnsi="Times New Roman"/>
          <w:w w:val="105"/>
          <w:sz w:val="17"/>
        </w:rPr>
        <w:t>EZ</w:t>
      </w:r>
      <w:r>
        <w:rPr>
          <w:rFonts w:ascii="Times New Roman" w:hAnsi="Times New Roman"/>
          <w:spacing w:val="-9"/>
          <w:w w:val="105"/>
          <w:sz w:val="17"/>
        </w:rPr>
        <w:t> </w:t>
      </w:r>
      <w:r>
        <w:rPr>
          <w:rFonts w:ascii="Times New Roman" w:hAnsi="Times New Roman"/>
          <w:w w:val="105"/>
          <w:sz w:val="17"/>
        </w:rPr>
        <w:t>and</w:t>
      </w:r>
      <w:r>
        <w:rPr>
          <w:rFonts w:ascii="Times New Roman" w:hAnsi="Times New Roman"/>
          <w:spacing w:val="-4"/>
          <w:w w:val="105"/>
          <w:sz w:val="17"/>
        </w:rPr>
        <w:t> </w:t>
      </w:r>
      <w:r>
        <w:rPr>
          <w:rFonts w:ascii="Times New Roman" w:hAnsi="Times New Roman"/>
          <w:w w:val="105"/>
          <w:sz w:val="17"/>
        </w:rPr>
        <w:t>30 mL</w:t>
      </w:r>
      <w:r>
        <w:rPr>
          <w:rFonts w:ascii="Times New Roman" w:hAnsi="Times New Roman"/>
          <w:spacing w:val="-5"/>
          <w:w w:val="105"/>
          <w:sz w:val="17"/>
        </w:rPr>
        <w:t> </w:t>
      </w:r>
      <w:r>
        <w:rPr>
          <w:rFonts w:ascii="Times New Roman" w:hAnsi="Times New Roman"/>
          <w:w w:val="105"/>
          <w:sz w:val="17"/>
        </w:rPr>
        <w:t>of</w:t>
      </w:r>
      <w:r>
        <w:rPr>
          <w:rFonts w:ascii="Times New Roman" w:hAnsi="Times New Roman"/>
          <w:spacing w:val="-7"/>
          <w:w w:val="105"/>
          <w:sz w:val="17"/>
        </w:rPr>
        <w:t> </w:t>
      </w:r>
      <w:r>
        <w:rPr>
          <w:rFonts w:ascii="Times New Roman" w:hAnsi="Times New Roman"/>
          <w:w w:val="105"/>
          <w:sz w:val="17"/>
        </w:rPr>
        <w:t>SB.</w:t>
      </w:r>
      <w:r>
        <w:rPr>
          <w:rFonts w:ascii="Times New Roman" w:hAnsi="Times New Roman"/>
          <w:spacing w:val="-7"/>
          <w:w w:val="105"/>
          <w:sz w:val="17"/>
        </w:rPr>
        <w:t> </w:t>
      </w:r>
      <w:r>
        <w:rPr>
          <w:rFonts w:ascii="Times New Roman" w:hAnsi="Times New Roman"/>
          <w:w w:val="105"/>
          <w:sz w:val="17"/>
        </w:rPr>
        <w:t>Blood</w:t>
      </w:r>
      <w:r>
        <w:rPr>
          <w:rFonts w:ascii="Times New Roman" w:hAnsi="Times New Roman"/>
          <w:spacing w:val="-5"/>
          <w:w w:val="105"/>
          <w:sz w:val="17"/>
        </w:rPr>
        <w:t> </w:t>
      </w:r>
      <w:r>
        <w:rPr>
          <w:rFonts w:ascii="Times New Roman" w:hAnsi="Times New Roman"/>
          <w:w w:val="105"/>
          <w:sz w:val="17"/>
        </w:rPr>
        <w:t>samples</w:t>
      </w:r>
      <w:r>
        <w:rPr>
          <w:rFonts w:ascii="Times New Roman" w:hAnsi="Times New Roman"/>
          <w:spacing w:val="-7"/>
          <w:w w:val="105"/>
          <w:sz w:val="17"/>
        </w:rPr>
        <w:t> </w:t>
      </w:r>
      <w:r>
        <w:rPr>
          <w:rFonts w:ascii="Times New Roman" w:hAnsi="Times New Roman"/>
          <w:w w:val="105"/>
          <w:sz w:val="17"/>
        </w:rPr>
        <w:t>were</w:t>
      </w:r>
      <w:r>
        <w:rPr>
          <w:rFonts w:ascii="Times New Roman" w:hAnsi="Times New Roman"/>
          <w:spacing w:val="-8"/>
          <w:w w:val="105"/>
          <w:sz w:val="17"/>
        </w:rPr>
        <w:t> </w:t>
      </w:r>
      <w:r>
        <w:rPr>
          <w:rFonts w:ascii="Times New Roman" w:hAnsi="Times New Roman"/>
          <w:w w:val="105"/>
          <w:sz w:val="17"/>
        </w:rPr>
        <w:t>collected</w:t>
      </w:r>
      <w:r>
        <w:rPr>
          <w:rFonts w:ascii="Times New Roman" w:hAnsi="Times New Roman"/>
          <w:spacing w:val="-7"/>
          <w:w w:val="105"/>
          <w:sz w:val="17"/>
        </w:rPr>
        <w:t> </w:t>
      </w:r>
      <w:r>
        <w:rPr>
          <w:rFonts w:ascii="Times New Roman" w:hAnsi="Times New Roman"/>
          <w:w w:val="105"/>
          <w:sz w:val="17"/>
        </w:rPr>
        <w:t>on</w:t>
      </w:r>
      <w:r>
        <w:rPr>
          <w:rFonts w:ascii="Times New Roman" w:hAnsi="Times New Roman"/>
          <w:spacing w:val="-5"/>
          <w:w w:val="105"/>
          <w:sz w:val="17"/>
        </w:rPr>
        <w:t> </w:t>
      </w:r>
      <w:r>
        <w:rPr>
          <w:rFonts w:ascii="Times New Roman" w:hAnsi="Times New Roman"/>
          <w:w w:val="105"/>
          <w:sz w:val="17"/>
        </w:rPr>
        <w:t>days</w:t>
      </w:r>
      <w:r>
        <w:rPr>
          <w:rFonts w:ascii="Times New Roman" w:hAnsi="Times New Roman"/>
          <w:spacing w:val="-7"/>
          <w:w w:val="105"/>
          <w:sz w:val="17"/>
        </w:rPr>
        <w:t> </w:t>
      </w:r>
      <w:r>
        <w:rPr>
          <w:rFonts w:ascii="Times New Roman" w:hAnsi="Times New Roman"/>
          <w:w w:val="105"/>
          <w:sz w:val="17"/>
        </w:rPr>
        <w:t>0,</w:t>
      </w:r>
      <w:r>
        <w:rPr>
          <w:rFonts w:ascii="Times New Roman" w:hAnsi="Times New Roman"/>
          <w:spacing w:val="-8"/>
          <w:w w:val="105"/>
          <w:sz w:val="17"/>
        </w:rPr>
        <w:t> </w:t>
      </w:r>
      <w:r>
        <w:rPr>
          <w:rFonts w:ascii="Times New Roman" w:hAnsi="Times New Roman"/>
          <w:w w:val="105"/>
          <w:sz w:val="17"/>
        </w:rPr>
        <w:t>15,</w:t>
      </w:r>
      <w:r>
        <w:rPr>
          <w:rFonts w:ascii="Times New Roman" w:hAnsi="Times New Roman"/>
          <w:spacing w:val="-8"/>
          <w:w w:val="105"/>
          <w:sz w:val="17"/>
        </w:rPr>
        <w:t> </w:t>
      </w:r>
      <w:r>
        <w:rPr>
          <w:rFonts w:ascii="Times New Roman" w:hAnsi="Times New Roman"/>
          <w:w w:val="105"/>
          <w:sz w:val="17"/>
        </w:rPr>
        <w:t>30,</w:t>
      </w:r>
      <w:r>
        <w:rPr>
          <w:rFonts w:ascii="Times New Roman" w:hAnsi="Times New Roman"/>
          <w:spacing w:val="-8"/>
          <w:w w:val="105"/>
          <w:sz w:val="17"/>
        </w:rPr>
        <w:t> </w:t>
      </w:r>
      <w:r>
        <w:rPr>
          <w:rFonts w:ascii="Times New Roman" w:hAnsi="Times New Roman"/>
          <w:w w:val="105"/>
          <w:sz w:val="17"/>
        </w:rPr>
        <w:t>45</w:t>
      </w:r>
      <w:r>
        <w:rPr>
          <w:rFonts w:ascii="Times New Roman" w:hAnsi="Times New Roman"/>
          <w:spacing w:val="-7"/>
          <w:w w:val="105"/>
          <w:sz w:val="17"/>
        </w:rPr>
        <w:t> </w:t>
      </w:r>
      <w:r>
        <w:rPr>
          <w:rFonts w:ascii="Times New Roman" w:hAnsi="Times New Roman"/>
          <w:w w:val="105"/>
          <w:sz w:val="17"/>
        </w:rPr>
        <w:t>and</w:t>
      </w:r>
      <w:r>
        <w:rPr>
          <w:rFonts w:ascii="Times New Roman" w:hAnsi="Times New Roman"/>
          <w:spacing w:val="-7"/>
          <w:w w:val="105"/>
          <w:sz w:val="17"/>
        </w:rPr>
        <w:t> </w:t>
      </w:r>
      <w:r>
        <w:rPr>
          <w:rFonts w:ascii="Times New Roman" w:hAnsi="Times New Roman"/>
          <w:w w:val="105"/>
          <w:sz w:val="17"/>
        </w:rPr>
        <w:t>60</w:t>
      </w:r>
      <w:r>
        <w:rPr>
          <w:rFonts w:ascii="Times New Roman" w:hAnsi="Times New Roman"/>
          <w:spacing w:val="-7"/>
          <w:w w:val="105"/>
          <w:sz w:val="17"/>
        </w:rPr>
        <w:t> </w:t>
      </w:r>
      <w:r>
        <w:rPr>
          <w:rFonts w:ascii="Times New Roman" w:hAnsi="Times New Roman"/>
          <w:w w:val="105"/>
          <w:sz w:val="17"/>
        </w:rPr>
        <w:t>and</w:t>
      </w:r>
      <w:r>
        <w:rPr>
          <w:rFonts w:ascii="Times New Roman" w:hAnsi="Times New Roman"/>
          <w:spacing w:val="-5"/>
          <w:w w:val="105"/>
          <w:sz w:val="17"/>
        </w:rPr>
        <w:t> </w:t>
      </w:r>
      <w:r>
        <w:rPr>
          <w:rFonts w:ascii="Times New Roman" w:hAnsi="Times New Roman"/>
          <w:w w:val="105"/>
          <w:sz w:val="17"/>
        </w:rPr>
        <w:t>analysed</w:t>
      </w:r>
      <w:r>
        <w:rPr>
          <w:rFonts w:ascii="Times New Roman" w:hAnsi="Times New Roman"/>
          <w:spacing w:val="-7"/>
          <w:w w:val="105"/>
          <w:sz w:val="17"/>
        </w:rPr>
        <w:t> </w:t>
      </w:r>
      <w:r>
        <w:rPr>
          <w:rFonts w:ascii="Times New Roman" w:hAnsi="Times New Roman"/>
          <w:w w:val="105"/>
          <w:sz w:val="17"/>
        </w:rPr>
        <w:t>for</w:t>
      </w:r>
      <w:r>
        <w:rPr>
          <w:rFonts w:ascii="Times New Roman" w:hAnsi="Times New Roman"/>
          <w:spacing w:val="-7"/>
          <w:w w:val="105"/>
          <w:sz w:val="17"/>
        </w:rPr>
        <w:t> </w:t>
      </w:r>
      <w:r>
        <w:rPr>
          <w:rFonts w:ascii="Times New Roman" w:hAnsi="Times New Roman"/>
          <w:w w:val="105"/>
          <w:sz w:val="17"/>
        </w:rPr>
        <w:t>helper</w:t>
      </w:r>
      <w:r>
        <w:rPr>
          <w:rFonts w:ascii="Times New Roman" w:hAnsi="Times New Roman"/>
          <w:spacing w:val="-7"/>
          <w:w w:val="105"/>
          <w:sz w:val="17"/>
        </w:rPr>
        <w:t> </w:t>
      </w:r>
      <w:r>
        <w:rPr>
          <w:rFonts w:ascii="Times New Roman" w:hAnsi="Times New Roman"/>
          <w:w w:val="105"/>
          <w:sz w:val="17"/>
        </w:rPr>
        <w:t>T</w:t>
      </w:r>
      <w:r>
        <w:rPr>
          <w:rFonts w:ascii="Times New Roman" w:hAnsi="Times New Roman"/>
          <w:spacing w:val="-7"/>
          <w:w w:val="105"/>
          <w:sz w:val="17"/>
        </w:rPr>
        <w:t> </w:t>
      </w:r>
      <w:r>
        <w:rPr>
          <w:rFonts w:ascii="Times New Roman" w:hAnsi="Times New Roman"/>
          <w:w w:val="105"/>
          <w:sz w:val="17"/>
        </w:rPr>
        <w:t>lymphocytes,</w:t>
      </w:r>
      <w:r>
        <w:rPr>
          <w:rFonts w:ascii="Times New Roman" w:hAnsi="Times New Roman"/>
          <w:spacing w:val="-8"/>
          <w:w w:val="105"/>
          <w:sz w:val="17"/>
        </w:rPr>
        <w:t> </w:t>
      </w:r>
      <w:r>
        <w:rPr>
          <w:rFonts w:ascii="Times New Roman" w:hAnsi="Times New Roman"/>
          <w:w w:val="105"/>
          <w:sz w:val="17"/>
        </w:rPr>
        <w:t>cytotoxic T limphocytes, granulocytes and monocytes by flow cytometry. Treatments had no effect on parameters measured, but day</w:t>
      </w:r>
      <w:r>
        <w:rPr>
          <w:rFonts w:ascii="Times New Roman" w:hAnsi="Times New Roman"/>
          <w:spacing w:val="-4"/>
          <w:w w:val="105"/>
          <w:sz w:val="17"/>
        </w:rPr>
        <w:t> </w:t>
      </w:r>
      <w:r>
        <w:rPr>
          <w:rFonts w:ascii="Times New Roman" w:hAnsi="Times New Roman"/>
          <w:w w:val="105"/>
          <w:sz w:val="17"/>
        </w:rPr>
        <w:t>of</w:t>
      </w:r>
      <w:r>
        <w:rPr>
          <w:rFonts w:ascii="Times New Roman" w:hAnsi="Times New Roman"/>
          <w:spacing w:val="-6"/>
          <w:w w:val="105"/>
          <w:sz w:val="17"/>
        </w:rPr>
        <w:t> </w:t>
      </w:r>
      <w:r>
        <w:rPr>
          <w:rFonts w:ascii="Times New Roman" w:hAnsi="Times New Roman"/>
          <w:w w:val="105"/>
          <w:sz w:val="17"/>
        </w:rPr>
        <w:t>sampling</w:t>
      </w:r>
      <w:r>
        <w:rPr>
          <w:rFonts w:ascii="Times New Roman" w:hAnsi="Times New Roman"/>
          <w:spacing w:val="-6"/>
          <w:w w:val="105"/>
          <w:sz w:val="17"/>
        </w:rPr>
        <w:t> </w:t>
      </w:r>
      <w:r>
        <w:rPr>
          <w:rFonts w:ascii="Times New Roman" w:hAnsi="Times New Roman"/>
          <w:w w:val="105"/>
          <w:sz w:val="17"/>
        </w:rPr>
        <w:t>had</w:t>
      </w:r>
      <w:r>
        <w:rPr>
          <w:rFonts w:ascii="Times New Roman" w:hAnsi="Times New Roman"/>
          <w:spacing w:val="-4"/>
          <w:w w:val="105"/>
          <w:sz w:val="17"/>
        </w:rPr>
        <w:t> </w:t>
      </w:r>
      <w:r>
        <w:rPr>
          <w:rFonts w:ascii="Times New Roman" w:hAnsi="Times New Roman"/>
          <w:w w:val="105"/>
          <w:sz w:val="17"/>
        </w:rPr>
        <w:t>linear</w:t>
      </w:r>
      <w:r>
        <w:rPr>
          <w:rFonts w:ascii="Times New Roman" w:hAnsi="Times New Roman"/>
          <w:spacing w:val="-4"/>
          <w:w w:val="105"/>
          <w:sz w:val="17"/>
        </w:rPr>
        <w:t> </w:t>
      </w:r>
      <w:r>
        <w:rPr>
          <w:rFonts w:ascii="Times New Roman" w:hAnsi="Times New Roman"/>
          <w:w w:val="105"/>
          <w:sz w:val="17"/>
        </w:rPr>
        <w:t>and</w:t>
      </w:r>
      <w:r>
        <w:rPr>
          <w:rFonts w:ascii="Times New Roman" w:hAnsi="Times New Roman"/>
          <w:spacing w:val="-4"/>
          <w:w w:val="105"/>
          <w:sz w:val="17"/>
        </w:rPr>
        <w:t> </w:t>
      </w:r>
      <w:r>
        <w:rPr>
          <w:rFonts w:ascii="Times New Roman" w:hAnsi="Times New Roman"/>
          <w:w w:val="105"/>
          <w:sz w:val="17"/>
        </w:rPr>
        <w:t>cubic</w:t>
      </w:r>
      <w:r>
        <w:rPr>
          <w:rFonts w:ascii="Times New Roman" w:hAnsi="Times New Roman"/>
          <w:spacing w:val="-6"/>
          <w:w w:val="105"/>
          <w:sz w:val="17"/>
        </w:rPr>
        <w:t> </w:t>
      </w:r>
      <w:r>
        <w:rPr>
          <w:rFonts w:ascii="Times New Roman" w:hAnsi="Times New Roman"/>
          <w:w w:val="105"/>
          <w:sz w:val="17"/>
        </w:rPr>
        <w:t>effects</w:t>
      </w:r>
      <w:r>
        <w:rPr>
          <w:rFonts w:ascii="Times New Roman" w:hAnsi="Times New Roman"/>
          <w:spacing w:val="-4"/>
          <w:w w:val="105"/>
          <w:sz w:val="17"/>
        </w:rPr>
        <w:t> </w:t>
      </w:r>
      <w:r>
        <w:rPr>
          <w:rFonts w:ascii="Times New Roman" w:hAnsi="Times New Roman"/>
          <w:w w:val="105"/>
          <w:sz w:val="17"/>
        </w:rPr>
        <w:t>on</w:t>
      </w:r>
      <w:r>
        <w:rPr>
          <w:rFonts w:ascii="Times New Roman" w:hAnsi="Times New Roman"/>
          <w:spacing w:val="-4"/>
          <w:w w:val="105"/>
          <w:sz w:val="17"/>
        </w:rPr>
        <w:t> </w:t>
      </w:r>
      <w:r>
        <w:rPr>
          <w:rFonts w:ascii="Times New Roman" w:hAnsi="Times New Roman"/>
          <w:w w:val="105"/>
          <w:sz w:val="17"/>
        </w:rPr>
        <w:t>helper</w:t>
      </w:r>
      <w:r>
        <w:rPr>
          <w:rFonts w:ascii="Times New Roman" w:hAnsi="Times New Roman"/>
          <w:spacing w:val="-6"/>
          <w:w w:val="105"/>
          <w:sz w:val="17"/>
        </w:rPr>
        <w:t> </w:t>
      </w:r>
      <w:r>
        <w:rPr>
          <w:rFonts w:ascii="Times New Roman" w:hAnsi="Times New Roman"/>
          <w:w w:val="105"/>
          <w:sz w:val="17"/>
        </w:rPr>
        <w:t>T</w:t>
      </w:r>
      <w:r>
        <w:rPr>
          <w:rFonts w:ascii="Times New Roman" w:hAnsi="Times New Roman"/>
          <w:spacing w:val="-5"/>
          <w:w w:val="105"/>
          <w:sz w:val="17"/>
        </w:rPr>
        <w:t> </w:t>
      </w:r>
      <w:r>
        <w:rPr>
          <w:rFonts w:ascii="Times New Roman" w:hAnsi="Times New Roman"/>
          <w:w w:val="105"/>
          <w:sz w:val="17"/>
        </w:rPr>
        <w:t>lymphocytes,</w:t>
      </w:r>
      <w:r>
        <w:rPr>
          <w:rFonts w:ascii="Times New Roman" w:hAnsi="Times New Roman"/>
          <w:spacing w:val="-4"/>
          <w:w w:val="105"/>
          <w:sz w:val="17"/>
        </w:rPr>
        <w:t> </w:t>
      </w:r>
      <w:r>
        <w:rPr>
          <w:rFonts w:ascii="Times New Roman" w:hAnsi="Times New Roman"/>
          <w:w w:val="105"/>
          <w:sz w:val="17"/>
        </w:rPr>
        <w:t>granulocytes</w:t>
      </w:r>
      <w:r>
        <w:rPr>
          <w:rFonts w:ascii="Times New Roman" w:hAnsi="Times New Roman"/>
          <w:spacing w:val="-6"/>
          <w:w w:val="105"/>
          <w:sz w:val="17"/>
        </w:rPr>
        <w:t> </w:t>
      </w:r>
      <w:r>
        <w:rPr>
          <w:rFonts w:ascii="Times New Roman" w:hAnsi="Times New Roman"/>
          <w:w w:val="105"/>
          <w:sz w:val="17"/>
        </w:rPr>
        <w:t>and</w:t>
      </w:r>
      <w:r>
        <w:rPr>
          <w:rFonts w:ascii="Times New Roman" w:hAnsi="Times New Roman"/>
          <w:spacing w:val="-2"/>
          <w:w w:val="105"/>
          <w:sz w:val="17"/>
        </w:rPr>
        <w:t> </w:t>
      </w:r>
      <w:r>
        <w:rPr>
          <w:rFonts w:ascii="Times New Roman" w:hAnsi="Times New Roman"/>
          <w:w w:val="105"/>
          <w:sz w:val="17"/>
        </w:rPr>
        <w:t>monocytes</w:t>
      </w:r>
      <w:r>
        <w:rPr>
          <w:rFonts w:ascii="Times New Roman" w:hAnsi="Times New Roman"/>
          <w:spacing w:val="-4"/>
          <w:w w:val="105"/>
          <w:sz w:val="17"/>
        </w:rPr>
        <w:t> </w:t>
      </w:r>
      <w:r>
        <w:rPr>
          <w:rFonts w:ascii="Times New Roman" w:hAnsi="Times New Roman"/>
          <w:w w:val="105"/>
          <w:sz w:val="17"/>
        </w:rPr>
        <w:t>(P&lt;0.01)</w:t>
      </w:r>
      <w:r>
        <w:rPr>
          <w:rFonts w:ascii="Times New Roman" w:hAnsi="Times New Roman"/>
          <w:spacing w:val="-4"/>
          <w:w w:val="105"/>
          <w:sz w:val="17"/>
        </w:rPr>
        <w:t> </w:t>
      </w:r>
      <w:r>
        <w:rPr>
          <w:rFonts w:ascii="Times New Roman" w:hAnsi="Times New Roman"/>
          <w:w w:val="105"/>
          <w:sz w:val="17"/>
        </w:rPr>
        <w:t>and</w:t>
      </w:r>
      <w:r>
        <w:rPr>
          <w:rFonts w:ascii="Times New Roman" w:hAnsi="Times New Roman"/>
          <w:spacing w:val="-4"/>
          <w:w w:val="105"/>
          <w:sz w:val="17"/>
        </w:rPr>
        <w:t> </w:t>
      </w:r>
      <w:r>
        <w:rPr>
          <w:rFonts w:ascii="Times New Roman" w:hAnsi="Times New Roman"/>
          <w:w w:val="105"/>
          <w:sz w:val="17"/>
        </w:rPr>
        <w:t>cubic effects</w:t>
      </w:r>
      <w:r>
        <w:rPr>
          <w:rFonts w:ascii="Times New Roman" w:hAnsi="Times New Roman"/>
          <w:spacing w:val="-10"/>
          <w:w w:val="105"/>
          <w:sz w:val="17"/>
        </w:rPr>
        <w:t> </w:t>
      </w:r>
      <w:r>
        <w:rPr>
          <w:rFonts w:ascii="Times New Roman" w:hAnsi="Times New Roman"/>
          <w:w w:val="105"/>
          <w:sz w:val="17"/>
        </w:rPr>
        <w:t>on</w:t>
      </w:r>
      <w:r>
        <w:rPr>
          <w:rFonts w:ascii="Times New Roman" w:hAnsi="Times New Roman"/>
          <w:spacing w:val="-9"/>
          <w:w w:val="105"/>
          <w:sz w:val="17"/>
        </w:rPr>
        <w:t> </w:t>
      </w:r>
      <w:r>
        <w:rPr>
          <w:rFonts w:ascii="Times New Roman" w:hAnsi="Times New Roman"/>
          <w:w w:val="105"/>
          <w:sz w:val="17"/>
        </w:rPr>
        <w:t>cytotoxic</w:t>
      </w:r>
      <w:r>
        <w:rPr>
          <w:rFonts w:ascii="Times New Roman" w:hAnsi="Times New Roman"/>
          <w:spacing w:val="-10"/>
          <w:w w:val="105"/>
          <w:sz w:val="17"/>
        </w:rPr>
        <w:t> </w:t>
      </w:r>
      <w:r>
        <w:rPr>
          <w:rFonts w:ascii="Times New Roman" w:hAnsi="Times New Roman"/>
          <w:w w:val="105"/>
          <w:sz w:val="17"/>
        </w:rPr>
        <w:t>T</w:t>
      </w:r>
      <w:r>
        <w:rPr>
          <w:rFonts w:ascii="Times New Roman" w:hAnsi="Times New Roman"/>
          <w:spacing w:val="-11"/>
          <w:w w:val="105"/>
          <w:sz w:val="17"/>
        </w:rPr>
        <w:t> </w:t>
      </w:r>
      <w:r>
        <w:rPr>
          <w:rFonts w:ascii="Times New Roman" w:hAnsi="Times New Roman"/>
          <w:w w:val="105"/>
          <w:sz w:val="17"/>
        </w:rPr>
        <w:t>lymphocytes</w:t>
      </w:r>
      <w:r>
        <w:rPr>
          <w:rFonts w:ascii="Times New Roman" w:hAnsi="Times New Roman"/>
          <w:spacing w:val="-10"/>
          <w:w w:val="105"/>
          <w:sz w:val="17"/>
        </w:rPr>
        <w:t> </w:t>
      </w:r>
      <w:r>
        <w:rPr>
          <w:rFonts w:ascii="Times New Roman" w:hAnsi="Times New Roman"/>
          <w:w w:val="105"/>
          <w:sz w:val="17"/>
        </w:rPr>
        <w:t>(P&lt;0.01).</w:t>
      </w:r>
      <w:r>
        <w:rPr>
          <w:rFonts w:ascii="Times New Roman" w:hAnsi="Times New Roman"/>
          <w:spacing w:val="-12"/>
          <w:w w:val="105"/>
          <w:sz w:val="17"/>
        </w:rPr>
        <w:t> </w:t>
      </w:r>
      <w:r>
        <w:rPr>
          <w:rFonts w:ascii="Times New Roman" w:hAnsi="Times New Roman"/>
          <w:w w:val="105"/>
          <w:sz w:val="17"/>
        </w:rPr>
        <w:t>The</w:t>
      </w:r>
      <w:r>
        <w:rPr>
          <w:rFonts w:ascii="Times New Roman" w:hAnsi="Times New Roman"/>
          <w:spacing w:val="-13"/>
          <w:w w:val="105"/>
          <w:sz w:val="17"/>
        </w:rPr>
        <w:t> </w:t>
      </w:r>
      <w:r>
        <w:rPr>
          <w:rFonts w:ascii="Times New Roman" w:hAnsi="Times New Roman"/>
          <w:w w:val="105"/>
          <w:sz w:val="17"/>
        </w:rPr>
        <w:t>results</w:t>
      </w:r>
      <w:r>
        <w:rPr>
          <w:rFonts w:ascii="Times New Roman" w:hAnsi="Times New Roman"/>
          <w:spacing w:val="-10"/>
          <w:w w:val="105"/>
          <w:sz w:val="17"/>
        </w:rPr>
        <w:t> </w:t>
      </w:r>
      <w:r>
        <w:rPr>
          <w:rFonts w:ascii="Times New Roman" w:hAnsi="Times New Roman"/>
          <w:w w:val="105"/>
          <w:sz w:val="17"/>
        </w:rPr>
        <w:t>suggest</w:t>
      </w:r>
      <w:r>
        <w:rPr>
          <w:rFonts w:ascii="Times New Roman" w:hAnsi="Times New Roman"/>
          <w:spacing w:val="-9"/>
          <w:w w:val="105"/>
          <w:sz w:val="17"/>
        </w:rPr>
        <w:t> </w:t>
      </w:r>
      <w:r>
        <w:rPr>
          <w:rFonts w:ascii="Times New Roman" w:hAnsi="Times New Roman"/>
          <w:w w:val="105"/>
          <w:sz w:val="17"/>
        </w:rPr>
        <w:t>that</w:t>
      </w:r>
      <w:r>
        <w:rPr>
          <w:rFonts w:ascii="Times New Roman" w:hAnsi="Times New Roman"/>
          <w:spacing w:val="-10"/>
          <w:w w:val="105"/>
          <w:sz w:val="17"/>
        </w:rPr>
        <w:t> </w:t>
      </w:r>
      <w:r>
        <w:rPr>
          <w:rFonts w:ascii="Times New Roman" w:hAnsi="Times New Roman"/>
          <w:w w:val="105"/>
          <w:sz w:val="17"/>
        </w:rPr>
        <w:t>EZ</w:t>
      </w:r>
      <w:r>
        <w:rPr>
          <w:rFonts w:ascii="Times New Roman" w:hAnsi="Times New Roman"/>
          <w:spacing w:val="-13"/>
          <w:w w:val="105"/>
          <w:sz w:val="17"/>
        </w:rPr>
        <w:t> </w:t>
      </w:r>
      <w:r>
        <w:rPr>
          <w:rFonts w:ascii="Times New Roman" w:hAnsi="Times New Roman"/>
          <w:w w:val="105"/>
          <w:sz w:val="17"/>
        </w:rPr>
        <w:t>and</w:t>
      </w:r>
      <w:r>
        <w:rPr>
          <w:rFonts w:ascii="Times New Roman" w:hAnsi="Times New Roman"/>
          <w:spacing w:val="-11"/>
          <w:w w:val="105"/>
          <w:sz w:val="17"/>
        </w:rPr>
        <w:t> </w:t>
      </w:r>
      <w:r>
        <w:rPr>
          <w:rFonts w:ascii="Times New Roman" w:hAnsi="Times New Roman"/>
          <w:w w:val="105"/>
          <w:sz w:val="17"/>
        </w:rPr>
        <w:t>SB</w:t>
      </w:r>
      <w:r>
        <w:rPr>
          <w:rFonts w:ascii="Times New Roman" w:hAnsi="Times New Roman"/>
          <w:spacing w:val="-11"/>
          <w:w w:val="105"/>
          <w:sz w:val="17"/>
        </w:rPr>
        <w:t> </w:t>
      </w:r>
      <w:r>
        <w:rPr>
          <w:rFonts w:ascii="Times New Roman" w:hAnsi="Times New Roman"/>
          <w:w w:val="105"/>
          <w:sz w:val="17"/>
        </w:rPr>
        <w:t>have</w:t>
      </w:r>
      <w:r>
        <w:rPr>
          <w:rFonts w:ascii="Times New Roman" w:hAnsi="Times New Roman"/>
          <w:spacing w:val="-10"/>
          <w:w w:val="105"/>
          <w:sz w:val="17"/>
        </w:rPr>
        <w:t> </w:t>
      </w:r>
      <w:r>
        <w:rPr>
          <w:rFonts w:ascii="Times New Roman" w:hAnsi="Times New Roman"/>
          <w:w w:val="105"/>
          <w:sz w:val="17"/>
        </w:rPr>
        <w:t>immunosuppressant</w:t>
      </w:r>
      <w:r>
        <w:rPr>
          <w:rFonts w:ascii="Times New Roman" w:hAnsi="Times New Roman"/>
          <w:spacing w:val="-8"/>
          <w:w w:val="105"/>
          <w:sz w:val="17"/>
        </w:rPr>
        <w:t> </w:t>
      </w:r>
      <w:r>
        <w:rPr>
          <w:rFonts w:ascii="Times New Roman" w:hAnsi="Times New Roman"/>
          <w:w w:val="105"/>
          <w:sz w:val="17"/>
        </w:rPr>
        <w:t>effects</w:t>
      </w:r>
      <w:r>
        <w:rPr>
          <w:rFonts w:ascii="Times New Roman" w:hAnsi="Times New Roman"/>
          <w:spacing w:val="-9"/>
          <w:w w:val="105"/>
          <w:sz w:val="17"/>
        </w:rPr>
        <w:t> </w:t>
      </w:r>
      <w:r>
        <w:rPr>
          <w:rFonts w:ascii="Times New Roman" w:hAnsi="Times New Roman"/>
          <w:w w:val="105"/>
          <w:sz w:val="17"/>
        </w:rPr>
        <w:t>in</w:t>
      </w:r>
      <w:r>
        <w:rPr>
          <w:rFonts w:ascii="Times New Roman" w:hAnsi="Times New Roman"/>
          <w:spacing w:val="-11"/>
          <w:w w:val="105"/>
          <w:sz w:val="17"/>
        </w:rPr>
        <w:t> </w:t>
      </w:r>
      <w:r>
        <w:rPr>
          <w:rFonts w:ascii="Times New Roman" w:hAnsi="Times New Roman"/>
          <w:w w:val="105"/>
          <w:sz w:val="17"/>
        </w:rPr>
        <w:t>the first</w:t>
      </w:r>
      <w:r>
        <w:rPr>
          <w:rFonts w:ascii="Times New Roman" w:hAnsi="Times New Roman"/>
          <w:spacing w:val="-11"/>
          <w:w w:val="105"/>
          <w:sz w:val="17"/>
        </w:rPr>
        <w:t> </w:t>
      </w:r>
      <w:r>
        <w:rPr>
          <w:rFonts w:ascii="Times New Roman" w:hAnsi="Times New Roman"/>
          <w:w w:val="105"/>
          <w:sz w:val="17"/>
        </w:rPr>
        <w:t>15</w:t>
      </w:r>
      <w:r>
        <w:rPr>
          <w:rFonts w:ascii="Times New Roman" w:hAnsi="Times New Roman"/>
          <w:spacing w:val="-10"/>
          <w:w w:val="105"/>
          <w:sz w:val="17"/>
        </w:rPr>
        <w:t> </w:t>
      </w:r>
      <w:r>
        <w:rPr>
          <w:rFonts w:ascii="Times New Roman" w:hAnsi="Times New Roman"/>
          <w:w w:val="105"/>
          <w:sz w:val="17"/>
        </w:rPr>
        <w:t>days,</w:t>
      </w:r>
      <w:r>
        <w:rPr>
          <w:rFonts w:ascii="Times New Roman" w:hAnsi="Times New Roman"/>
          <w:spacing w:val="-11"/>
          <w:w w:val="105"/>
          <w:sz w:val="17"/>
        </w:rPr>
        <w:t> </w:t>
      </w:r>
      <w:r>
        <w:rPr>
          <w:rFonts w:ascii="Times New Roman" w:hAnsi="Times New Roman"/>
          <w:w w:val="105"/>
          <w:sz w:val="17"/>
        </w:rPr>
        <w:t>after</w:t>
      </w:r>
      <w:r>
        <w:rPr>
          <w:rFonts w:ascii="Times New Roman" w:hAnsi="Times New Roman"/>
          <w:spacing w:val="-10"/>
          <w:w w:val="105"/>
          <w:sz w:val="17"/>
        </w:rPr>
        <w:t> </w:t>
      </w:r>
      <w:r>
        <w:rPr>
          <w:rFonts w:ascii="Times New Roman" w:hAnsi="Times New Roman"/>
          <w:w w:val="105"/>
          <w:sz w:val="17"/>
        </w:rPr>
        <w:t>this</w:t>
      </w:r>
      <w:r>
        <w:rPr>
          <w:rFonts w:ascii="Times New Roman" w:hAnsi="Times New Roman"/>
          <w:spacing w:val="-10"/>
          <w:w w:val="105"/>
          <w:sz w:val="17"/>
        </w:rPr>
        <w:t> </w:t>
      </w:r>
      <w:r>
        <w:rPr>
          <w:rFonts w:ascii="Times New Roman" w:hAnsi="Times New Roman"/>
          <w:w w:val="105"/>
          <w:sz w:val="17"/>
        </w:rPr>
        <w:t>effect</w:t>
      </w:r>
      <w:r>
        <w:rPr>
          <w:rFonts w:ascii="Times New Roman" w:hAnsi="Times New Roman"/>
          <w:spacing w:val="-11"/>
          <w:w w:val="105"/>
          <w:sz w:val="17"/>
        </w:rPr>
        <w:t> </w:t>
      </w:r>
      <w:r>
        <w:rPr>
          <w:rFonts w:ascii="Times New Roman" w:hAnsi="Times New Roman"/>
          <w:w w:val="105"/>
          <w:sz w:val="17"/>
        </w:rPr>
        <w:t>were</w:t>
      </w:r>
      <w:r>
        <w:rPr>
          <w:rFonts w:ascii="Times New Roman" w:hAnsi="Times New Roman"/>
          <w:spacing w:val="-11"/>
          <w:w w:val="105"/>
          <w:sz w:val="17"/>
        </w:rPr>
        <w:t> </w:t>
      </w:r>
      <w:r>
        <w:rPr>
          <w:rFonts w:ascii="Times New Roman" w:hAnsi="Times New Roman"/>
          <w:w w:val="105"/>
          <w:sz w:val="17"/>
        </w:rPr>
        <w:t>immunosuppressive</w:t>
      </w:r>
      <w:r>
        <w:rPr>
          <w:rFonts w:ascii="Times New Roman" w:hAnsi="Times New Roman"/>
          <w:spacing w:val="-13"/>
          <w:w w:val="105"/>
          <w:sz w:val="17"/>
        </w:rPr>
        <w:t> </w:t>
      </w:r>
      <w:r>
        <w:rPr>
          <w:rFonts w:ascii="Times New Roman" w:hAnsi="Times New Roman"/>
          <w:w w:val="105"/>
          <w:sz w:val="17"/>
        </w:rPr>
        <w:t>on</w:t>
      </w:r>
      <w:r>
        <w:rPr>
          <w:rFonts w:ascii="Times New Roman" w:hAnsi="Times New Roman"/>
          <w:spacing w:val="-8"/>
          <w:w w:val="105"/>
          <w:sz w:val="17"/>
        </w:rPr>
        <w:t> </w:t>
      </w:r>
      <w:r>
        <w:rPr>
          <w:rFonts w:ascii="Times New Roman" w:hAnsi="Times New Roman"/>
          <w:w w:val="105"/>
          <w:sz w:val="17"/>
        </w:rPr>
        <w:t>cytotoxic</w:t>
      </w:r>
      <w:r>
        <w:rPr>
          <w:rFonts w:ascii="Times New Roman" w:hAnsi="Times New Roman"/>
          <w:spacing w:val="-10"/>
          <w:w w:val="105"/>
          <w:sz w:val="17"/>
        </w:rPr>
        <w:t> </w:t>
      </w:r>
      <w:r>
        <w:rPr>
          <w:rFonts w:ascii="Times New Roman" w:hAnsi="Times New Roman"/>
          <w:w w:val="105"/>
          <w:sz w:val="17"/>
        </w:rPr>
        <w:t>T</w:t>
      </w:r>
      <w:r>
        <w:rPr>
          <w:rFonts w:ascii="Times New Roman" w:hAnsi="Times New Roman"/>
          <w:spacing w:val="-10"/>
          <w:w w:val="105"/>
          <w:sz w:val="17"/>
        </w:rPr>
        <w:t> </w:t>
      </w:r>
      <w:r>
        <w:rPr>
          <w:rFonts w:ascii="Times New Roman" w:hAnsi="Times New Roman"/>
          <w:w w:val="105"/>
          <w:sz w:val="17"/>
        </w:rPr>
        <w:t>lymphocytes</w:t>
      </w:r>
      <w:r>
        <w:rPr>
          <w:rFonts w:ascii="Times New Roman" w:hAnsi="Times New Roman"/>
          <w:spacing w:val="-11"/>
          <w:w w:val="105"/>
          <w:sz w:val="17"/>
        </w:rPr>
        <w:t> </w:t>
      </w:r>
      <w:r>
        <w:rPr>
          <w:rFonts w:ascii="Times New Roman" w:hAnsi="Times New Roman"/>
          <w:w w:val="105"/>
          <w:sz w:val="17"/>
        </w:rPr>
        <w:t>and</w:t>
      </w:r>
      <w:r>
        <w:rPr>
          <w:rFonts w:ascii="Times New Roman" w:hAnsi="Times New Roman"/>
          <w:spacing w:val="-8"/>
          <w:w w:val="105"/>
          <w:sz w:val="17"/>
        </w:rPr>
        <w:t> </w:t>
      </w:r>
      <w:r>
        <w:rPr>
          <w:rFonts w:ascii="Times New Roman" w:hAnsi="Times New Roman"/>
          <w:w w:val="105"/>
          <w:sz w:val="17"/>
        </w:rPr>
        <w:t>granulocytes,</w:t>
      </w:r>
      <w:r>
        <w:rPr>
          <w:rFonts w:ascii="Times New Roman" w:hAnsi="Times New Roman"/>
          <w:spacing w:val="-11"/>
          <w:w w:val="105"/>
          <w:sz w:val="17"/>
        </w:rPr>
        <w:t> </w:t>
      </w:r>
      <w:r>
        <w:rPr>
          <w:rFonts w:ascii="Times New Roman" w:hAnsi="Times New Roman"/>
          <w:w w:val="105"/>
          <w:sz w:val="17"/>
        </w:rPr>
        <w:t>for</w:t>
      </w:r>
      <w:r>
        <w:rPr>
          <w:rFonts w:ascii="Times New Roman" w:hAnsi="Times New Roman"/>
          <w:spacing w:val="-7"/>
          <w:w w:val="105"/>
          <w:sz w:val="17"/>
        </w:rPr>
        <w:t> </w:t>
      </w:r>
      <w:r>
        <w:rPr>
          <w:rFonts w:ascii="Times New Roman" w:hAnsi="Times New Roman"/>
          <w:w w:val="105"/>
          <w:sz w:val="17"/>
        </w:rPr>
        <w:t>monocytes</w:t>
      </w:r>
      <w:r>
        <w:rPr>
          <w:rFonts w:ascii="Times New Roman" w:hAnsi="Times New Roman"/>
          <w:spacing w:val="-11"/>
          <w:w w:val="105"/>
          <w:sz w:val="17"/>
        </w:rPr>
        <w:t> </w:t>
      </w:r>
      <w:r>
        <w:rPr>
          <w:rFonts w:ascii="Times New Roman" w:hAnsi="Times New Roman"/>
          <w:w w:val="105"/>
          <w:sz w:val="17"/>
        </w:rPr>
        <w:t>the effect</w:t>
      </w:r>
      <w:r>
        <w:rPr>
          <w:rFonts w:ascii="Times New Roman" w:hAnsi="Times New Roman"/>
          <w:spacing w:val="-13"/>
          <w:w w:val="105"/>
          <w:sz w:val="17"/>
        </w:rPr>
        <w:t> </w:t>
      </w:r>
      <w:r>
        <w:rPr>
          <w:rFonts w:ascii="Times New Roman" w:hAnsi="Times New Roman"/>
          <w:w w:val="105"/>
          <w:sz w:val="17"/>
        </w:rPr>
        <w:t>was</w:t>
      </w:r>
      <w:r>
        <w:rPr>
          <w:rFonts w:ascii="Times New Roman" w:hAnsi="Times New Roman"/>
          <w:spacing w:val="-13"/>
          <w:w w:val="105"/>
          <w:sz w:val="17"/>
        </w:rPr>
        <w:t> </w:t>
      </w:r>
      <w:r>
        <w:rPr>
          <w:rFonts w:ascii="Times New Roman" w:hAnsi="Times New Roman"/>
          <w:w w:val="105"/>
          <w:sz w:val="17"/>
        </w:rPr>
        <w:t>immunostimulant.</w:t>
      </w:r>
      <w:r>
        <w:rPr>
          <w:rFonts w:ascii="Times New Roman" w:hAnsi="Times New Roman"/>
          <w:spacing w:val="-14"/>
          <w:w w:val="105"/>
          <w:sz w:val="17"/>
        </w:rPr>
        <w:t> </w:t>
      </w:r>
      <w:r>
        <w:rPr>
          <w:rFonts w:ascii="Times New Roman" w:hAnsi="Times New Roman"/>
          <w:w w:val="105"/>
          <w:sz w:val="17"/>
        </w:rPr>
        <w:t>No</w:t>
      </w:r>
      <w:r>
        <w:rPr>
          <w:rFonts w:ascii="Times New Roman" w:hAnsi="Times New Roman"/>
          <w:spacing w:val="-15"/>
          <w:w w:val="105"/>
          <w:sz w:val="17"/>
        </w:rPr>
        <w:t> </w:t>
      </w:r>
      <w:r>
        <w:rPr>
          <w:rFonts w:ascii="Times New Roman" w:hAnsi="Times New Roman"/>
          <w:w w:val="105"/>
          <w:sz w:val="17"/>
        </w:rPr>
        <w:t>there</w:t>
      </w:r>
      <w:r>
        <w:rPr>
          <w:rFonts w:ascii="Times New Roman" w:hAnsi="Times New Roman"/>
          <w:spacing w:val="-15"/>
          <w:w w:val="105"/>
          <w:sz w:val="17"/>
        </w:rPr>
        <w:t> </w:t>
      </w:r>
      <w:r>
        <w:rPr>
          <w:rFonts w:ascii="Times New Roman" w:hAnsi="Times New Roman"/>
          <w:w w:val="105"/>
          <w:sz w:val="17"/>
        </w:rPr>
        <w:t>were</w:t>
      </w:r>
      <w:r>
        <w:rPr>
          <w:rFonts w:ascii="Times New Roman" w:hAnsi="Times New Roman"/>
          <w:spacing w:val="-15"/>
          <w:w w:val="105"/>
          <w:sz w:val="17"/>
        </w:rPr>
        <w:t> </w:t>
      </w:r>
      <w:r>
        <w:rPr>
          <w:rFonts w:ascii="Times New Roman" w:hAnsi="Times New Roman"/>
          <w:w w:val="105"/>
          <w:sz w:val="17"/>
        </w:rPr>
        <w:t>correlation</w:t>
      </w:r>
      <w:r>
        <w:rPr>
          <w:rFonts w:ascii="Times New Roman" w:hAnsi="Times New Roman"/>
          <w:spacing w:val="-15"/>
          <w:w w:val="105"/>
          <w:sz w:val="17"/>
        </w:rPr>
        <w:t> </w:t>
      </w:r>
      <w:r>
        <w:rPr>
          <w:rFonts w:ascii="Times New Roman" w:hAnsi="Times New Roman"/>
          <w:w w:val="105"/>
          <w:sz w:val="17"/>
        </w:rPr>
        <w:t>between</w:t>
      </w:r>
      <w:r>
        <w:rPr>
          <w:rFonts w:ascii="Times New Roman" w:hAnsi="Times New Roman"/>
          <w:spacing w:val="-13"/>
          <w:w w:val="105"/>
          <w:sz w:val="17"/>
        </w:rPr>
        <w:t> </w:t>
      </w:r>
      <w:r>
        <w:rPr>
          <w:rFonts w:ascii="Times New Roman" w:hAnsi="Times New Roman"/>
          <w:w w:val="105"/>
          <w:sz w:val="17"/>
        </w:rPr>
        <w:t>ADG</w:t>
      </w:r>
      <w:r>
        <w:rPr>
          <w:rFonts w:ascii="Times New Roman" w:hAnsi="Times New Roman"/>
          <w:spacing w:val="-15"/>
          <w:w w:val="105"/>
          <w:sz w:val="17"/>
        </w:rPr>
        <w:t> </w:t>
      </w:r>
      <w:r>
        <w:rPr>
          <w:rFonts w:ascii="Times New Roman" w:hAnsi="Times New Roman"/>
          <w:w w:val="105"/>
          <w:sz w:val="17"/>
        </w:rPr>
        <w:t>and</w:t>
      </w:r>
      <w:r>
        <w:rPr>
          <w:rFonts w:ascii="Times New Roman" w:hAnsi="Times New Roman"/>
          <w:spacing w:val="-13"/>
          <w:w w:val="105"/>
          <w:sz w:val="17"/>
        </w:rPr>
        <w:t> </w:t>
      </w:r>
      <w:r>
        <w:rPr>
          <w:rFonts w:ascii="Times New Roman" w:hAnsi="Times New Roman"/>
          <w:w w:val="105"/>
          <w:sz w:val="17"/>
        </w:rPr>
        <w:t>cellular</w:t>
      </w:r>
      <w:r>
        <w:rPr>
          <w:rFonts w:ascii="Times New Roman" w:hAnsi="Times New Roman"/>
          <w:spacing w:val="-14"/>
          <w:w w:val="105"/>
          <w:sz w:val="17"/>
        </w:rPr>
        <w:t> </w:t>
      </w:r>
      <w:r>
        <w:rPr>
          <w:rFonts w:ascii="Times New Roman" w:hAnsi="Times New Roman"/>
          <w:w w:val="105"/>
          <w:sz w:val="17"/>
        </w:rPr>
        <w:t>immune</w:t>
      </w:r>
      <w:r>
        <w:rPr>
          <w:rFonts w:ascii="Times New Roman" w:hAnsi="Times New Roman"/>
          <w:spacing w:val="-16"/>
          <w:w w:val="105"/>
          <w:sz w:val="17"/>
        </w:rPr>
        <w:t> </w:t>
      </w:r>
      <w:r>
        <w:rPr>
          <w:rFonts w:ascii="Times New Roman" w:hAnsi="Times New Roman"/>
          <w:w w:val="105"/>
          <w:sz w:val="17"/>
        </w:rPr>
        <w:t>response</w:t>
      </w:r>
      <w:r>
        <w:rPr>
          <w:rFonts w:ascii="Times New Roman" w:hAnsi="Times New Roman"/>
          <w:spacing w:val="-15"/>
          <w:w w:val="105"/>
          <w:sz w:val="17"/>
        </w:rPr>
        <w:t> </w:t>
      </w:r>
      <w:r>
        <w:rPr>
          <w:rFonts w:ascii="Times New Roman" w:hAnsi="Times New Roman"/>
          <w:w w:val="105"/>
          <w:sz w:val="17"/>
        </w:rPr>
        <w:t>in</w:t>
      </w:r>
      <w:r>
        <w:rPr>
          <w:rFonts w:ascii="Times New Roman" w:hAnsi="Times New Roman"/>
          <w:spacing w:val="-13"/>
          <w:w w:val="105"/>
          <w:sz w:val="17"/>
        </w:rPr>
        <w:t> </w:t>
      </w:r>
      <w:r>
        <w:rPr>
          <w:rFonts w:ascii="Times New Roman" w:hAnsi="Times New Roman"/>
          <w:w w:val="105"/>
          <w:sz w:val="17"/>
        </w:rPr>
        <w:t>this</w:t>
      </w:r>
      <w:r>
        <w:rPr>
          <w:rFonts w:ascii="Times New Roman" w:hAnsi="Times New Roman"/>
          <w:spacing w:val="-13"/>
          <w:w w:val="105"/>
          <w:sz w:val="17"/>
        </w:rPr>
        <w:t> </w:t>
      </w:r>
      <w:r>
        <w:rPr>
          <w:rFonts w:ascii="Times New Roman" w:hAnsi="Times New Roman"/>
          <w:w w:val="105"/>
          <w:sz w:val="17"/>
        </w:rPr>
        <w:t>experiment.</w:t>
      </w:r>
    </w:p>
    <w:p>
      <w:pPr>
        <w:spacing w:line="283" w:lineRule="auto" w:before="154"/>
        <w:ind w:left="1580" w:right="417" w:firstLine="0"/>
        <w:jc w:val="left"/>
        <w:rPr>
          <w:rFonts w:ascii="Times New Roman"/>
          <w:sz w:val="17"/>
        </w:rPr>
      </w:pPr>
      <w:r>
        <w:rPr>
          <w:rFonts w:ascii="Times New Roman"/>
          <w:b/>
          <w:w w:val="105"/>
          <w:sz w:val="17"/>
        </w:rPr>
        <w:t>Key</w:t>
      </w:r>
      <w:r>
        <w:rPr>
          <w:rFonts w:ascii="Times New Roman"/>
          <w:b/>
          <w:spacing w:val="-14"/>
          <w:w w:val="105"/>
          <w:sz w:val="17"/>
        </w:rPr>
        <w:t> </w:t>
      </w:r>
      <w:r>
        <w:rPr>
          <w:rFonts w:ascii="Times New Roman"/>
          <w:b/>
          <w:w w:val="105"/>
          <w:sz w:val="17"/>
        </w:rPr>
        <w:t>words:</w:t>
      </w:r>
      <w:r>
        <w:rPr>
          <w:rFonts w:ascii="Times New Roman"/>
          <w:b/>
          <w:spacing w:val="17"/>
          <w:w w:val="105"/>
          <w:sz w:val="17"/>
        </w:rPr>
        <w:t> </w:t>
      </w:r>
      <w:r>
        <w:rPr>
          <w:rFonts w:ascii="Times New Roman"/>
          <w:w w:val="105"/>
          <w:sz w:val="17"/>
        </w:rPr>
        <w:t>Exogenous</w:t>
      </w:r>
      <w:r>
        <w:rPr>
          <w:rFonts w:ascii="Times New Roman"/>
          <w:spacing w:val="-12"/>
          <w:w w:val="105"/>
          <w:sz w:val="17"/>
        </w:rPr>
        <w:t> </w:t>
      </w:r>
      <w:r>
        <w:rPr>
          <w:rFonts w:ascii="Times New Roman"/>
          <w:w w:val="105"/>
          <w:sz w:val="17"/>
        </w:rPr>
        <w:t>enzyme,</w:t>
      </w:r>
      <w:r>
        <w:rPr>
          <w:rFonts w:ascii="Times New Roman"/>
          <w:spacing w:val="-14"/>
          <w:w w:val="105"/>
          <w:sz w:val="17"/>
        </w:rPr>
        <w:t> </w:t>
      </w:r>
      <w:r>
        <w:rPr>
          <w:rFonts w:ascii="Times New Roman"/>
          <w:i/>
          <w:w w:val="105"/>
          <w:sz w:val="17"/>
        </w:rPr>
        <w:t>Salix</w:t>
      </w:r>
      <w:r>
        <w:rPr>
          <w:rFonts w:ascii="Times New Roman"/>
          <w:i/>
          <w:spacing w:val="-14"/>
          <w:w w:val="105"/>
          <w:sz w:val="17"/>
        </w:rPr>
        <w:t> </w:t>
      </w:r>
      <w:r>
        <w:rPr>
          <w:rFonts w:ascii="Times New Roman"/>
          <w:i/>
          <w:w w:val="105"/>
          <w:sz w:val="17"/>
        </w:rPr>
        <w:t>babylonica</w:t>
      </w:r>
      <w:r>
        <w:rPr>
          <w:rFonts w:ascii="Times New Roman"/>
          <w:i/>
          <w:spacing w:val="-12"/>
          <w:w w:val="105"/>
          <w:sz w:val="17"/>
        </w:rPr>
        <w:t> </w:t>
      </w:r>
      <w:r>
        <w:rPr>
          <w:rFonts w:ascii="Times New Roman"/>
          <w:w w:val="105"/>
          <w:sz w:val="17"/>
        </w:rPr>
        <w:t>L.</w:t>
      </w:r>
      <w:r>
        <w:rPr>
          <w:rFonts w:ascii="Times New Roman"/>
          <w:spacing w:val="-14"/>
          <w:w w:val="105"/>
          <w:sz w:val="17"/>
        </w:rPr>
        <w:t> </w:t>
      </w:r>
      <w:r>
        <w:rPr>
          <w:rFonts w:ascii="Times New Roman"/>
          <w:w w:val="105"/>
          <w:sz w:val="17"/>
        </w:rPr>
        <w:t>extract,</w:t>
      </w:r>
      <w:r>
        <w:rPr>
          <w:rFonts w:ascii="Times New Roman"/>
          <w:spacing w:val="-14"/>
          <w:w w:val="105"/>
          <w:sz w:val="17"/>
        </w:rPr>
        <w:t> </w:t>
      </w:r>
      <w:r>
        <w:rPr>
          <w:rFonts w:ascii="Times New Roman"/>
          <w:w w:val="105"/>
          <w:sz w:val="17"/>
        </w:rPr>
        <w:t>Immune</w:t>
      </w:r>
      <w:r>
        <w:rPr>
          <w:rFonts w:ascii="Times New Roman"/>
          <w:spacing w:val="-16"/>
          <w:w w:val="105"/>
          <w:sz w:val="17"/>
        </w:rPr>
        <w:t> </w:t>
      </w:r>
      <w:r>
        <w:rPr>
          <w:rFonts w:ascii="Times New Roman"/>
          <w:w w:val="105"/>
          <w:sz w:val="17"/>
        </w:rPr>
        <w:t>response,</w:t>
      </w:r>
      <w:r>
        <w:rPr>
          <w:rFonts w:ascii="Times New Roman"/>
          <w:spacing w:val="-14"/>
          <w:w w:val="105"/>
          <w:sz w:val="17"/>
        </w:rPr>
        <w:t> </w:t>
      </w:r>
      <w:r>
        <w:rPr>
          <w:rFonts w:ascii="Times New Roman"/>
          <w:w w:val="105"/>
          <w:sz w:val="17"/>
        </w:rPr>
        <w:t>Performance, Lambs.</w:t>
      </w:r>
    </w:p>
    <w:p>
      <w:pPr>
        <w:pStyle w:val="BodyText"/>
        <w:spacing w:before="2"/>
        <w:rPr>
          <w:rFonts w:ascii="Times New Roman"/>
        </w:rPr>
      </w:pPr>
      <w:r>
        <w:rPr/>
        <w:pict>
          <v:line style="position:absolute;mso-position-horizontal-relative:page;mso-position-vertical-relative:paragraph;z-index:3736;mso-wrap-distance-left:0;mso-wrap-distance-right:0" from="85.559998pt,15.666492pt" to="509.879988pt,15.666492pt" stroked="true" strokeweight=".730032pt" strokecolor="#000000">
            <w10:wrap type="topAndBottom"/>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5"/>
        </w:rPr>
      </w:pPr>
      <w:r>
        <w:rPr/>
        <w:pict>
          <v:line style="position:absolute;mso-position-horizontal-relative:page;mso-position-vertical-relative:paragraph;z-index:3760;mso-wrap-distance-left:0;mso-wrap-distance-right:0" from="82.919998pt,11.338905pt" to="223.079995pt,11.338905pt" stroked="true" strokeweight=".72pt" strokecolor="#000000">
            <w10:wrap type="topAndBottom"/>
          </v:line>
        </w:pict>
      </w:r>
    </w:p>
    <w:p>
      <w:pPr>
        <w:pStyle w:val="BodyText"/>
        <w:spacing w:before="7"/>
        <w:rPr>
          <w:rFonts w:ascii="Times New Roman"/>
        </w:rPr>
      </w:pPr>
    </w:p>
    <w:p>
      <w:pPr>
        <w:spacing w:line="268" w:lineRule="auto" w:before="83"/>
        <w:ind w:left="118" w:right="36" w:firstLine="0"/>
        <w:jc w:val="left"/>
        <w:rPr>
          <w:rFonts w:ascii="Times New Roman"/>
          <w:sz w:val="17"/>
        </w:rPr>
      </w:pPr>
      <w:r>
        <w:rPr>
          <w:rFonts w:ascii="Times New Roman"/>
          <w:color w:val="171616"/>
          <w:w w:val="105"/>
          <w:position w:val="7"/>
          <w:sz w:val="10"/>
        </w:rPr>
        <w:t>2 </w:t>
      </w:r>
      <w:r>
        <w:rPr>
          <w:rFonts w:ascii="Times New Roman"/>
          <w:color w:val="171616"/>
          <w:w w:val="105"/>
          <w:sz w:val="17"/>
        </w:rPr>
        <w:t>This paper is part of the special issue entitled: </w:t>
      </w:r>
      <w:r>
        <w:rPr>
          <w:rFonts w:ascii="Times New Roman"/>
          <w:i/>
          <w:color w:val="171616"/>
          <w:w w:val="105"/>
          <w:sz w:val="17"/>
        </w:rPr>
        <w:t>Exogenous Enzymes in Animal Nutrition - Benefits and Limitations</w:t>
      </w:r>
      <w:r>
        <w:rPr>
          <w:rFonts w:ascii="Times New Roman"/>
          <w:color w:val="171616"/>
          <w:w w:val="105"/>
          <w:sz w:val="17"/>
        </w:rPr>
        <w:t>, Guest</w:t>
      </w:r>
      <w:r>
        <w:rPr>
          <w:rFonts w:ascii="Times New Roman"/>
          <w:color w:val="171616"/>
          <w:spacing w:val="-11"/>
          <w:w w:val="105"/>
          <w:sz w:val="17"/>
        </w:rPr>
        <w:t> </w:t>
      </w:r>
      <w:r>
        <w:rPr>
          <w:rFonts w:ascii="Times New Roman"/>
          <w:color w:val="171616"/>
          <w:w w:val="105"/>
          <w:sz w:val="17"/>
        </w:rPr>
        <w:t>Edited</w:t>
      </w:r>
      <w:r>
        <w:rPr>
          <w:rFonts w:ascii="Times New Roman"/>
          <w:color w:val="171616"/>
          <w:spacing w:val="-11"/>
          <w:w w:val="105"/>
          <w:sz w:val="17"/>
        </w:rPr>
        <w:t> </w:t>
      </w:r>
      <w:r>
        <w:rPr>
          <w:rFonts w:ascii="Times New Roman"/>
          <w:color w:val="171616"/>
          <w:w w:val="105"/>
          <w:sz w:val="17"/>
        </w:rPr>
        <w:t>by</w:t>
      </w:r>
      <w:r>
        <w:rPr>
          <w:rFonts w:ascii="Times New Roman"/>
          <w:color w:val="171616"/>
          <w:spacing w:val="-13"/>
          <w:w w:val="105"/>
          <w:sz w:val="17"/>
        </w:rPr>
        <w:t> </w:t>
      </w:r>
      <w:r>
        <w:rPr>
          <w:rFonts w:ascii="Times New Roman"/>
          <w:color w:val="171616"/>
          <w:w w:val="105"/>
          <w:sz w:val="17"/>
        </w:rPr>
        <w:t>A.Z.M.</w:t>
      </w:r>
      <w:r>
        <w:rPr>
          <w:rFonts w:ascii="Times New Roman"/>
          <w:color w:val="171616"/>
          <w:spacing w:val="-12"/>
          <w:w w:val="105"/>
          <w:sz w:val="17"/>
        </w:rPr>
        <w:t> </w:t>
      </w:r>
      <w:r>
        <w:rPr>
          <w:rFonts w:ascii="Times New Roman"/>
          <w:color w:val="171616"/>
          <w:w w:val="105"/>
          <w:sz w:val="17"/>
        </w:rPr>
        <w:t>Salem</w:t>
      </w:r>
      <w:r>
        <w:rPr>
          <w:rFonts w:ascii="Times New Roman"/>
          <w:color w:val="171616"/>
          <w:spacing w:val="-15"/>
          <w:w w:val="105"/>
          <w:sz w:val="17"/>
        </w:rPr>
        <w:t> </w:t>
      </w:r>
      <w:r>
        <w:rPr>
          <w:rFonts w:ascii="Times New Roman"/>
          <w:color w:val="171616"/>
          <w:w w:val="105"/>
          <w:sz w:val="17"/>
        </w:rPr>
        <w:t>and</w:t>
      </w:r>
      <w:r>
        <w:rPr>
          <w:rFonts w:ascii="Times New Roman"/>
          <w:color w:val="171616"/>
          <w:spacing w:val="-13"/>
          <w:w w:val="105"/>
          <w:sz w:val="17"/>
        </w:rPr>
        <w:t> </w:t>
      </w:r>
      <w:r>
        <w:rPr>
          <w:rFonts w:ascii="Times New Roman"/>
          <w:color w:val="171616"/>
          <w:w w:val="105"/>
          <w:sz w:val="17"/>
        </w:rPr>
        <w:t>N.</w:t>
      </w:r>
      <w:r>
        <w:rPr>
          <w:rFonts w:ascii="Times New Roman"/>
          <w:color w:val="171616"/>
          <w:spacing w:val="-12"/>
          <w:w w:val="105"/>
          <w:sz w:val="17"/>
        </w:rPr>
        <w:t> </w:t>
      </w:r>
      <w:r>
        <w:rPr>
          <w:rFonts w:ascii="Times New Roman"/>
          <w:color w:val="171616"/>
          <w:w w:val="105"/>
          <w:sz w:val="17"/>
        </w:rPr>
        <w:t>Odongo,</w:t>
      </w:r>
      <w:r>
        <w:rPr>
          <w:rFonts w:ascii="Times New Roman"/>
          <w:color w:val="171616"/>
          <w:spacing w:val="-12"/>
          <w:w w:val="105"/>
          <w:sz w:val="17"/>
        </w:rPr>
        <w:t> </w:t>
      </w:r>
      <w:r>
        <w:rPr>
          <w:rFonts w:ascii="Times New Roman"/>
          <w:color w:val="171616"/>
          <w:w w:val="105"/>
          <w:sz w:val="17"/>
        </w:rPr>
        <w:t>and</w:t>
      </w:r>
      <w:r>
        <w:rPr>
          <w:rFonts w:ascii="Times New Roman"/>
          <w:color w:val="171616"/>
          <w:spacing w:val="-11"/>
          <w:w w:val="105"/>
          <w:sz w:val="17"/>
        </w:rPr>
        <w:t> </w:t>
      </w:r>
      <w:r>
        <w:rPr>
          <w:rFonts w:ascii="Times New Roman"/>
          <w:color w:val="171616"/>
          <w:w w:val="105"/>
          <w:sz w:val="17"/>
        </w:rPr>
        <w:t>Editor</w:t>
      </w:r>
      <w:r>
        <w:rPr>
          <w:rFonts w:ascii="Times New Roman"/>
          <w:color w:val="171616"/>
          <w:spacing w:val="-12"/>
          <w:w w:val="105"/>
          <w:sz w:val="17"/>
        </w:rPr>
        <w:t> </w:t>
      </w:r>
      <w:r>
        <w:rPr>
          <w:rFonts w:ascii="Times New Roman"/>
          <w:color w:val="171616"/>
          <w:w w:val="105"/>
          <w:sz w:val="17"/>
        </w:rPr>
        <w:t>for</w:t>
      </w:r>
      <w:r>
        <w:rPr>
          <w:rFonts w:ascii="Times New Roman"/>
          <w:color w:val="171616"/>
          <w:spacing w:val="-12"/>
          <w:w w:val="105"/>
          <w:sz w:val="17"/>
        </w:rPr>
        <w:t> </w:t>
      </w:r>
      <w:r>
        <w:rPr>
          <w:rFonts w:ascii="Times New Roman"/>
          <w:color w:val="171616"/>
          <w:w w:val="105"/>
          <w:sz w:val="17"/>
        </w:rPr>
        <w:t>Animal</w:t>
      </w:r>
      <w:r>
        <w:rPr>
          <w:rFonts w:ascii="Times New Roman"/>
          <w:color w:val="171616"/>
          <w:spacing w:val="-12"/>
          <w:w w:val="105"/>
          <w:sz w:val="17"/>
        </w:rPr>
        <w:t> </w:t>
      </w:r>
      <w:r>
        <w:rPr>
          <w:rFonts w:ascii="Times New Roman"/>
          <w:color w:val="171616"/>
          <w:w w:val="105"/>
          <w:sz w:val="17"/>
        </w:rPr>
        <w:t>Nutrition</w:t>
      </w:r>
      <w:r>
        <w:rPr>
          <w:rFonts w:ascii="Times New Roman"/>
          <w:color w:val="171616"/>
          <w:spacing w:val="-11"/>
          <w:w w:val="105"/>
          <w:sz w:val="17"/>
        </w:rPr>
        <w:t> </w:t>
      </w:r>
      <w:r>
        <w:rPr>
          <w:rFonts w:ascii="Times New Roman"/>
          <w:color w:val="171616"/>
          <w:w w:val="105"/>
          <w:sz w:val="17"/>
        </w:rPr>
        <w:t>and</w:t>
      </w:r>
      <w:r>
        <w:rPr>
          <w:rFonts w:ascii="Times New Roman"/>
          <w:color w:val="171616"/>
          <w:spacing w:val="-11"/>
          <w:w w:val="105"/>
          <w:sz w:val="17"/>
        </w:rPr>
        <w:t> </w:t>
      </w:r>
      <w:r>
        <w:rPr>
          <w:rFonts w:ascii="Times New Roman"/>
          <w:color w:val="171616"/>
          <w:w w:val="105"/>
          <w:sz w:val="17"/>
        </w:rPr>
        <w:t>Feed</w:t>
      </w:r>
      <w:r>
        <w:rPr>
          <w:rFonts w:ascii="Times New Roman"/>
          <w:color w:val="171616"/>
          <w:spacing w:val="-11"/>
          <w:w w:val="105"/>
          <w:sz w:val="17"/>
        </w:rPr>
        <w:t> </w:t>
      </w:r>
      <w:r>
        <w:rPr>
          <w:rFonts w:ascii="Times New Roman"/>
          <w:color w:val="171616"/>
          <w:w w:val="105"/>
          <w:sz w:val="17"/>
        </w:rPr>
        <w:t>Technology,</w:t>
      </w:r>
      <w:r>
        <w:rPr>
          <w:rFonts w:ascii="Times New Roman"/>
          <w:color w:val="171616"/>
          <w:spacing w:val="-12"/>
          <w:w w:val="105"/>
          <w:sz w:val="17"/>
        </w:rPr>
        <w:t> </w:t>
      </w:r>
      <w:r>
        <w:rPr>
          <w:rFonts w:ascii="Times New Roman"/>
          <w:color w:val="171616"/>
          <w:w w:val="105"/>
          <w:sz w:val="17"/>
        </w:rPr>
        <w:t>A.K.</w:t>
      </w:r>
      <w:r>
        <w:rPr>
          <w:rFonts w:ascii="Times New Roman"/>
          <w:color w:val="171616"/>
          <w:spacing w:val="-12"/>
          <w:w w:val="105"/>
          <w:sz w:val="17"/>
        </w:rPr>
        <w:t> </w:t>
      </w:r>
      <w:r>
        <w:rPr>
          <w:rFonts w:ascii="Times New Roman"/>
          <w:color w:val="171616"/>
          <w:w w:val="105"/>
          <w:sz w:val="17"/>
        </w:rPr>
        <w:t>Pattanaik.</w:t>
      </w:r>
    </w:p>
    <w:p>
      <w:pPr>
        <w:spacing w:before="72"/>
        <w:ind w:left="118" w:right="417" w:firstLine="0"/>
        <w:jc w:val="left"/>
        <w:rPr>
          <w:rFonts w:ascii="Times New Roman"/>
          <w:sz w:val="17"/>
        </w:rPr>
      </w:pPr>
      <w:r>
        <w:rPr>
          <w:rFonts w:ascii="Times New Roman"/>
          <w:color w:val="171616"/>
          <w:sz w:val="17"/>
        </w:rPr>
        <w:t>*Corresponding  author: asalem70@yahoo.com;</w:t>
      </w:r>
    </w:p>
    <w:p>
      <w:pPr>
        <w:spacing w:line="295" w:lineRule="auto" w:before="18"/>
        <w:ind w:left="118" w:right="325" w:firstLine="0"/>
        <w:jc w:val="left"/>
        <w:rPr>
          <w:rFonts w:ascii="Times New Roman" w:hAnsi="Times New Roman"/>
          <w:sz w:val="17"/>
        </w:rPr>
      </w:pPr>
      <w:r>
        <w:rPr>
          <w:rFonts w:ascii="Times New Roman" w:hAnsi="Times New Roman"/>
          <w:color w:val="171616"/>
          <w:w w:val="105"/>
          <w:position w:val="7"/>
          <w:sz w:val="10"/>
        </w:rPr>
        <w:t>3</w:t>
      </w:r>
      <w:r>
        <w:rPr>
          <w:rFonts w:ascii="Times New Roman" w:hAnsi="Times New Roman"/>
          <w:color w:val="171616"/>
          <w:spacing w:val="7"/>
          <w:w w:val="105"/>
          <w:position w:val="7"/>
          <w:sz w:val="10"/>
        </w:rPr>
        <w:t> </w:t>
      </w:r>
      <w:r>
        <w:rPr>
          <w:rFonts w:ascii="Times New Roman" w:hAnsi="Times New Roman"/>
          <w:color w:val="171616"/>
          <w:w w:val="105"/>
          <w:sz w:val="17"/>
        </w:rPr>
        <w:t>Facultad</w:t>
      </w:r>
      <w:r>
        <w:rPr>
          <w:rFonts w:ascii="Times New Roman" w:hAnsi="Times New Roman"/>
          <w:color w:val="171616"/>
          <w:spacing w:val="-13"/>
          <w:w w:val="105"/>
          <w:sz w:val="17"/>
        </w:rPr>
        <w:t> </w:t>
      </w:r>
      <w:r>
        <w:rPr>
          <w:rFonts w:ascii="Times New Roman" w:hAnsi="Times New Roman"/>
          <w:color w:val="171616"/>
          <w:w w:val="105"/>
          <w:sz w:val="17"/>
        </w:rPr>
        <w:t>de</w:t>
      </w:r>
      <w:r>
        <w:rPr>
          <w:rFonts w:ascii="Times New Roman" w:hAnsi="Times New Roman"/>
          <w:color w:val="171616"/>
          <w:spacing w:val="-15"/>
          <w:w w:val="105"/>
          <w:sz w:val="17"/>
        </w:rPr>
        <w:t> </w:t>
      </w:r>
      <w:r>
        <w:rPr>
          <w:rFonts w:ascii="Times New Roman" w:hAnsi="Times New Roman"/>
          <w:color w:val="171616"/>
          <w:w w:val="105"/>
          <w:sz w:val="17"/>
        </w:rPr>
        <w:t>Medicina</w:t>
      </w:r>
      <w:r>
        <w:rPr>
          <w:rFonts w:ascii="Times New Roman" w:hAnsi="Times New Roman"/>
          <w:color w:val="171616"/>
          <w:spacing w:val="-13"/>
          <w:w w:val="105"/>
          <w:sz w:val="17"/>
        </w:rPr>
        <w:t> </w:t>
      </w:r>
      <w:r>
        <w:rPr>
          <w:rFonts w:ascii="Times New Roman" w:hAnsi="Times New Roman"/>
          <w:color w:val="171616"/>
          <w:w w:val="105"/>
          <w:sz w:val="17"/>
        </w:rPr>
        <w:t>Veterinaria</w:t>
      </w:r>
      <w:r>
        <w:rPr>
          <w:rFonts w:ascii="Times New Roman" w:hAnsi="Times New Roman"/>
          <w:color w:val="171616"/>
          <w:spacing w:val="-13"/>
          <w:w w:val="105"/>
          <w:sz w:val="17"/>
        </w:rPr>
        <w:t> </w:t>
      </w:r>
      <w:r>
        <w:rPr>
          <w:rFonts w:ascii="Times New Roman" w:hAnsi="Times New Roman"/>
          <w:color w:val="171616"/>
          <w:w w:val="105"/>
          <w:sz w:val="17"/>
        </w:rPr>
        <w:t>y</w:t>
      </w:r>
      <w:r>
        <w:rPr>
          <w:rFonts w:ascii="Times New Roman" w:hAnsi="Times New Roman"/>
          <w:color w:val="171616"/>
          <w:spacing w:val="-12"/>
          <w:w w:val="105"/>
          <w:sz w:val="17"/>
        </w:rPr>
        <w:t> </w:t>
      </w:r>
      <w:r>
        <w:rPr>
          <w:rFonts w:ascii="Times New Roman" w:hAnsi="Times New Roman"/>
          <w:color w:val="171616"/>
          <w:w w:val="105"/>
          <w:sz w:val="17"/>
        </w:rPr>
        <w:t>Zootecnia,</w:t>
      </w:r>
      <w:r>
        <w:rPr>
          <w:rFonts w:ascii="Times New Roman" w:hAnsi="Times New Roman"/>
          <w:color w:val="171616"/>
          <w:spacing w:val="-13"/>
          <w:w w:val="105"/>
          <w:sz w:val="17"/>
        </w:rPr>
        <w:t> </w:t>
      </w:r>
      <w:r>
        <w:rPr>
          <w:rFonts w:ascii="Times New Roman" w:hAnsi="Times New Roman"/>
          <w:color w:val="171616"/>
          <w:w w:val="105"/>
          <w:sz w:val="17"/>
        </w:rPr>
        <w:t>Universidad</w:t>
      </w:r>
      <w:r>
        <w:rPr>
          <w:rFonts w:ascii="Times New Roman" w:hAnsi="Times New Roman"/>
          <w:color w:val="171616"/>
          <w:spacing w:val="-12"/>
          <w:w w:val="105"/>
          <w:sz w:val="17"/>
        </w:rPr>
        <w:t> </w:t>
      </w:r>
      <w:r>
        <w:rPr>
          <w:rFonts w:ascii="Times New Roman" w:hAnsi="Times New Roman"/>
          <w:color w:val="171616"/>
          <w:w w:val="105"/>
          <w:sz w:val="17"/>
        </w:rPr>
        <w:t>Autónoma</w:t>
      </w:r>
      <w:r>
        <w:rPr>
          <w:rFonts w:ascii="Times New Roman" w:hAnsi="Times New Roman"/>
          <w:color w:val="171616"/>
          <w:spacing w:val="-11"/>
          <w:w w:val="105"/>
          <w:sz w:val="17"/>
        </w:rPr>
        <w:t> </w:t>
      </w:r>
      <w:r>
        <w:rPr>
          <w:rFonts w:ascii="Times New Roman" w:hAnsi="Times New Roman"/>
          <w:color w:val="171616"/>
          <w:w w:val="105"/>
          <w:sz w:val="17"/>
        </w:rPr>
        <w:t>del</w:t>
      </w:r>
      <w:r>
        <w:rPr>
          <w:rFonts w:ascii="Times New Roman" w:hAnsi="Times New Roman"/>
          <w:color w:val="171616"/>
          <w:spacing w:val="-13"/>
          <w:w w:val="105"/>
          <w:sz w:val="17"/>
        </w:rPr>
        <w:t> </w:t>
      </w:r>
      <w:r>
        <w:rPr>
          <w:rFonts w:ascii="Times New Roman" w:hAnsi="Times New Roman"/>
          <w:color w:val="171616"/>
          <w:w w:val="105"/>
          <w:sz w:val="17"/>
        </w:rPr>
        <w:t>Estado</w:t>
      </w:r>
      <w:r>
        <w:rPr>
          <w:rFonts w:ascii="Times New Roman" w:hAnsi="Times New Roman"/>
          <w:color w:val="171616"/>
          <w:spacing w:val="-12"/>
          <w:w w:val="105"/>
          <w:sz w:val="17"/>
        </w:rPr>
        <w:t> </w:t>
      </w:r>
      <w:r>
        <w:rPr>
          <w:rFonts w:ascii="Times New Roman" w:hAnsi="Times New Roman"/>
          <w:color w:val="171616"/>
          <w:w w:val="105"/>
          <w:sz w:val="17"/>
        </w:rPr>
        <w:t>de</w:t>
      </w:r>
      <w:r>
        <w:rPr>
          <w:rFonts w:ascii="Times New Roman" w:hAnsi="Times New Roman"/>
          <w:color w:val="171616"/>
          <w:spacing w:val="-15"/>
          <w:w w:val="105"/>
          <w:sz w:val="17"/>
        </w:rPr>
        <w:t> </w:t>
      </w:r>
      <w:r>
        <w:rPr>
          <w:rFonts w:ascii="Times New Roman" w:hAnsi="Times New Roman"/>
          <w:color w:val="171616"/>
          <w:w w:val="105"/>
          <w:sz w:val="17"/>
        </w:rPr>
        <w:t>México,</w:t>
      </w:r>
      <w:r>
        <w:rPr>
          <w:rFonts w:ascii="Times New Roman" w:hAnsi="Times New Roman"/>
          <w:color w:val="171616"/>
          <w:spacing w:val="-15"/>
          <w:w w:val="105"/>
          <w:sz w:val="17"/>
        </w:rPr>
        <w:t> </w:t>
      </w:r>
      <w:r>
        <w:rPr>
          <w:rFonts w:ascii="Times New Roman" w:hAnsi="Times New Roman"/>
          <w:color w:val="171616"/>
          <w:w w:val="105"/>
          <w:sz w:val="17"/>
        </w:rPr>
        <w:t>Toluca,</w:t>
      </w:r>
      <w:r>
        <w:rPr>
          <w:rFonts w:ascii="Times New Roman" w:hAnsi="Times New Roman"/>
          <w:color w:val="171616"/>
          <w:spacing w:val="-13"/>
          <w:w w:val="105"/>
          <w:sz w:val="17"/>
        </w:rPr>
        <w:t> </w:t>
      </w:r>
      <w:r>
        <w:rPr>
          <w:rFonts w:ascii="Times New Roman" w:hAnsi="Times New Roman"/>
          <w:color w:val="171616"/>
          <w:w w:val="105"/>
          <w:sz w:val="17"/>
        </w:rPr>
        <w:t>50200,</w:t>
      </w:r>
      <w:r>
        <w:rPr>
          <w:rFonts w:ascii="Times New Roman" w:hAnsi="Times New Roman"/>
          <w:color w:val="171616"/>
          <w:spacing w:val="-15"/>
          <w:w w:val="105"/>
          <w:sz w:val="17"/>
        </w:rPr>
        <w:t> </w:t>
      </w:r>
      <w:r>
        <w:rPr>
          <w:rFonts w:ascii="Times New Roman" w:hAnsi="Times New Roman"/>
          <w:color w:val="171616"/>
          <w:w w:val="105"/>
          <w:sz w:val="17"/>
        </w:rPr>
        <w:t>México </w:t>
      </w:r>
      <w:r>
        <w:rPr>
          <w:rFonts w:ascii="Times New Roman" w:hAnsi="Times New Roman"/>
          <w:color w:val="171616"/>
          <w:w w:val="105"/>
          <w:position w:val="7"/>
          <w:sz w:val="10"/>
        </w:rPr>
        <w:t>4 </w:t>
      </w:r>
      <w:r>
        <w:rPr>
          <w:rFonts w:ascii="Times New Roman" w:hAnsi="Times New Roman"/>
          <w:color w:val="171616"/>
          <w:w w:val="105"/>
          <w:sz w:val="17"/>
        </w:rPr>
        <w:t>Facultad de Medicina Veterinaria y Zootecnia, Universidad Juárez del Estado de Durango. Durango, Dgo, 34280, México</w:t>
      </w:r>
    </w:p>
    <w:p>
      <w:pPr>
        <w:spacing w:line="300" w:lineRule="auto" w:before="1"/>
        <w:ind w:left="118" w:right="36" w:firstLine="0"/>
        <w:jc w:val="left"/>
        <w:rPr>
          <w:rFonts w:ascii="Times New Roman" w:hAnsi="Times New Roman"/>
          <w:sz w:val="17"/>
        </w:rPr>
      </w:pPr>
      <w:r>
        <w:rPr>
          <w:rFonts w:ascii="Times New Roman" w:hAnsi="Times New Roman"/>
          <w:color w:val="171616"/>
          <w:w w:val="105"/>
          <w:position w:val="7"/>
          <w:sz w:val="10"/>
        </w:rPr>
        <w:t>5</w:t>
      </w:r>
      <w:r>
        <w:rPr>
          <w:rFonts w:ascii="Times New Roman" w:hAnsi="Times New Roman"/>
          <w:color w:val="171616"/>
          <w:spacing w:val="6"/>
          <w:w w:val="105"/>
          <w:position w:val="7"/>
          <w:sz w:val="10"/>
        </w:rPr>
        <w:t> </w:t>
      </w:r>
      <w:r>
        <w:rPr>
          <w:rFonts w:ascii="Times New Roman" w:hAnsi="Times New Roman"/>
          <w:color w:val="171616"/>
          <w:w w:val="105"/>
          <w:sz w:val="17"/>
        </w:rPr>
        <w:t>Facultad</w:t>
      </w:r>
      <w:r>
        <w:rPr>
          <w:rFonts w:ascii="Times New Roman" w:hAnsi="Times New Roman"/>
          <w:color w:val="171616"/>
          <w:spacing w:val="-15"/>
          <w:w w:val="105"/>
          <w:sz w:val="17"/>
        </w:rPr>
        <w:t> </w:t>
      </w:r>
      <w:r>
        <w:rPr>
          <w:rFonts w:ascii="Times New Roman" w:hAnsi="Times New Roman"/>
          <w:color w:val="171616"/>
          <w:w w:val="105"/>
          <w:sz w:val="17"/>
        </w:rPr>
        <w:t>de</w:t>
      </w:r>
      <w:r>
        <w:rPr>
          <w:rFonts w:ascii="Times New Roman" w:hAnsi="Times New Roman"/>
          <w:color w:val="171616"/>
          <w:spacing w:val="-16"/>
          <w:w w:val="105"/>
          <w:sz w:val="17"/>
        </w:rPr>
        <w:t> </w:t>
      </w:r>
      <w:r>
        <w:rPr>
          <w:rFonts w:ascii="Times New Roman" w:hAnsi="Times New Roman"/>
          <w:color w:val="171616"/>
          <w:w w:val="105"/>
          <w:sz w:val="17"/>
        </w:rPr>
        <w:t>Medicina</w:t>
      </w:r>
      <w:r>
        <w:rPr>
          <w:rFonts w:ascii="Times New Roman" w:hAnsi="Times New Roman"/>
          <w:color w:val="171616"/>
          <w:spacing w:val="-15"/>
          <w:w w:val="105"/>
          <w:sz w:val="17"/>
        </w:rPr>
        <w:t> </w:t>
      </w:r>
      <w:r>
        <w:rPr>
          <w:rFonts w:ascii="Times New Roman" w:hAnsi="Times New Roman"/>
          <w:color w:val="171616"/>
          <w:w w:val="105"/>
          <w:sz w:val="17"/>
        </w:rPr>
        <w:t>Veterinaria</w:t>
      </w:r>
      <w:r>
        <w:rPr>
          <w:rFonts w:ascii="Times New Roman" w:hAnsi="Times New Roman"/>
          <w:color w:val="171616"/>
          <w:spacing w:val="-15"/>
          <w:w w:val="105"/>
          <w:sz w:val="17"/>
        </w:rPr>
        <w:t> </w:t>
      </w:r>
      <w:r>
        <w:rPr>
          <w:rFonts w:ascii="Times New Roman" w:hAnsi="Times New Roman"/>
          <w:color w:val="171616"/>
          <w:w w:val="105"/>
          <w:sz w:val="17"/>
        </w:rPr>
        <w:t>y</w:t>
      </w:r>
      <w:r>
        <w:rPr>
          <w:rFonts w:ascii="Times New Roman" w:hAnsi="Times New Roman"/>
          <w:color w:val="171616"/>
          <w:spacing w:val="-13"/>
          <w:w w:val="105"/>
          <w:sz w:val="17"/>
        </w:rPr>
        <w:t> </w:t>
      </w:r>
      <w:r>
        <w:rPr>
          <w:rFonts w:ascii="Times New Roman" w:hAnsi="Times New Roman"/>
          <w:color w:val="171616"/>
          <w:w w:val="105"/>
          <w:sz w:val="17"/>
        </w:rPr>
        <w:t>Zootecnia,</w:t>
      </w:r>
      <w:r>
        <w:rPr>
          <w:rFonts w:ascii="Times New Roman" w:hAnsi="Times New Roman"/>
          <w:color w:val="171616"/>
          <w:spacing w:val="-14"/>
          <w:w w:val="105"/>
          <w:sz w:val="17"/>
        </w:rPr>
        <w:t> </w:t>
      </w:r>
      <w:r>
        <w:rPr>
          <w:rFonts w:ascii="Times New Roman" w:hAnsi="Times New Roman"/>
          <w:color w:val="171616"/>
          <w:w w:val="105"/>
          <w:sz w:val="17"/>
        </w:rPr>
        <w:t>Universidad</w:t>
      </w:r>
      <w:r>
        <w:rPr>
          <w:rFonts w:ascii="Times New Roman" w:hAnsi="Times New Roman"/>
          <w:color w:val="171616"/>
          <w:spacing w:val="-13"/>
          <w:w w:val="105"/>
          <w:sz w:val="17"/>
        </w:rPr>
        <w:t> </w:t>
      </w:r>
      <w:r>
        <w:rPr>
          <w:rFonts w:ascii="Times New Roman" w:hAnsi="Times New Roman"/>
          <w:color w:val="171616"/>
          <w:w w:val="105"/>
          <w:sz w:val="17"/>
        </w:rPr>
        <w:t>Autónoma</w:t>
      </w:r>
      <w:r>
        <w:rPr>
          <w:rFonts w:ascii="Times New Roman" w:hAnsi="Times New Roman"/>
          <w:color w:val="171616"/>
          <w:spacing w:val="-12"/>
          <w:w w:val="105"/>
          <w:sz w:val="17"/>
        </w:rPr>
        <w:t> </w:t>
      </w:r>
      <w:r>
        <w:rPr>
          <w:rFonts w:ascii="Times New Roman" w:hAnsi="Times New Roman"/>
          <w:color w:val="171616"/>
          <w:w w:val="105"/>
          <w:sz w:val="17"/>
        </w:rPr>
        <w:t>de</w:t>
      </w:r>
      <w:r>
        <w:rPr>
          <w:rFonts w:ascii="Times New Roman" w:hAnsi="Times New Roman"/>
          <w:color w:val="171616"/>
          <w:spacing w:val="-15"/>
          <w:w w:val="105"/>
          <w:sz w:val="17"/>
        </w:rPr>
        <w:t> </w:t>
      </w:r>
      <w:r>
        <w:rPr>
          <w:rFonts w:ascii="Times New Roman" w:hAnsi="Times New Roman"/>
          <w:color w:val="171616"/>
          <w:w w:val="105"/>
          <w:sz w:val="17"/>
        </w:rPr>
        <w:t>Guerrero,</w:t>
      </w:r>
      <w:r>
        <w:rPr>
          <w:rFonts w:ascii="Times New Roman" w:hAnsi="Times New Roman"/>
          <w:color w:val="171616"/>
          <w:spacing w:val="-14"/>
          <w:w w:val="105"/>
          <w:sz w:val="17"/>
        </w:rPr>
        <w:t> </w:t>
      </w:r>
      <w:r>
        <w:rPr>
          <w:rFonts w:ascii="Times New Roman" w:hAnsi="Times New Roman"/>
          <w:color w:val="171616"/>
          <w:w w:val="105"/>
          <w:sz w:val="17"/>
        </w:rPr>
        <w:t>Ciudad</w:t>
      </w:r>
      <w:r>
        <w:rPr>
          <w:rFonts w:ascii="Times New Roman" w:hAnsi="Times New Roman"/>
          <w:color w:val="171616"/>
          <w:spacing w:val="-13"/>
          <w:w w:val="105"/>
          <w:sz w:val="17"/>
        </w:rPr>
        <w:t> </w:t>
      </w:r>
      <w:r>
        <w:rPr>
          <w:rFonts w:ascii="Times New Roman" w:hAnsi="Times New Roman"/>
          <w:color w:val="171616"/>
          <w:w w:val="105"/>
          <w:sz w:val="17"/>
        </w:rPr>
        <w:t>Altamirano,</w:t>
      </w:r>
      <w:r>
        <w:rPr>
          <w:rFonts w:ascii="Times New Roman" w:hAnsi="Times New Roman"/>
          <w:color w:val="171616"/>
          <w:spacing w:val="-14"/>
          <w:w w:val="105"/>
          <w:sz w:val="17"/>
        </w:rPr>
        <w:t> </w:t>
      </w:r>
      <w:r>
        <w:rPr>
          <w:rFonts w:ascii="Times New Roman" w:hAnsi="Times New Roman"/>
          <w:color w:val="171616"/>
          <w:w w:val="105"/>
          <w:sz w:val="17"/>
        </w:rPr>
        <w:t>Gro,</w:t>
      </w:r>
      <w:r>
        <w:rPr>
          <w:rFonts w:ascii="Times New Roman" w:hAnsi="Times New Roman"/>
          <w:color w:val="171616"/>
          <w:spacing w:val="-14"/>
          <w:w w:val="105"/>
          <w:sz w:val="17"/>
        </w:rPr>
        <w:t> </w:t>
      </w:r>
      <w:r>
        <w:rPr>
          <w:rFonts w:ascii="Times New Roman" w:hAnsi="Times New Roman"/>
          <w:color w:val="171616"/>
          <w:w w:val="105"/>
          <w:sz w:val="17"/>
        </w:rPr>
        <w:t>40660, México</w:t>
      </w:r>
    </w:p>
    <w:p>
      <w:pPr>
        <w:spacing w:line="259" w:lineRule="auto" w:before="0"/>
        <w:ind w:left="118" w:right="417" w:firstLine="0"/>
        <w:jc w:val="left"/>
        <w:rPr>
          <w:rFonts w:ascii="Times New Roman"/>
          <w:sz w:val="17"/>
        </w:rPr>
      </w:pPr>
      <w:r>
        <w:rPr>
          <w:rFonts w:ascii="Times New Roman"/>
          <w:color w:val="171616"/>
          <w:w w:val="105"/>
          <w:position w:val="7"/>
          <w:sz w:val="10"/>
        </w:rPr>
        <w:t>6</w:t>
      </w:r>
      <w:r>
        <w:rPr>
          <w:rFonts w:ascii="Times New Roman"/>
          <w:color w:val="171616"/>
          <w:spacing w:val="6"/>
          <w:w w:val="105"/>
          <w:position w:val="7"/>
          <w:sz w:val="10"/>
        </w:rPr>
        <w:t> </w:t>
      </w:r>
      <w:r>
        <w:rPr>
          <w:rFonts w:ascii="Times New Roman"/>
          <w:color w:val="171616"/>
          <w:w w:val="105"/>
          <w:sz w:val="17"/>
        </w:rPr>
        <w:t>Department</w:t>
      </w:r>
      <w:r>
        <w:rPr>
          <w:rFonts w:ascii="Times New Roman"/>
          <w:color w:val="171616"/>
          <w:spacing w:val="-12"/>
          <w:w w:val="105"/>
          <w:sz w:val="17"/>
        </w:rPr>
        <w:t> </w:t>
      </w:r>
      <w:r>
        <w:rPr>
          <w:rFonts w:ascii="Times New Roman"/>
          <w:color w:val="171616"/>
          <w:w w:val="105"/>
          <w:sz w:val="17"/>
        </w:rPr>
        <w:t>of</w:t>
      </w:r>
      <w:r>
        <w:rPr>
          <w:rFonts w:ascii="Times New Roman"/>
          <w:color w:val="171616"/>
          <w:spacing w:val="-12"/>
          <w:w w:val="105"/>
          <w:sz w:val="17"/>
        </w:rPr>
        <w:t> </w:t>
      </w:r>
      <w:r>
        <w:rPr>
          <w:rFonts w:ascii="Times New Roman"/>
          <w:color w:val="171616"/>
          <w:w w:val="105"/>
          <w:sz w:val="17"/>
        </w:rPr>
        <w:t>Animal</w:t>
      </w:r>
      <w:r>
        <w:rPr>
          <w:rFonts w:ascii="Times New Roman"/>
          <w:color w:val="171616"/>
          <w:spacing w:val="-12"/>
          <w:w w:val="105"/>
          <w:sz w:val="17"/>
        </w:rPr>
        <w:t> </w:t>
      </w:r>
      <w:r>
        <w:rPr>
          <w:rFonts w:ascii="Times New Roman"/>
          <w:color w:val="171616"/>
          <w:w w:val="105"/>
          <w:sz w:val="17"/>
        </w:rPr>
        <w:t>Production,</w:t>
      </w:r>
      <w:r>
        <w:rPr>
          <w:rFonts w:ascii="Times New Roman"/>
          <w:color w:val="171616"/>
          <w:spacing w:val="-16"/>
          <w:w w:val="105"/>
          <w:sz w:val="17"/>
        </w:rPr>
        <w:t> </w:t>
      </w:r>
      <w:r>
        <w:rPr>
          <w:rFonts w:ascii="Times New Roman"/>
          <w:color w:val="171616"/>
          <w:w w:val="105"/>
          <w:sz w:val="17"/>
        </w:rPr>
        <w:t>Faculty</w:t>
      </w:r>
      <w:r>
        <w:rPr>
          <w:rFonts w:ascii="Times New Roman"/>
          <w:color w:val="171616"/>
          <w:spacing w:val="-13"/>
          <w:w w:val="105"/>
          <w:sz w:val="17"/>
        </w:rPr>
        <w:t> </w:t>
      </w:r>
      <w:r>
        <w:rPr>
          <w:rFonts w:ascii="Times New Roman"/>
          <w:color w:val="171616"/>
          <w:w w:val="105"/>
          <w:sz w:val="17"/>
        </w:rPr>
        <w:t>of</w:t>
      </w:r>
      <w:r>
        <w:rPr>
          <w:rFonts w:ascii="Times New Roman"/>
          <w:color w:val="171616"/>
          <w:spacing w:val="-12"/>
          <w:w w:val="105"/>
          <w:sz w:val="17"/>
        </w:rPr>
        <w:t> </w:t>
      </w:r>
      <w:r>
        <w:rPr>
          <w:rFonts w:ascii="Times New Roman"/>
          <w:color w:val="171616"/>
          <w:w w:val="105"/>
          <w:sz w:val="17"/>
        </w:rPr>
        <w:t>Agriculture</w:t>
      </w:r>
      <w:r>
        <w:rPr>
          <w:rFonts w:ascii="Times New Roman"/>
          <w:color w:val="171616"/>
          <w:w w:val="105"/>
          <w:sz w:val="15"/>
        </w:rPr>
        <w:t>,</w:t>
      </w:r>
      <w:r>
        <w:rPr>
          <w:rFonts w:ascii="Times New Roman"/>
          <w:color w:val="171616"/>
          <w:spacing w:val="-8"/>
          <w:w w:val="105"/>
          <w:sz w:val="15"/>
        </w:rPr>
        <w:t> </w:t>
      </w:r>
      <w:r>
        <w:rPr>
          <w:rFonts w:ascii="Times New Roman"/>
          <w:color w:val="171616"/>
          <w:w w:val="105"/>
          <w:sz w:val="17"/>
        </w:rPr>
        <w:t>Ain</w:t>
      </w:r>
      <w:r>
        <w:rPr>
          <w:rFonts w:ascii="Times New Roman"/>
          <w:color w:val="171616"/>
          <w:spacing w:val="-13"/>
          <w:w w:val="105"/>
          <w:sz w:val="17"/>
        </w:rPr>
        <w:t> </w:t>
      </w:r>
      <w:r>
        <w:rPr>
          <w:rFonts w:ascii="Times New Roman"/>
          <w:color w:val="171616"/>
          <w:w w:val="105"/>
          <w:sz w:val="17"/>
        </w:rPr>
        <w:t>Shams</w:t>
      </w:r>
      <w:r>
        <w:rPr>
          <w:rFonts w:ascii="Times New Roman"/>
          <w:color w:val="171616"/>
          <w:spacing w:val="-12"/>
          <w:w w:val="105"/>
          <w:sz w:val="17"/>
        </w:rPr>
        <w:t> </w:t>
      </w:r>
      <w:r>
        <w:rPr>
          <w:rFonts w:ascii="Times New Roman"/>
          <w:color w:val="171616"/>
          <w:w w:val="105"/>
          <w:sz w:val="17"/>
        </w:rPr>
        <w:t>University,</w:t>
      </w:r>
      <w:r>
        <w:rPr>
          <w:rFonts w:ascii="Times New Roman"/>
          <w:color w:val="171616"/>
          <w:spacing w:val="-14"/>
          <w:w w:val="105"/>
          <w:sz w:val="17"/>
        </w:rPr>
        <w:t> </w:t>
      </w:r>
      <w:r>
        <w:rPr>
          <w:rFonts w:ascii="Times New Roman"/>
          <w:color w:val="171616"/>
          <w:w w:val="105"/>
          <w:sz w:val="17"/>
        </w:rPr>
        <w:t>Cairo,</w:t>
      </w:r>
      <w:r>
        <w:rPr>
          <w:rFonts w:ascii="Times New Roman"/>
          <w:color w:val="171616"/>
          <w:spacing w:val="-14"/>
          <w:w w:val="105"/>
          <w:sz w:val="17"/>
        </w:rPr>
        <w:t> </w:t>
      </w:r>
      <w:r>
        <w:rPr>
          <w:rFonts w:ascii="Times New Roman"/>
          <w:color w:val="171616"/>
          <w:w w:val="105"/>
          <w:sz w:val="17"/>
        </w:rPr>
        <w:t>Egypt</w:t>
      </w:r>
      <w:r>
        <w:rPr>
          <w:rFonts w:ascii="Times New Roman"/>
          <w:color w:val="171616"/>
          <w:spacing w:val="-14"/>
          <w:w w:val="105"/>
          <w:sz w:val="17"/>
        </w:rPr>
        <w:t> </w:t>
      </w:r>
      <w:r>
        <w:rPr>
          <w:rFonts w:ascii="Times New Roman"/>
          <w:color w:val="171616"/>
          <w:w w:val="105"/>
          <w:position w:val="6"/>
          <w:sz w:val="9"/>
        </w:rPr>
        <w:t>5</w:t>
      </w:r>
      <w:r>
        <w:rPr>
          <w:rFonts w:ascii="Times New Roman"/>
          <w:color w:val="171616"/>
          <w:w w:val="105"/>
          <w:sz w:val="17"/>
        </w:rPr>
        <w:t>Faculty</w:t>
      </w:r>
      <w:r>
        <w:rPr>
          <w:rFonts w:ascii="Times New Roman"/>
          <w:color w:val="171616"/>
          <w:spacing w:val="-14"/>
          <w:w w:val="105"/>
          <w:sz w:val="17"/>
        </w:rPr>
        <w:t> </w:t>
      </w:r>
      <w:r>
        <w:rPr>
          <w:rFonts w:ascii="Times New Roman"/>
          <w:color w:val="171616"/>
          <w:w w:val="105"/>
          <w:sz w:val="17"/>
        </w:rPr>
        <w:t>of Agriculture</w:t>
      </w:r>
      <w:r>
        <w:rPr>
          <w:rFonts w:ascii="Times New Roman"/>
          <w:color w:val="171616"/>
          <w:spacing w:val="-26"/>
          <w:w w:val="105"/>
          <w:sz w:val="17"/>
        </w:rPr>
        <w:t> </w:t>
      </w:r>
      <w:r>
        <w:rPr>
          <w:rFonts w:ascii="Times New Roman"/>
          <w:color w:val="171616"/>
          <w:w w:val="105"/>
          <w:sz w:val="17"/>
        </w:rPr>
        <w:t>(El-Shatby),</w:t>
      </w:r>
      <w:r>
        <w:rPr>
          <w:rFonts w:ascii="Times New Roman"/>
          <w:color w:val="171616"/>
          <w:spacing w:val="-23"/>
          <w:w w:val="105"/>
          <w:sz w:val="17"/>
        </w:rPr>
        <w:t> </w:t>
      </w:r>
      <w:r>
        <w:rPr>
          <w:rFonts w:ascii="Times New Roman"/>
          <w:color w:val="171616"/>
          <w:w w:val="105"/>
          <w:sz w:val="17"/>
        </w:rPr>
        <w:t>Alexandria</w:t>
      </w:r>
      <w:r>
        <w:rPr>
          <w:rFonts w:ascii="Times New Roman"/>
          <w:color w:val="171616"/>
          <w:spacing w:val="-25"/>
          <w:w w:val="105"/>
          <w:sz w:val="17"/>
        </w:rPr>
        <w:t> </w:t>
      </w:r>
      <w:r>
        <w:rPr>
          <w:rFonts w:ascii="Times New Roman"/>
          <w:color w:val="171616"/>
          <w:w w:val="105"/>
          <w:sz w:val="17"/>
        </w:rPr>
        <w:t>University,</w:t>
      </w:r>
      <w:r>
        <w:rPr>
          <w:rFonts w:ascii="Times New Roman"/>
          <w:color w:val="171616"/>
          <w:spacing w:val="-23"/>
          <w:w w:val="105"/>
          <w:sz w:val="17"/>
        </w:rPr>
        <w:t> </w:t>
      </w:r>
      <w:r>
        <w:rPr>
          <w:rFonts w:ascii="Times New Roman"/>
          <w:color w:val="171616"/>
          <w:w w:val="105"/>
          <w:sz w:val="17"/>
        </w:rPr>
        <w:t>Egypt.</w:t>
      </w:r>
    </w:p>
    <w:p>
      <w:pPr>
        <w:spacing w:after="0" w:line="259" w:lineRule="auto"/>
        <w:jc w:val="left"/>
        <w:rPr>
          <w:rFonts w:ascii="Times New Roman"/>
          <w:sz w:val="17"/>
        </w:rPr>
        <w:sectPr>
          <w:pgSz w:w="11900" w:h="16840"/>
          <w:pgMar w:header="0" w:footer="1619" w:top="1600" w:bottom="1860" w:left="154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8"/>
        </w:rPr>
      </w:pPr>
    </w:p>
    <w:p>
      <w:pPr>
        <w:spacing w:before="77"/>
        <w:ind w:left="115" w:right="102" w:firstLine="0"/>
        <w:jc w:val="left"/>
        <w:rPr>
          <w:rFonts w:ascii="Times New Roman"/>
          <w:b/>
          <w:sz w:val="21"/>
        </w:rPr>
      </w:pPr>
      <w:r>
        <w:rPr>
          <w:rFonts w:ascii="Times New Roman"/>
          <w:b/>
          <w:sz w:val="21"/>
        </w:rPr>
        <w:t>INTRODUCTION</w:t>
      </w:r>
    </w:p>
    <w:p>
      <w:pPr>
        <w:pStyle w:val="BodyText"/>
        <w:spacing w:before="3"/>
        <w:rPr>
          <w:rFonts w:ascii="Times New Roman"/>
          <w:b/>
          <w:sz w:val="20"/>
        </w:rPr>
      </w:pPr>
    </w:p>
    <w:p>
      <w:pPr>
        <w:spacing w:line="283" w:lineRule="auto" w:before="0"/>
        <w:ind w:left="175" w:right="102" w:firstLine="628"/>
        <w:jc w:val="both"/>
        <w:rPr>
          <w:rFonts w:ascii="Times New Roman"/>
          <w:sz w:val="19"/>
        </w:rPr>
      </w:pPr>
      <w:r>
        <w:rPr>
          <w:rFonts w:ascii="Times New Roman"/>
          <w:sz w:val="19"/>
        </w:rPr>
        <w:t>There is a complex tripartite interaction between malnutrition, immune  system  and  infectious  diseases (Mitchell </w:t>
      </w:r>
      <w:r>
        <w:rPr>
          <w:rFonts w:ascii="Times New Roman"/>
          <w:i/>
          <w:sz w:val="19"/>
        </w:rPr>
        <w:t>et al.</w:t>
      </w:r>
      <w:r>
        <w:rPr>
          <w:rFonts w:ascii="Times New Roman"/>
          <w:sz w:val="19"/>
        </w:rPr>
        <w:t>, 2003). Deficiency of macro- and micronutrients causes dysfunction of the immune system (Mitchell </w:t>
      </w:r>
      <w:r>
        <w:rPr>
          <w:rFonts w:ascii="Times New Roman"/>
          <w:i/>
          <w:sz w:val="19"/>
        </w:rPr>
        <w:t>et al.</w:t>
      </w:r>
      <w:r>
        <w:rPr>
          <w:rFonts w:ascii="Times New Roman"/>
          <w:sz w:val="19"/>
        </w:rPr>
        <w:t>, 2003; Chandra, 2004; Wintergerst </w:t>
      </w:r>
      <w:r>
        <w:rPr>
          <w:rFonts w:ascii="Times New Roman"/>
          <w:i/>
          <w:sz w:val="19"/>
        </w:rPr>
        <w:t>et al.</w:t>
      </w:r>
      <w:r>
        <w:rPr>
          <w:rFonts w:ascii="Times New Roman"/>
          <w:sz w:val="19"/>
        </w:rPr>
        <w:t>, 2007). These deficiencies increase the vulnerability of animals to disease which is exacerbated by malnutrition both altering defense mechanisms such as anatomical barriers, cellular and humoral immune responses  against antigens  (Calder  and Kew,  2002; Maggini </w:t>
      </w:r>
      <w:r>
        <w:rPr>
          <w:rFonts w:ascii="Times New Roman"/>
          <w:i/>
          <w:sz w:val="19"/>
        </w:rPr>
        <w:t>et al.</w:t>
      </w:r>
      <w:r>
        <w:rPr>
          <w:rFonts w:ascii="Times New Roman"/>
          <w:sz w:val="19"/>
        </w:rPr>
        <w:t>, 2007). Thus, the animal is not capable to initiate an immune response and the infection might not be controlled (Erickson </w:t>
      </w:r>
      <w:r>
        <w:rPr>
          <w:rFonts w:ascii="Times New Roman"/>
          <w:i/>
          <w:sz w:val="19"/>
        </w:rPr>
        <w:t>et al.</w:t>
      </w:r>
      <w:r>
        <w:rPr>
          <w:rFonts w:ascii="Times New Roman"/>
          <w:sz w:val="19"/>
        </w:rPr>
        <w:t>, 2000; Enwonwu, 2006) leading the animal to under-express their productive</w:t>
      </w:r>
      <w:r>
        <w:rPr>
          <w:rFonts w:ascii="Times New Roman"/>
          <w:spacing w:val="35"/>
          <w:sz w:val="19"/>
        </w:rPr>
        <w:t> </w:t>
      </w:r>
      <w:r>
        <w:rPr>
          <w:rFonts w:ascii="Times New Roman"/>
          <w:sz w:val="19"/>
        </w:rPr>
        <w:t>potential.</w:t>
      </w:r>
    </w:p>
    <w:p>
      <w:pPr>
        <w:spacing w:line="283" w:lineRule="auto" w:before="79"/>
        <w:ind w:left="175" w:right="99" w:firstLine="628"/>
        <w:jc w:val="both"/>
        <w:rPr>
          <w:rFonts w:ascii="Times New Roman"/>
          <w:sz w:val="19"/>
        </w:rPr>
      </w:pPr>
      <w:r>
        <w:rPr>
          <w:rFonts w:ascii="Times New Roman"/>
          <w:sz w:val="19"/>
        </w:rPr>
        <w:t>In order to promote a more efficient use of macro and micro-nutrients contained in the diet, feed additives such as pre- and probiotics, enzymes and exogenous ionophores and fodder tree extracts have been examined in previous studies (Salem </w:t>
      </w:r>
      <w:r>
        <w:rPr>
          <w:rFonts w:ascii="Times New Roman"/>
          <w:i/>
          <w:sz w:val="19"/>
        </w:rPr>
        <w:t>et al.</w:t>
      </w:r>
      <w:r>
        <w:rPr>
          <w:rFonts w:ascii="Times New Roman"/>
          <w:sz w:val="19"/>
        </w:rPr>
        <w:t>, 2010; Salem </w:t>
      </w:r>
      <w:r>
        <w:rPr>
          <w:rFonts w:ascii="Times New Roman"/>
          <w:i/>
          <w:sz w:val="19"/>
        </w:rPr>
        <w:t>et al.</w:t>
      </w:r>
      <w:r>
        <w:rPr>
          <w:rFonts w:ascii="Times New Roman"/>
          <w:sz w:val="19"/>
        </w:rPr>
        <w:t>, 2011a; Chung </w:t>
      </w:r>
      <w:r>
        <w:rPr>
          <w:rFonts w:ascii="Times New Roman"/>
          <w:i/>
          <w:sz w:val="19"/>
        </w:rPr>
        <w:t>et al.</w:t>
      </w:r>
      <w:r>
        <w:rPr>
          <w:rFonts w:ascii="Times New Roman"/>
          <w:sz w:val="19"/>
        </w:rPr>
        <w:t>, 2012). Although there is evidence that such feed additives can directly or indirectly maintain the immunocompetence of the animal, namely by stimulating cells of the immune system or providing nutrients for these cells to function normally (Nayak, 2010; Owusu-Asiedu </w:t>
      </w:r>
      <w:r>
        <w:rPr>
          <w:rFonts w:ascii="Times New Roman"/>
          <w:i/>
          <w:sz w:val="19"/>
        </w:rPr>
        <w:t>et al.</w:t>
      </w:r>
      <w:r>
        <w:rPr>
          <w:rFonts w:ascii="Times New Roman"/>
          <w:sz w:val="19"/>
        </w:rPr>
        <w:t>,  2010).</w:t>
      </w:r>
    </w:p>
    <w:p>
      <w:pPr>
        <w:spacing w:line="283" w:lineRule="auto" w:before="77"/>
        <w:ind w:left="176" w:right="101" w:firstLine="628"/>
        <w:jc w:val="both"/>
        <w:rPr>
          <w:rFonts w:ascii="Times New Roman" w:hAnsi="Times New Roman"/>
          <w:sz w:val="19"/>
        </w:rPr>
      </w:pPr>
      <w:r>
        <w:rPr>
          <w:rFonts w:ascii="Times New Roman" w:hAnsi="Times New Roman"/>
          <w:sz w:val="19"/>
        </w:rPr>
        <w:t>The activity of ZADO® which is a commercial endogenous enzyme (EZ), has proved to increase      the digestibility of DM, CP, NDF, ADF and the concentration of volatile fatty acids in rumen, and thus, resulting in improvements in animal productivity by increasing feed intake, ADG, feed efficiency and milk production (Arriola </w:t>
      </w:r>
      <w:r>
        <w:rPr>
          <w:rFonts w:ascii="Times New Roman" w:hAnsi="Times New Roman"/>
          <w:i/>
          <w:sz w:val="19"/>
        </w:rPr>
        <w:t>et al.</w:t>
      </w:r>
      <w:r>
        <w:rPr>
          <w:rFonts w:ascii="Times New Roman" w:hAnsi="Times New Roman"/>
          <w:sz w:val="19"/>
        </w:rPr>
        <w:t>, 2011; Gado </w:t>
      </w:r>
      <w:r>
        <w:rPr>
          <w:rFonts w:ascii="Times New Roman" w:hAnsi="Times New Roman"/>
          <w:i/>
          <w:sz w:val="19"/>
        </w:rPr>
        <w:t>et al.</w:t>
      </w:r>
      <w:r>
        <w:rPr>
          <w:rFonts w:ascii="Times New Roman" w:hAnsi="Times New Roman"/>
          <w:sz w:val="19"/>
        </w:rPr>
        <w:t>,  2011). Addition  of  EZ increased  forage  energy utilization which may have an indirect effect on the immune system under the assumptions of immune nutrition which   are based in adequate utilization of dietary nutrients to promote maintenance of immunocompetence (Keith  and Jeejeebhoy,</w:t>
      </w:r>
      <w:r>
        <w:rPr>
          <w:rFonts w:ascii="Times New Roman" w:hAnsi="Times New Roman"/>
          <w:spacing w:val="34"/>
          <w:sz w:val="19"/>
        </w:rPr>
        <w:t> </w:t>
      </w:r>
      <w:r>
        <w:rPr>
          <w:rFonts w:ascii="Times New Roman" w:hAnsi="Times New Roman"/>
          <w:sz w:val="19"/>
        </w:rPr>
        <w:t>1997).</w:t>
      </w:r>
    </w:p>
    <w:p>
      <w:pPr>
        <w:spacing w:line="285" w:lineRule="auto" w:before="79"/>
        <w:ind w:left="176" w:right="100" w:firstLine="628"/>
        <w:jc w:val="both"/>
        <w:rPr>
          <w:rFonts w:ascii="Calibri"/>
          <w:sz w:val="19"/>
        </w:rPr>
      </w:pPr>
      <w:r>
        <w:rPr>
          <w:rFonts w:ascii="Times New Roman"/>
          <w:sz w:val="19"/>
        </w:rPr>
        <w:t>There are different types  of possible measurements to investigate relationships  between nutrition    and immune response. Phenotyping and enumeration of immune cells by flow cytometry has proven to be accurate allowing the comparison of cell ratios and analysis of cell counts (Mitchell </w:t>
      </w:r>
      <w:r>
        <w:rPr>
          <w:rFonts w:ascii="Times New Roman"/>
          <w:i/>
          <w:sz w:val="19"/>
        </w:rPr>
        <w:t>et  al.</w:t>
      </w:r>
      <w:r>
        <w:rPr>
          <w:rFonts w:ascii="Times New Roman"/>
          <w:sz w:val="19"/>
        </w:rPr>
        <w:t>,  2003).  The objective was to determine effects of exogenous enzyme and </w:t>
      </w:r>
      <w:r>
        <w:rPr>
          <w:rFonts w:ascii="Times New Roman"/>
          <w:i/>
          <w:sz w:val="19"/>
        </w:rPr>
        <w:t>S. babylonica </w:t>
      </w:r>
      <w:r>
        <w:rPr>
          <w:rFonts w:ascii="Times New Roman"/>
          <w:sz w:val="19"/>
        </w:rPr>
        <w:t>L. extract on cellular immune response and to evaluate if it correlates with average daily weight gain in  </w:t>
      </w:r>
      <w:r>
        <w:rPr>
          <w:rFonts w:ascii="Times New Roman"/>
          <w:spacing w:val="25"/>
          <w:sz w:val="19"/>
        </w:rPr>
        <w:t> </w:t>
      </w:r>
      <w:r>
        <w:rPr>
          <w:rFonts w:ascii="Times New Roman"/>
          <w:sz w:val="19"/>
        </w:rPr>
        <w:t>lambs</w:t>
      </w:r>
      <w:r>
        <w:rPr>
          <w:rFonts w:ascii="Calibri"/>
          <w:sz w:val="19"/>
        </w:rPr>
        <w:t>.</w:t>
      </w:r>
    </w:p>
    <w:p>
      <w:pPr>
        <w:pStyle w:val="BodyText"/>
        <w:spacing w:before="2"/>
        <w:rPr>
          <w:rFonts w:ascii="Calibri"/>
          <w:sz w:val="17"/>
        </w:rPr>
      </w:pPr>
    </w:p>
    <w:p>
      <w:pPr>
        <w:spacing w:before="1"/>
        <w:ind w:left="115" w:right="102" w:firstLine="0"/>
        <w:jc w:val="left"/>
        <w:rPr>
          <w:rFonts w:ascii="Times New Roman"/>
          <w:b/>
          <w:sz w:val="21"/>
        </w:rPr>
      </w:pPr>
      <w:r>
        <w:rPr>
          <w:rFonts w:ascii="Times New Roman"/>
          <w:b/>
          <w:sz w:val="21"/>
        </w:rPr>
        <w:t>MATERIALS AND  METHODS</w:t>
      </w:r>
    </w:p>
    <w:p>
      <w:pPr>
        <w:pStyle w:val="BodyText"/>
        <w:rPr>
          <w:rFonts w:ascii="Times New Roman"/>
          <w:b/>
          <w:sz w:val="20"/>
        </w:rPr>
      </w:pPr>
    </w:p>
    <w:p>
      <w:pPr>
        <w:spacing w:line="283" w:lineRule="auto" w:before="1"/>
        <w:ind w:left="175" w:right="101" w:firstLine="628"/>
        <w:jc w:val="both"/>
        <w:rPr>
          <w:rFonts w:ascii="Times New Roman"/>
          <w:sz w:val="19"/>
        </w:rPr>
      </w:pPr>
      <w:r>
        <w:rPr>
          <w:rFonts w:ascii="Times New Roman"/>
          <w:sz w:val="19"/>
        </w:rPr>
        <w:t>This study was conducted at the experimental farm unit of the Faculty of Veterinary Medicine of the Autonomous University of Mexico State. The handling of animals was performed according to international bioethical standards and NOM-062ZOO-1999  (SAGARPA,  1999).</w:t>
      </w:r>
    </w:p>
    <w:p>
      <w:pPr>
        <w:pStyle w:val="BodyText"/>
        <w:spacing w:before="10"/>
        <w:rPr>
          <w:rFonts w:ascii="Times New Roman"/>
          <w:sz w:val="16"/>
        </w:rPr>
      </w:pPr>
    </w:p>
    <w:p>
      <w:pPr>
        <w:spacing w:before="1"/>
        <w:ind w:left="175" w:right="102" w:firstLine="0"/>
        <w:jc w:val="left"/>
        <w:rPr>
          <w:rFonts w:ascii="Times New Roman"/>
          <w:i/>
          <w:sz w:val="19"/>
        </w:rPr>
      </w:pPr>
      <w:r>
        <w:rPr>
          <w:rFonts w:ascii="Times New Roman"/>
          <w:i/>
          <w:sz w:val="19"/>
        </w:rPr>
        <w:t>Animals and treatments</w:t>
      </w:r>
    </w:p>
    <w:p>
      <w:pPr>
        <w:spacing w:line="283" w:lineRule="auto" w:before="108"/>
        <w:ind w:left="175" w:right="107" w:firstLine="628"/>
        <w:jc w:val="both"/>
        <w:rPr>
          <w:rFonts w:ascii="Times New Roman" w:hAnsi="Times New Roman"/>
          <w:sz w:val="19"/>
        </w:rPr>
      </w:pPr>
      <w:r>
        <w:rPr>
          <w:rFonts w:ascii="Times New Roman" w:hAnsi="Times New Roman"/>
          <w:sz w:val="19"/>
        </w:rPr>
        <w:t>Twenty Suffolk lambs, 6-8 months of age and average live weight of 24±0.3 kg, were used. Lambs were housed in individual 1.5×1.5 m cages in a  completely</w:t>
      </w:r>
    </w:p>
    <w:p>
      <w:pPr>
        <w:spacing w:after="0" w:line="283" w:lineRule="auto"/>
        <w:jc w:val="both"/>
        <w:rPr>
          <w:rFonts w:ascii="Times New Roman" w:hAnsi="Times New Roman"/>
          <w:sz w:val="19"/>
        </w:rPr>
        <w:sectPr>
          <w:pgSz w:w="11900" w:h="16840"/>
          <w:pgMar w:header="0" w:footer="1619" w:top="1600" w:bottom="1860" w:left="1540" w:right="16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16"/>
        </w:rPr>
      </w:pPr>
    </w:p>
    <w:p>
      <w:pPr>
        <w:spacing w:line="283" w:lineRule="auto" w:before="79"/>
        <w:ind w:left="216" w:right="99" w:hanging="60"/>
        <w:jc w:val="both"/>
        <w:rPr>
          <w:rFonts w:ascii="Times New Roman" w:hAnsi="Times New Roman"/>
          <w:sz w:val="19"/>
        </w:rPr>
      </w:pPr>
      <w:r>
        <w:rPr>
          <w:rFonts w:ascii="Times New Roman" w:hAnsi="Times New Roman"/>
          <w:sz w:val="19"/>
        </w:rPr>
        <w:t>randomized design and the experiment was conducted for a period of 60 days. After 2 weeks of adaptation to  the basal diet of 70% corn silage and 30% commercial  concentrate  (Purina®,  Cuautitlan, Mexico)  which  was formulated to meet nutrient requirements (NRC, 1985), the lambs were weighed  and  randomly  distributed into 4 groups of 5 lambs. The treatments were: (i) Control: basal diet of concentrate and corn  silage; (ii) EZ: basal diet plus 10 g/day of exogenous enzyme preparations (ZADO®, Cairo, Egypt); (iii) SB: basal diet plus 30 mL/day of </w:t>
      </w:r>
      <w:r>
        <w:rPr>
          <w:rFonts w:ascii="Times New Roman" w:hAnsi="Times New Roman"/>
          <w:i/>
          <w:sz w:val="19"/>
        </w:rPr>
        <w:t>Salix babylonica </w:t>
      </w:r>
      <w:r>
        <w:rPr>
          <w:rFonts w:ascii="Times New Roman" w:hAnsi="Times New Roman"/>
          <w:sz w:val="19"/>
        </w:rPr>
        <w:t>L. extract, and (iv) EZSB: basal diet plus 10 g/day exogenous enzymes and 30 mL of </w:t>
      </w:r>
      <w:r>
        <w:rPr>
          <w:rFonts w:ascii="Times New Roman" w:hAnsi="Times New Roman"/>
          <w:i/>
          <w:sz w:val="19"/>
        </w:rPr>
        <w:t>S. babylonica </w:t>
      </w:r>
      <w:r>
        <w:rPr>
          <w:rFonts w:ascii="Times New Roman" w:hAnsi="Times New Roman"/>
          <w:sz w:val="19"/>
        </w:rPr>
        <w:t>L. extract. The daily dose of SB was given orally before the morning feeding; the EZ was mixed with 200 g of concentrate and offered 1 h before the rest to corn silage and concentrate was provided. The chemical composition of the basal diets is shown in Table  </w:t>
      </w:r>
      <w:r>
        <w:rPr>
          <w:rFonts w:ascii="Times New Roman" w:hAnsi="Times New Roman"/>
          <w:spacing w:val="39"/>
          <w:sz w:val="19"/>
        </w:rPr>
        <w:t> </w:t>
      </w:r>
      <w:r>
        <w:rPr>
          <w:rFonts w:ascii="Times New Roman" w:hAnsi="Times New Roman"/>
          <w:sz w:val="19"/>
        </w:rPr>
        <w:t>1.</w:t>
      </w:r>
    </w:p>
    <w:p>
      <w:pPr>
        <w:pStyle w:val="BodyText"/>
        <w:spacing w:before="2"/>
        <w:rPr>
          <w:rFonts w:ascii="Times New Roman"/>
          <w:sz w:val="18"/>
        </w:rPr>
      </w:pPr>
    </w:p>
    <w:p>
      <w:pPr>
        <w:spacing w:before="0" w:after="23"/>
        <w:ind w:left="216" w:right="0" w:firstLine="0"/>
        <w:jc w:val="both"/>
        <w:rPr>
          <w:rFonts w:ascii="Times New Roman"/>
          <w:sz w:val="19"/>
        </w:rPr>
      </w:pPr>
      <w:r>
        <w:rPr>
          <w:rFonts w:ascii="Times New Roman"/>
          <w:sz w:val="19"/>
        </w:rPr>
        <w:t>Table 1.     Chemical composition of the basal diet (commercial concentrate and corn silage) and levels of</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80"/>
        <w:gridCol w:w="1432"/>
        <w:gridCol w:w="1216"/>
        <w:gridCol w:w="1794"/>
      </w:tblGrid>
      <w:tr>
        <w:trPr>
          <w:trHeight w:val="270" w:hRule="exact"/>
        </w:trPr>
        <w:tc>
          <w:tcPr>
            <w:tcW w:w="6922" w:type="dxa"/>
            <w:gridSpan w:val="4"/>
          </w:tcPr>
          <w:p>
            <w:pPr>
              <w:pStyle w:val="TableParagraph"/>
              <w:spacing w:before="15"/>
              <w:ind w:left="816"/>
              <w:rPr>
                <w:rFonts w:ascii="Times New Roman"/>
                <w:sz w:val="19"/>
              </w:rPr>
            </w:pPr>
            <w:r>
              <w:rPr>
                <w:rFonts w:ascii="Times New Roman"/>
                <w:sz w:val="19"/>
              </w:rPr>
              <w:t>secondary metabolites (g/kg DM) in the </w:t>
            </w:r>
            <w:r>
              <w:rPr>
                <w:rFonts w:ascii="Times New Roman"/>
                <w:i/>
                <w:sz w:val="19"/>
              </w:rPr>
              <w:t>S. babylonica </w:t>
            </w:r>
            <w:r>
              <w:rPr>
                <w:rFonts w:ascii="Times New Roman"/>
                <w:sz w:val="19"/>
              </w:rPr>
              <w:t>L.   extract</w:t>
            </w:r>
          </w:p>
        </w:tc>
      </w:tr>
      <w:tr>
        <w:trPr>
          <w:trHeight w:val="289" w:hRule="exact"/>
        </w:trPr>
        <w:tc>
          <w:tcPr>
            <w:tcW w:w="2480" w:type="dxa"/>
            <w:tcBorders>
              <w:top w:val="single" w:sz="4" w:space="0" w:color="000000"/>
            </w:tcBorders>
          </w:tcPr>
          <w:p>
            <w:pPr/>
          </w:p>
        </w:tc>
        <w:tc>
          <w:tcPr>
            <w:tcW w:w="1432" w:type="dxa"/>
            <w:tcBorders>
              <w:top w:val="single" w:sz="4" w:space="0" w:color="000000"/>
            </w:tcBorders>
          </w:tcPr>
          <w:p>
            <w:pPr>
              <w:pStyle w:val="TableParagraph"/>
              <w:spacing w:before="50"/>
              <w:ind w:left="294"/>
              <w:rPr>
                <w:rFonts w:ascii="Times New Roman"/>
                <w:sz w:val="19"/>
              </w:rPr>
            </w:pPr>
            <w:r>
              <w:rPr>
                <w:rFonts w:ascii="Times New Roman"/>
                <w:sz w:val="19"/>
              </w:rPr>
              <w:t>Concentrate</w:t>
            </w:r>
          </w:p>
        </w:tc>
        <w:tc>
          <w:tcPr>
            <w:tcW w:w="1216" w:type="dxa"/>
            <w:tcBorders>
              <w:top w:val="single" w:sz="4" w:space="0" w:color="000000"/>
            </w:tcBorders>
          </w:tcPr>
          <w:p>
            <w:pPr>
              <w:pStyle w:val="TableParagraph"/>
              <w:spacing w:before="50"/>
              <w:ind w:left="185" w:right="120"/>
              <w:jc w:val="center"/>
              <w:rPr>
                <w:rFonts w:ascii="Times New Roman"/>
                <w:sz w:val="19"/>
              </w:rPr>
            </w:pPr>
            <w:r>
              <w:rPr>
                <w:rFonts w:ascii="Times New Roman"/>
                <w:sz w:val="19"/>
              </w:rPr>
              <w:t>Corn silage</w:t>
            </w:r>
          </w:p>
        </w:tc>
        <w:tc>
          <w:tcPr>
            <w:tcW w:w="1794" w:type="dxa"/>
            <w:tcBorders>
              <w:top w:val="single" w:sz="4" w:space="0" w:color="000000"/>
            </w:tcBorders>
          </w:tcPr>
          <w:p>
            <w:pPr>
              <w:pStyle w:val="TableParagraph"/>
              <w:spacing w:before="50"/>
              <w:ind w:left="128"/>
              <w:rPr>
                <w:rFonts w:ascii="Times New Roman"/>
                <w:sz w:val="19"/>
              </w:rPr>
            </w:pPr>
            <w:r>
              <w:rPr>
                <w:rFonts w:ascii="Times New Roman"/>
                <w:i/>
                <w:sz w:val="19"/>
              </w:rPr>
              <w:t>S. babylonica </w:t>
            </w:r>
            <w:r>
              <w:rPr>
                <w:rFonts w:ascii="Times New Roman"/>
                <w:sz w:val="19"/>
              </w:rPr>
              <w:t>L.</w:t>
            </w:r>
          </w:p>
        </w:tc>
      </w:tr>
      <w:tr>
        <w:trPr>
          <w:trHeight w:val="274" w:hRule="exact"/>
        </w:trPr>
        <w:tc>
          <w:tcPr>
            <w:tcW w:w="2480" w:type="dxa"/>
            <w:tcBorders>
              <w:bottom w:val="single" w:sz="3" w:space="0" w:color="000000"/>
            </w:tcBorders>
          </w:tcPr>
          <w:p>
            <w:pPr/>
          </w:p>
        </w:tc>
        <w:tc>
          <w:tcPr>
            <w:tcW w:w="1432" w:type="dxa"/>
            <w:tcBorders>
              <w:bottom w:val="single" w:sz="3" w:space="0" w:color="000000"/>
            </w:tcBorders>
          </w:tcPr>
          <w:p>
            <w:pPr/>
          </w:p>
        </w:tc>
        <w:tc>
          <w:tcPr>
            <w:tcW w:w="1216" w:type="dxa"/>
            <w:tcBorders>
              <w:bottom w:val="single" w:sz="3" w:space="0" w:color="000000"/>
            </w:tcBorders>
          </w:tcPr>
          <w:p>
            <w:pPr/>
          </w:p>
        </w:tc>
        <w:tc>
          <w:tcPr>
            <w:tcW w:w="1794" w:type="dxa"/>
            <w:tcBorders>
              <w:bottom w:val="single" w:sz="3" w:space="0" w:color="000000"/>
            </w:tcBorders>
          </w:tcPr>
          <w:p>
            <w:pPr>
              <w:pStyle w:val="TableParagraph"/>
              <w:spacing w:before="25"/>
              <w:ind w:left="128"/>
              <w:rPr>
                <w:rFonts w:ascii="Times New Roman"/>
                <w:sz w:val="19"/>
              </w:rPr>
            </w:pPr>
            <w:r>
              <w:rPr>
                <w:rFonts w:ascii="Times New Roman"/>
                <w:sz w:val="19"/>
              </w:rPr>
              <w:t>extract</w:t>
            </w:r>
          </w:p>
        </w:tc>
      </w:tr>
      <w:tr>
        <w:trPr>
          <w:trHeight w:val="601" w:hRule="exact"/>
        </w:trPr>
        <w:tc>
          <w:tcPr>
            <w:tcW w:w="2480" w:type="dxa"/>
            <w:tcBorders>
              <w:top w:val="single" w:sz="3" w:space="0" w:color="000000"/>
            </w:tcBorders>
          </w:tcPr>
          <w:p>
            <w:pPr>
              <w:pStyle w:val="TableParagraph"/>
              <w:spacing w:line="290" w:lineRule="auto" w:before="52"/>
              <w:ind w:left="410" w:right="360" w:hanging="281"/>
              <w:rPr>
                <w:rFonts w:ascii="Times New Roman"/>
                <w:sz w:val="12"/>
              </w:rPr>
            </w:pPr>
            <w:r>
              <w:rPr>
                <w:rFonts w:ascii="Times New Roman"/>
                <w:sz w:val="19"/>
              </w:rPr>
              <w:t>Chemical composition Dry matter</w:t>
            </w:r>
            <w:r>
              <w:rPr>
                <w:rFonts w:ascii="Times New Roman"/>
                <w:position w:val="9"/>
                <w:sz w:val="12"/>
              </w:rPr>
              <w:t>7</w:t>
            </w:r>
          </w:p>
        </w:tc>
        <w:tc>
          <w:tcPr>
            <w:tcW w:w="1432" w:type="dxa"/>
            <w:tcBorders>
              <w:top w:val="single" w:sz="3" w:space="0" w:color="000000"/>
            </w:tcBorders>
          </w:tcPr>
          <w:p>
            <w:pPr>
              <w:pStyle w:val="TableParagraph"/>
              <w:spacing w:before="0"/>
              <w:ind w:left="0"/>
              <w:rPr>
                <w:rFonts w:ascii="Times New Roman"/>
                <w:sz w:val="18"/>
              </w:rPr>
            </w:pPr>
          </w:p>
          <w:p>
            <w:pPr>
              <w:pStyle w:val="TableParagraph"/>
              <w:spacing w:before="138"/>
              <w:ind w:left="466" w:right="485"/>
              <w:jc w:val="center"/>
              <w:rPr>
                <w:rFonts w:ascii="Times New Roman"/>
                <w:sz w:val="19"/>
              </w:rPr>
            </w:pPr>
            <w:r>
              <w:rPr>
                <w:rFonts w:ascii="Times New Roman"/>
                <w:sz w:val="19"/>
              </w:rPr>
              <w:t>880</w:t>
            </w:r>
          </w:p>
        </w:tc>
        <w:tc>
          <w:tcPr>
            <w:tcW w:w="1216" w:type="dxa"/>
            <w:tcBorders>
              <w:top w:val="single" w:sz="3" w:space="0" w:color="000000"/>
            </w:tcBorders>
          </w:tcPr>
          <w:p>
            <w:pPr>
              <w:pStyle w:val="TableParagraph"/>
              <w:spacing w:before="0"/>
              <w:ind w:left="0"/>
              <w:rPr>
                <w:rFonts w:ascii="Times New Roman"/>
                <w:sz w:val="18"/>
              </w:rPr>
            </w:pPr>
          </w:p>
          <w:p>
            <w:pPr>
              <w:pStyle w:val="TableParagraph"/>
              <w:spacing w:before="138"/>
              <w:ind w:left="84" w:right="120"/>
              <w:jc w:val="center"/>
              <w:rPr>
                <w:rFonts w:ascii="Times New Roman"/>
                <w:sz w:val="19"/>
              </w:rPr>
            </w:pPr>
            <w:r>
              <w:rPr>
                <w:rFonts w:ascii="Times New Roman"/>
                <w:sz w:val="19"/>
              </w:rPr>
              <w:t>360</w:t>
            </w:r>
          </w:p>
        </w:tc>
        <w:tc>
          <w:tcPr>
            <w:tcW w:w="1794" w:type="dxa"/>
            <w:tcBorders>
              <w:top w:val="single" w:sz="3" w:space="0" w:color="000000"/>
            </w:tcBorders>
          </w:tcPr>
          <w:p>
            <w:pPr/>
          </w:p>
        </w:tc>
      </w:tr>
      <w:tr>
        <w:trPr>
          <w:trHeight w:val="296" w:hRule="exact"/>
        </w:trPr>
        <w:tc>
          <w:tcPr>
            <w:tcW w:w="2480" w:type="dxa"/>
          </w:tcPr>
          <w:p>
            <w:pPr>
              <w:pStyle w:val="TableParagraph"/>
              <w:spacing w:before="43"/>
              <w:ind w:left="410" w:right="360"/>
              <w:rPr>
                <w:rFonts w:ascii="Times New Roman"/>
                <w:sz w:val="19"/>
              </w:rPr>
            </w:pPr>
            <w:r>
              <w:rPr>
                <w:rFonts w:ascii="Times New Roman"/>
                <w:sz w:val="19"/>
              </w:rPr>
              <w:t>Organic matter</w:t>
            </w:r>
          </w:p>
        </w:tc>
        <w:tc>
          <w:tcPr>
            <w:tcW w:w="1432" w:type="dxa"/>
          </w:tcPr>
          <w:p>
            <w:pPr>
              <w:pStyle w:val="TableParagraph"/>
              <w:spacing w:before="43"/>
              <w:ind w:left="461" w:right="485"/>
              <w:jc w:val="center"/>
              <w:rPr>
                <w:rFonts w:ascii="Times New Roman"/>
                <w:sz w:val="19"/>
              </w:rPr>
            </w:pPr>
            <w:r>
              <w:rPr>
                <w:rFonts w:ascii="Times New Roman"/>
                <w:sz w:val="19"/>
              </w:rPr>
              <w:t>325</w:t>
            </w:r>
          </w:p>
        </w:tc>
        <w:tc>
          <w:tcPr>
            <w:tcW w:w="1216" w:type="dxa"/>
          </w:tcPr>
          <w:p>
            <w:pPr>
              <w:pStyle w:val="TableParagraph"/>
              <w:spacing w:before="43"/>
              <w:ind w:left="79" w:right="120"/>
              <w:jc w:val="center"/>
              <w:rPr>
                <w:rFonts w:ascii="Times New Roman"/>
                <w:sz w:val="19"/>
              </w:rPr>
            </w:pPr>
            <w:r>
              <w:rPr>
                <w:rFonts w:ascii="Times New Roman"/>
                <w:sz w:val="19"/>
              </w:rPr>
              <w:t>684</w:t>
            </w:r>
          </w:p>
        </w:tc>
        <w:tc>
          <w:tcPr>
            <w:tcW w:w="1794" w:type="dxa"/>
          </w:tcPr>
          <w:p>
            <w:pPr/>
          </w:p>
        </w:tc>
      </w:tr>
      <w:tr>
        <w:trPr>
          <w:trHeight w:val="298" w:hRule="exact"/>
        </w:trPr>
        <w:tc>
          <w:tcPr>
            <w:tcW w:w="2480" w:type="dxa"/>
          </w:tcPr>
          <w:p>
            <w:pPr>
              <w:pStyle w:val="TableParagraph"/>
              <w:spacing w:before="44"/>
              <w:ind w:left="410" w:right="360"/>
              <w:rPr>
                <w:rFonts w:ascii="Times New Roman"/>
                <w:sz w:val="19"/>
              </w:rPr>
            </w:pPr>
            <w:r>
              <w:rPr>
                <w:rFonts w:ascii="Times New Roman"/>
                <w:sz w:val="19"/>
              </w:rPr>
              <w:t>Crude protein</w:t>
            </w:r>
          </w:p>
        </w:tc>
        <w:tc>
          <w:tcPr>
            <w:tcW w:w="1432" w:type="dxa"/>
          </w:tcPr>
          <w:p>
            <w:pPr>
              <w:pStyle w:val="TableParagraph"/>
              <w:spacing w:before="44"/>
              <w:ind w:left="478" w:right="485"/>
              <w:jc w:val="center"/>
              <w:rPr>
                <w:rFonts w:ascii="Times New Roman"/>
                <w:sz w:val="19"/>
              </w:rPr>
            </w:pPr>
            <w:r>
              <w:rPr>
                <w:rFonts w:ascii="Times New Roman"/>
                <w:sz w:val="19"/>
              </w:rPr>
              <w:t>157.1</w:t>
            </w:r>
          </w:p>
        </w:tc>
        <w:tc>
          <w:tcPr>
            <w:tcW w:w="1216" w:type="dxa"/>
          </w:tcPr>
          <w:p>
            <w:pPr>
              <w:pStyle w:val="TableParagraph"/>
              <w:spacing w:before="44"/>
              <w:ind w:left="101" w:right="120"/>
              <w:jc w:val="center"/>
              <w:rPr>
                <w:rFonts w:ascii="Times New Roman"/>
                <w:sz w:val="19"/>
              </w:rPr>
            </w:pPr>
            <w:r>
              <w:rPr>
                <w:rFonts w:ascii="Times New Roman"/>
                <w:sz w:val="19"/>
              </w:rPr>
              <w:t>106.2</w:t>
            </w:r>
          </w:p>
        </w:tc>
        <w:tc>
          <w:tcPr>
            <w:tcW w:w="1794" w:type="dxa"/>
          </w:tcPr>
          <w:p>
            <w:pPr/>
          </w:p>
        </w:tc>
      </w:tr>
      <w:tr>
        <w:trPr>
          <w:trHeight w:val="298" w:hRule="exact"/>
        </w:trPr>
        <w:tc>
          <w:tcPr>
            <w:tcW w:w="2480" w:type="dxa"/>
          </w:tcPr>
          <w:p>
            <w:pPr>
              <w:pStyle w:val="TableParagraph"/>
              <w:spacing w:before="44"/>
              <w:ind w:left="410" w:right="360"/>
              <w:rPr>
                <w:rFonts w:ascii="Times New Roman"/>
                <w:sz w:val="19"/>
              </w:rPr>
            </w:pPr>
            <w:r>
              <w:rPr>
                <w:rFonts w:ascii="Times New Roman"/>
                <w:sz w:val="19"/>
              </w:rPr>
              <w:t>Ether extract</w:t>
            </w:r>
          </w:p>
        </w:tc>
        <w:tc>
          <w:tcPr>
            <w:tcW w:w="1432" w:type="dxa"/>
          </w:tcPr>
          <w:p>
            <w:pPr>
              <w:pStyle w:val="TableParagraph"/>
              <w:spacing w:before="44"/>
              <w:ind w:left="478" w:right="485"/>
              <w:jc w:val="center"/>
              <w:rPr>
                <w:rFonts w:ascii="Times New Roman"/>
                <w:sz w:val="19"/>
              </w:rPr>
            </w:pPr>
            <w:r>
              <w:rPr>
                <w:rFonts w:ascii="Times New Roman"/>
                <w:sz w:val="19"/>
              </w:rPr>
              <w:t>119.8</w:t>
            </w:r>
          </w:p>
        </w:tc>
        <w:tc>
          <w:tcPr>
            <w:tcW w:w="1216" w:type="dxa"/>
          </w:tcPr>
          <w:p>
            <w:pPr>
              <w:pStyle w:val="TableParagraph"/>
              <w:spacing w:before="44"/>
              <w:ind w:left="77" w:right="120"/>
              <w:jc w:val="center"/>
              <w:rPr>
                <w:rFonts w:ascii="Times New Roman"/>
                <w:sz w:val="19"/>
              </w:rPr>
            </w:pPr>
            <w:r>
              <w:rPr>
                <w:rFonts w:ascii="Times New Roman"/>
                <w:sz w:val="19"/>
              </w:rPr>
              <w:t>85.2</w:t>
            </w:r>
          </w:p>
        </w:tc>
        <w:tc>
          <w:tcPr>
            <w:tcW w:w="1794" w:type="dxa"/>
          </w:tcPr>
          <w:p>
            <w:pPr/>
          </w:p>
        </w:tc>
      </w:tr>
      <w:tr>
        <w:trPr>
          <w:trHeight w:val="298" w:hRule="exact"/>
        </w:trPr>
        <w:tc>
          <w:tcPr>
            <w:tcW w:w="2480" w:type="dxa"/>
          </w:tcPr>
          <w:p>
            <w:pPr>
              <w:pStyle w:val="TableParagraph"/>
              <w:spacing w:before="44"/>
              <w:ind w:left="410"/>
              <w:rPr>
                <w:rFonts w:ascii="Times New Roman"/>
                <w:sz w:val="19"/>
              </w:rPr>
            </w:pPr>
            <w:r>
              <w:rPr>
                <w:rFonts w:ascii="Times New Roman"/>
                <w:sz w:val="19"/>
              </w:rPr>
              <w:t>Neutral detergent fiber</w:t>
            </w:r>
          </w:p>
        </w:tc>
        <w:tc>
          <w:tcPr>
            <w:tcW w:w="1432" w:type="dxa"/>
          </w:tcPr>
          <w:p>
            <w:pPr>
              <w:pStyle w:val="TableParagraph"/>
              <w:spacing w:before="44"/>
              <w:ind w:left="478" w:right="485"/>
              <w:jc w:val="center"/>
              <w:rPr>
                <w:rFonts w:ascii="Times New Roman"/>
                <w:sz w:val="19"/>
              </w:rPr>
            </w:pPr>
            <w:r>
              <w:rPr>
                <w:rFonts w:ascii="Times New Roman"/>
                <w:sz w:val="19"/>
              </w:rPr>
              <w:t>160.4</w:t>
            </w:r>
          </w:p>
        </w:tc>
        <w:tc>
          <w:tcPr>
            <w:tcW w:w="1216" w:type="dxa"/>
          </w:tcPr>
          <w:p>
            <w:pPr>
              <w:pStyle w:val="TableParagraph"/>
              <w:spacing w:before="44"/>
              <w:ind w:left="101" w:right="120"/>
              <w:jc w:val="center"/>
              <w:rPr>
                <w:rFonts w:ascii="Times New Roman"/>
                <w:sz w:val="19"/>
              </w:rPr>
            </w:pPr>
            <w:r>
              <w:rPr>
                <w:rFonts w:ascii="Times New Roman"/>
                <w:sz w:val="19"/>
              </w:rPr>
              <w:t>444.8</w:t>
            </w:r>
          </w:p>
        </w:tc>
        <w:tc>
          <w:tcPr>
            <w:tcW w:w="1794" w:type="dxa"/>
          </w:tcPr>
          <w:p>
            <w:pPr/>
          </w:p>
        </w:tc>
      </w:tr>
      <w:tr>
        <w:trPr>
          <w:trHeight w:val="296" w:hRule="exact"/>
        </w:trPr>
        <w:tc>
          <w:tcPr>
            <w:tcW w:w="2480" w:type="dxa"/>
          </w:tcPr>
          <w:p>
            <w:pPr>
              <w:pStyle w:val="TableParagraph"/>
              <w:spacing w:before="44"/>
              <w:ind w:left="410" w:right="360"/>
              <w:rPr>
                <w:rFonts w:ascii="Times New Roman"/>
                <w:sz w:val="19"/>
              </w:rPr>
            </w:pPr>
            <w:r>
              <w:rPr>
                <w:rFonts w:ascii="Times New Roman"/>
                <w:sz w:val="19"/>
              </w:rPr>
              <w:t>Acid detergent fiber</w:t>
            </w:r>
          </w:p>
        </w:tc>
        <w:tc>
          <w:tcPr>
            <w:tcW w:w="1432" w:type="dxa"/>
          </w:tcPr>
          <w:p>
            <w:pPr>
              <w:pStyle w:val="TableParagraph"/>
              <w:spacing w:before="44"/>
              <w:ind w:left="454" w:right="485"/>
              <w:jc w:val="center"/>
              <w:rPr>
                <w:rFonts w:ascii="Times New Roman"/>
                <w:sz w:val="19"/>
              </w:rPr>
            </w:pPr>
            <w:r>
              <w:rPr>
                <w:rFonts w:ascii="Times New Roman"/>
                <w:sz w:val="19"/>
              </w:rPr>
              <w:t>27.7</w:t>
            </w:r>
          </w:p>
        </w:tc>
        <w:tc>
          <w:tcPr>
            <w:tcW w:w="1216" w:type="dxa"/>
          </w:tcPr>
          <w:p>
            <w:pPr>
              <w:pStyle w:val="TableParagraph"/>
              <w:spacing w:before="44"/>
              <w:ind w:left="101" w:right="120"/>
              <w:jc w:val="center"/>
              <w:rPr>
                <w:rFonts w:ascii="Times New Roman"/>
                <w:sz w:val="19"/>
              </w:rPr>
            </w:pPr>
            <w:r>
              <w:rPr>
                <w:rFonts w:ascii="Times New Roman"/>
                <w:sz w:val="19"/>
              </w:rPr>
              <w:t>111.2</w:t>
            </w:r>
          </w:p>
        </w:tc>
        <w:tc>
          <w:tcPr>
            <w:tcW w:w="1794" w:type="dxa"/>
          </w:tcPr>
          <w:p>
            <w:pPr/>
          </w:p>
        </w:tc>
      </w:tr>
      <w:tr>
        <w:trPr>
          <w:trHeight w:val="245" w:hRule="exact"/>
        </w:trPr>
        <w:tc>
          <w:tcPr>
            <w:tcW w:w="2480" w:type="dxa"/>
          </w:tcPr>
          <w:p>
            <w:pPr>
              <w:pStyle w:val="TableParagraph"/>
              <w:spacing w:before="43"/>
              <w:ind w:left="410" w:right="360"/>
              <w:rPr>
                <w:rFonts w:ascii="Times New Roman"/>
                <w:sz w:val="19"/>
              </w:rPr>
            </w:pPr>
            <w:r>
              <w:rPr>
                <w:rFonts w:ascii="Times New Roman"/>
                <w:sz w:val="19"/>
              </w:rPr>
              <w:t>Lignin</w:t>
            </w:r>
          </w:p>
        </w:tc>
        <w:tc>
          <w:tcPr>
            <w:tcW w:w="1432" w:type="dxa"/>
          </w:tcPr>
          <w:p>
            <w:pPr>
              <w:pStyle w:val="TableParagraph"/>
              <w:spacing w:before="43"/>
              <w:ind w:left="440" w:right="485"/>
              <w:jc w:val="center"/>
              <w:rPr>
                <w:rFonts w:ascii="Times New Roman"/>
                <w:sz w:val="19"/>
              </w:rPr>
            </w:pPr>
            <w:r>
              <w:rPr>
                <w:rFonts w:ascii="Times New Roman"/>
                <w:sz w:val="19"/>
              </w:rPr>
              <w:t>7.6</w:t>
            </w:r>
          </w:p>
        </w:tc>
        <w:tc>
          <w:tcPr>
            <w:tcW w:w="1216" w:type="dxa"/>
          </w:tcPr>
          <w:p>
            <w:pPr>
              <w:pStyle w:val="TableParagraph"/>
              <w:spacing w:before="43"/>
              <w:ind w:left="82" w:right="120"/>
              <w:jc w:val="center"/>
              <w:rPr>
                <w:rFonts w:ascii="Times New Roman"/>
                <w:sz w:val="19"/>
              </w:rPr>
            </w:pPr>
            <w:r>
              <w:rPr>
                <w:rFonts w:ascii="Times New Roman"/>
                <w:sz w:val="19"/>
              </w:rPr>
              <w:t>18.0</w:t>
            </w:r>
          </w:p>
        </w:tc>
        <w:tc>
          <w:tcPr>
            <w:tcW w:w="1794" w:type="dxa"/>
          </w:tcPr>
          <w:p>
            <w:pPr/>
          </w:p>
        </w:tc>
      </w:tr>
      <w:tr>
        <w:trPr>
          <w:trHeight w:val="360" w:hRule="exact"/>
        </w:trPr>
        <w:tc>
          <w:tcPr>
            <w:tcW w:w="6922" w:type="dxa"/>
            <w:gridSpan w:val="4"/>
          </w:tcPr>
          <w:p>
            <w:pPr>
              <w:pStyle w:val="TableParagraph"/>
              <w:spacing w:before="110"/>
              <w:ind w:left="129"/>
              <w:rPr>
                <w:rFonts w:ascii="Times New Roman"/>
                <w:sz w:val="19"/>
              </w:rPr>
            </w:pPr>
            <w:r>
              <w:rPr>
                <w:rFonts w:ascii="Times New Roman"/>
                <w:sz w:val="19"/>
              </w:rPr>
              <w:t>Ingredients of concentrate g/kg</w:t>
            </w:r>
          </w:p>
        </w:tc>
      </w:tr>
      <w:tr>
        <w:trPr>
          <w:trHeight w:val="295" w:hRule="exact"/>
        </w:trPr>
        <w:tc>
          <w:tcPr>
            <w:tcW w:w="2480" w:type="dxa"/>
          </w:tcPr>
          <w:p>
            <w:pPr>
              <w:pStyle w:val="TableParagraph"/>
              <w:spacing w:before="40"/>
              <w:ind w:left="410" w:right="360"/>
              <w:rPr>
                <w:rFonts w:ascii="Times New Roman"/>
                <w:sz w:val="19"/>
              </w:rPr>
            </w:pPr>
            <w:r>
              <w:rPr>
                <w:rFonts w:ascii="Times New Roman"/>
                <w:sz w:val="19"/>
              </w:rPr>
              <w:t>Corn grain flacked</w:t>
            </w:r>
          </w:p>
        </w:tc>
        <w:tc>
          <w:tcPr>
            <w:tcW w:w="1432" w:type="dxa"/>
          </w:tcPr>
          <w:p>
            <w:pPr>
              <w:pStyle w:val="TableParagraph"/>
              <w:spacing w:before="40"/>
              <w:ind w:left="466" w:right="485"/>
              <w:jc w:val="center"/>
              <w:rPr>
                <w:rFonts w:ascii="Times New Roman"/>
                <w:sz w:val="19"/>
              </w:rPr>
            </w:pPr>
            <w:r>
              <w:rPr>
                <w:rFonts w:ascii="Times New Roman"/>
                <w:sz w:val="19"/>
              </w:rPr>
              <w:t>200</w:t>
            </w:r>
          </w:p>
        </w:tc>
        <w:tc>
          <w:tcPr>
            <w:tcW w:w="3010" w:type="dxa"/>
            <w:gridSpan w:val="2"/>
          </w:tcPr>
          <w:p>
            <w:pPr/>
          </w:p>
        </w:tc>
      </w:tr>
      <w:tr>
        <w:trPr>
          <w:trHeight w:val="299" w:hRule="exact"/>
        </w:trPr>
        <w:tc>
          <w:tcPr>
            <w:tcW w:w="2480" w:type="dxa"/>
          </w:tcPr>
          <w:p>
            <w:pPr>
              <w:pStyle w:val="TableParagraph"/>
              <w:spacing w:before="45"/>
              <w:ind w:left="410" w:right="360"/>
              <w:rPr>
                <w:rFonts w:ascii="Times New Roman"/>
                <w:sz w:val="19"/>
              </w:rPr>
            </w:pPr>
            <w:r>
              <w:rPr>
                <w:rFonts w:ascii="Times New Roman"/>
                <w:sz w:val="19"/>
              </w:rPr>
              <w:t>Corn grain cracked</w:t>
            </w:r>
          </w:p>
        </w:tc>
        <w:tc>
          <w:tcPr>
            <w:tcW w:w="1432" w:type="dxa"/>
          </w:tcPr>
          <w:p>
            <w:pPr>
              <w:pStyle w:val="TableParagraph"/>
              <w:spacing w:before="45"/>
              <w:ind w:left="461" w:right="485"/>
              <w:jc w:val="center"/>
              <w:rPr>
                <w:rFonts w:ascii="Times New Roman"/>
                <w:sz w:val="19"/>
              </w:rPr>
            </w:pPr>
            <w:r>
              <w:rPr>
                <w:rFonts w:ascii="Times New Roman"/>
                <w:sz w:val="19"/>
              </w:rPr>
              <w:t>260</w:t>
            </w:r>
          </w:p>
        </w:tc>
        <w:tc>
          <w:tcPr>
            <w:tcW w:w="3010" w:type="dxa"/>
            <w:gridSpan w:val="2"/>
          </w:tcPr>
          <w:p>
            <w:pPr/>
          </w:p>
        </w:tc>
      </w:tr>
      <w:tr>
        <w:trPr>
          <w:trHeight w:val="296" w:hRule="exact"/>
        </w:trPr>
        <w:tc>
          <w:tcPr>
            <w:tcW w:w="2480" w:type="dxa"/>
          </w:tcPr>
          <w:p>
            <w:pPr>
              <w:pStyle w:val="TableParagraph"/>
              <w:spacing w:before="44"/>
              <w:ind w:left="410" w:right="360"/>
              <w:rPr>
                <w:rFonts w:ascii="Times New Roman"/>
                <w:sz w:val="19"/>
              </w:rPr>
            </w:pPr>
            <w:r>
              <w:rPr>
                <w:rFonts w:ascii="Times New Roman"/>
                <w:sz w:val="19"/>
              </w:rPr>
              <w:t>Sorghum grain</w:t>
            </w:r>
          </w:p>
        </w:tc>
        <w:tc>
          <w:tcPr>
            <w:tcW w:w="1432" w:type="dxa"/>
          </w:tcPr>
          <w:p>
            <w:pPr>
              <w:pStyle w:val="TableParagraph"/>
              <w:spacing w:before="44"/>
              <w:ind w:left="461" w:right="485"/>
              <w:jc w:val="center"/>
              <w:rPr>
                <w:rFonts w:ascii="Times New Roman"/>
                <w:sz w:val="19"/>
              </w:rPr>
            </w:pPr>
            <w:r>
              <w:rPr>
                <w:rFonts w:ascii="Times New Roman"/>
                <w:sz w:val="19"/>
              </w:rPr>
              <w:t>154</w:t>
            </w:r>
          </w:p>
        </w:tc>
        <w:tc>
          <w:tcPr>
            <w:tcW w:w="3010" w:type="dxa"/>
            <w:gridSpan w:val="2"/>
          </w:tcPr>
          <w:p>
            <w:pPr/>
          </w:p>
        </w:tc>
      </w:tr>
      <w:tr>
        <w:trPr>
          <w:trHeight w:val="298" w:hRule="exact"/>
        </w:trPr>
        <w:tc>
          <w:tcPr>
            <w:tcW w:w="2480" w:type="dxa"/>
          </w:tcPr>
          <w:p>
            <w:pPr>
              <w:pStyle w:val="TableParagraph"/>
              <w:spacing w:before="43"/>
              <w:ind w:left="410" w:right="360"/>
              <w:rPr>
                <w:rFonts w:ascii="Times New Roman"/>
                <w:sz w:val="19"/>
              </w:rPr>
            </w:pPr>
            <w:r>
              <w:rPr>
                <w:rFonts w:ascii="Times New Roman"/>
                <w:sz w:val="19"/>
              </w:rPr>
              <w:t>Molasses sugar cane</w:t>
            </w:r>
          </w:p>
        </w:tc>
        <w:tc>
          <w:tcPr>
            <w:tcW w:w="1432" w:type="dxa"/>
          </w:tcPr>
          <w:p>
            <w:pPr>
              <w:pStyle w:val="TableParagraph"/>
              <w:spacing w:before="43"/>
              <w:ind w:left="461" w:right="485"/>
              <w:jc w:val="center"/>
              <w:rPr>
                <w:rFonts w:ascii="Times New Roman"/>
                <w:sz w:val="19"/>
              </w:rPr>
            </w:pPr>
            <w:r>
              <w:rPr>
                <w:rFonts w:ascii="Times New Roman"/>
                <w:sz w:val="19"/>
              </w:rPr>
              <w:t>100</w:t>
            </w:r>
          </w:p>
        </w:tc>
        <w:tc>
          <w:tcPr>
            <w:tcW w:w="3010" w:type="dxa"/>
            <w:gridSpan w:val="2"/>
          </w:tcPr>
          <w:p>
            <w:pPr/>
          </w:p>
        </w:tc>
      </w:tr>
      <w:tr>
        <w:trPr>
          <w:trHeight w:val="299" w:hRule="exact"/>
        </w:trPr>
        <w:tc>
          <w:tcPr>
            <w:tcW w:w="2480" w:type="dxa"/>
          </w:tcPr>
          <w:p>
            <w:pPr>
              <w:pStyle w:val="TableParagraph"/>
              <w:spacing w:before="45"/>
              <w:ind w:left="410" w:right="360"/>
              <w:rPr>
                <w:rFonts w:ascii="Times New Roman"/>
                <w:sz w:val="19"/>
              </w:rPr>
            </w:pPr>
            <w:r>
              <w:rPr>
                <w:rFonts w:ascii="Times New Roman"/>
                <w:sz w:val="19"/>
              </w:rPr>
              <w:t>DDG</w:t>
            </w:r>
          </w:p>
        </w:tc>
        <w:tc>
          <w:tcPr>
            <w:tcW w:w="1432" w:type="dxa"/>
          </w:tcPr>
          <w:p>
            <w:pPr>
              <w:pStyle w:val="TableParagraph"/>
              <w:spacing w:before="45"/>
              <w:ind w:left="466" w:right="485"/>
              <w:jc w:val="center"/>
              <w:rPr>
                <w:rFonts w:ascii="Times New Roman"/>
                <w:sz w:val="19"/>
              </w:rPr>
            </w:pPr>
            <w:r>
              <w:rPr>
                <w:rFonts w:ascii="Times New Roman"/>
                <w:sz w:val="19"/>
              </w:rPr>
              <w:t>100</w:t>
            </w:r>
          </w:p>
        </w:tc>
        <w:tc>
          <w:tcPr>
            <w:tcW w:w="3010" w:type="dxa"/>
            <w:gridSpan w:val="2"/>
          </w:tcPr>
          <w:p>
            <w:pPr/>
          </w:p>
        </w:tc>
      </w:tr>
      <w:tr>
        <w:trPr>
          <w:trHeight w:val="296" w:hRule="exact"/>
        </w:trPr>
        <w:tc>
          <w:tcPr>
            <w:tcW w:w="2480" w:type="dxa"/>
          </w:tcPr>
          <w:p>
            <w:pPr>
              <w:pStyle w:val="TableParagraph"/>
              <w:spacing w:before="44"/>
              <w:ind w:left="410" w:right="360"/>
              <w:rPr>
                <w:rFonts w:ascii="Times New Roman"/>
                <w:sz w:val="19"/>
              </w:rPr>
            </w:pPr>
            <w:r>
              <w:rPr>
                <w:rFonts w:ascii="Times New Roman"/>
                <w:sz w:val="19"/>
              </w:rPr>
              <w:t>Soya bean meal</w:t>
            </w:r>
          </w:p>
        </w:tc>
        <w:tc>
          <w:tcPr>
            <w:tcW w:w="1432" w:type="dxa"/>
          </w:tcPr>
          <w:p>
            <w:pPr>
              <w:pStyle w:val="TableParagraph"/>
              <w:spacing w:before="44"/>
              <w:ind w:left="447" w:right="485"/>
              <w:jc w:val="center"/>
              <w:rPr>
                <w:rFonts w:ascii="Times New Roman"/>
                <w:sz w:val="19"/>
              </w:rPr>
            </w:pPr>
            <w:r>
              <w:rPr>
                <w:rFonts w:ascii="Times New Roman"/>
                <w:sz w:val="19"/>
              </w:rPr>
              <w:t>96</w:t>
            </w:r>
          </w:p>
        </w:tc>
        <w:tc>
          <w:tcPr>
            <w:tcW w:w="3010" w:type="dxa"/>
            <w:gridSpan w:val="2"/>
          </w:tcPr>
          <w:p>
            <w:pPr/>
          </w:p>
        </w:tc>
      </w:tr>
      <w:tr>
        <w:trPr>
          <w:trHeight w:val="296" w:hRule="exact"/>
        </w:trPr>
        <w:tc>
          <w:tcPr>
            <w:tcW w:w="2480" w:type="dxa"/>
          </w:tcPr>
          <w:p>
            <w:pPr>
              <w:pStyle w:val="TableParagraph"/>
              <w:spacing w:before="43"/>
              <w:ind w:left="410" w:right="360"/>
              <w:rPr>
                <w:rFonts w:ascii="Times New Roman"/>
                <w:sz w:val="19"/>
              </w:rPr>
            </w:pPr>
            <w:r>
              <w:rPr>
                <w:rFonts w:ascii="Times New Roman"/>
                <w:sz w:val="19"/>
              </w:rPr>
              <w:t>Weath bran</w:t>
            </w:r>
          </w:p>
        </w:tc>
        <w:tc>
          <w:tcPr>
            <w:tcW w:w="1432" w:type="dxa"/>
          </w:tcPr>
          <w:p>
            <w:pPr>
              <w:pStyle w:val="TableParagraph"/>
              <w:spacing w:before="43"/>
              <w:ind w:left="444" w:right="485"/>
              <w:jc w:val="center"/>
              <w:rPr>
                <w:rFonts w:ascii="Times New Roman"/>
                <w:sz w:val="19"/>
              </w:rPr>
            </w:pPr>
            <w:r>
              <w:rPr>
                <w:rFonts w:ascii="Times New Roman"/>
                <w:sz w:val="19"/>
              </w:rPr>
              <w:t>70</w:t>
            </w:r>
          </w:p>
        </w:tc>
        <w:tc>
          <w:tcPr>
            <w:tcW w:w="3010" w:type="dxa"/>
            <w:gridSpan w:val="2"/>
          </w:tcPr>
          <w:p>
            <w:pPr/>
          </w:p>
        </w:tc>
      </w:tr>
      <w:tr>
        <w:trPr>
          <w:trHeight w:val="280" w:hRule="exact"/>
        </w:trPr>
        <w:tc>
          <w:tcPr>
            <w:tcW w:w="2480" w:type="dxa"/>
          </w:tcPr>
          <w:p>
            <w:pPr>
              <w:pStyle w:val="TableParagraph"/>
              <w:spacing w:before="44"/>
              <w:ind w:left="410" w:right="360"/>
              <w:rPr>
                <w:rFonts w:ascii="Times New Roman"/>
                <w:sz w:val="19"/>
              </w:rPr>
            </w:pPr>
            <w:r>
              <w:rPr>
                <w:rFonts w:ascii="Times New Roman"/>
                <w:sz w:val="19"/>
              </w:rPr>
              <w:t>NaCOO3</w:t>
            </w:r>
          </w:p>
        </w:tc>
        <w:tc>
          <w:tcPr>
            <w:tcW w:w="1432" w:type="dxa"/>
          </w:tcPr>
          <w:p>
            <w:pPr>
              <w:pStyle w:val="TableParagraph"/>
              <w:spacing w:before="44"/>
              <w:ind w:left="445" w:right="485"/>
              <w:jc w:val="center"/>
              <w:rPr>
                <w:rFonts w:ascii="Times New Roman"/>
                <w:sz w:val="19"/>
              </w:rPr>
            </w:pPr>
            <w:r>
              <w:rPr>
                <w:rFonts w:ascii="Times New Roman"/>
                <w:sz w:val="19"/>
              </w:rPr>
              <w:t>10</w:t>
            </w:r>
          </w:p>
        </w:tc>
        <w:tc>
          <w:tcPr>
            <w:tcW w:w="3010" w:type="dxa"/>
            <w:gridSpan w:val="2"/>
          </w:tcPr>
          <w:p>
            <w:pPr/>
          </w:p>
        </w:tc>
      </w:tr>
      <w:tr>
        <w:trPr>
          <w:trHeight w:val="327" w:hRule="exact"/>
        </w:trPr>
        <w:tc>
          <w:tcPr>
            <w:tcW w:w="2480" w:type="dxa"/>
          </w:tcPr>
          <w:p>
            <w:pPr>
              <w:pStyle w:val="TableParagraph"/>
              <w:spacing w:before="36"/>
              <w:ind w:left="410" w:right="360"/>
              <w:rPr>
                <w:rFonts w:ascii="Times New Roman"/>
                <w:sz w:val="12"/>
              </w:rPr>
            </w:pPr>
            <w:r>
              <w:rPr>
                <w:rFonts w:ascii="Times New Roman"/>
                <w:sz w:val="19"/>
              </w:rPr>
              <w:t>Mineral mixture</w:t>
            </w:r>
            <w:r>
              <w:rPr>
                <w:rFonts w:ascii="Times New Roman"/>
                <w:position w:val="9"/>
                <w:sz w:val="12"/>
              </w:rPr>
              <w:t>2</w:t>
            </w:r>
          </w:p>
        </w:tc>
        <w:tc>
          <w:tcPr>
            <w:tcW w:w="1432" w:type="dxa"/>
          </w:tcPr>
          <w:p>
            <w:pPr>
              <w:pStyle w:val="TableParagraph"/>
              <w:spacing w:before="61"/>
              <w:ind w:left="445" w:right="485"/>
              <w:jc w:val="center"/>
              <w:rPr>
                <w:rFonts w:ascii="Times New Roman"/>
                <w:sz w:val="19"/>
              </w:rPr>
            </w:pPr>
            <w:r>
              <w:rPr>
                <w:rFonts w:ascii="Times New Roman"/>
                <w:sz w:val="19"/>
              </w:rPr>
              <w:t>10</w:t>
            </w:r>
          </w:p>
        </w:tc>
        <w:tc>
          <w:tcPr>
            <w:tcW w:w="3010" w:type="dxa"/>
            <w:gridSpan w:val="2"/>
          </w:tcPr>
          <w:p>
            <w:pPr/>
          </w:p>
        </w:tc>
      </w:tr>
      <w:tr>
        <w:trPr>
          <w:trHeight w:val="306" w:hRule="exact"/>
        </w:trPr>
        <w:tc>
          <w:tcPr>
            <w:tcW w:w="2480" w:type="dxa"/>
          </w:tcPr>
          <w:p>
            <w:pPr>
              <w:pStyle w:val="TableParagraph"/>
              <w:spacing w:before="56"/>
              <w:ind w:left="129" w:right="360"/>
              <w:rPr>
                <w:rFonts w:ascii="Times New Roman"/>
                <w:sz w:val="19"/>
              </w:rPr>
            </w:pPr>
            <w:r>
              <w:rPr>
                <w:rFonts w:ascii="Times New Roman"/>
                <w:sz w:val="19"/>
              </w:rPr>
              <w:t>Secondary metabolites</w:t>
            </w:r>
          </w:p>
        </w:tc>
        <w:tc>
          <w:tcPr>
            <w:tcW w:w="1432" w:type="dxa"/>
          </w:tcPr>
          <w:p>
            <w:pPr/>
          </w:p>
        </w:tc>
        <w:tc>
          <w:tcPr>
            <w:tcW w:w="3010" w:type="dxa"/>
            <w:gridSpan w:val="2"/>
          </w:tcPr>
          <w:p>
            <w:pPr/>
          </w:p>
        </w:tc>
      </w:tr>
      <w:tr>
        <w:trPr>
          <w:trHeight w:val="294" w:hRule="exact"/>
        </w:trPr>
        <w:tc>
          <w:tcPr>
            <w:tcW w:w="2480" w:type="dxa"/>
          </w:tcPr>
          <w:p>
            <w:pPr>
              <w:pStyle w:val="TableParagraph"/>
              <w:spacing w:before="40"/>
              <w:ind w:left="410" w:right="360"/>
              <w:rPr>
                <w:rFonts w:ascii="Times New Roman"/>
                <w:sz w:val="19"/>
              </w:rPr>
            </w:pPr>
            <w:r>
              <w:rPr>
                <w:rFonts w:ascii="Times New Roman"/>
                <w:sz w:val="19"/>
              </w:rPr>
              <w:t>Total phenolics</w:t>
            </w:r>
          </w:p>
        </w:tc>
        <w:tc>
          <w:tcPr>
            <w:tcW w:w="1432" w:type="dxa"/>
          </w:tcPr>
          <w:p>
            <w:pPr>
              <w:pStyle w:val="TableParagraph"/>
              <w:spacing w:before="40"/>
              <w:ind w:left="0" w:right="75"/>
              <w:jc w:val="center"/>
              <w:rPr>
                <w:rFonts w:ascii="Times New Roman"/>
                <w:sz w:val="19"/>
              </w:rPr>
            </w:pPr>
            <w:r>
              <w:rPr>
                <w:rFonts w:ascii="Times New Roman"/>
                <w:w w:val="101"/>
                <w:sz w:val="19"/>
              </w:rPr>
              <w:t>-</w:t>
            </w:r>
          </w:p>
        </w:tc>
        <w:tc>
          <w:tcPr>
            <w:tcW w:w="3010" w:type="dxa"/>
            <w:gridSpan w:val="2"/>
          </w:tcPr>
          <w:p>
            <w:pPr>
              <w:pStyle w:val="TableParagraph"/>
              <w:tabs>
                <w:tab w:pos="1939" w:val="left" w:leader="none"/>
              </w:tabs>
              <w:spacing w:before="40"/>
              <w:ind w:left="533"/>
              <w:rPr>
                <w:rFonts w:ascii="Times New Roman"/>
                <w:sz w:val="19"/>
              </w:rPr>
            </w:pPr>
            <w:r>
              <w:rPr>
                <w:rFonts w:ascii="Times New Roman"/>
                <w:sz w:val="19"/>
              </w:rPr>
              <w:t>-</w:t>
              <w:tab/>
              <w:t>16.4</w:t>
            </w:r>
          </w:p>
        </w:tc>
      </w:tr>
      <w:tr>
        <w:trPr>
          <w:trHeight w:val="282" w:hRule="exact"/>
        </w:trPr>
        <w:tc>
          <w:tcPr>
            <w:tcW w:w="2480" w:type="dxa"/>
          </w:tcPr>
          <w:p>
            <w:pPr>
              <w:pStyle w:val="TableParagraph"/>
              <w:spacing w:before="44"/>
              <w:ind w:left="410" w:right="360"/>
              <w:rPr>
                <w:rFonts w:ascii="Times New Roman"/>
                <w:sz w:val="19"/>
              </w:rPr>
            </w:pPr>
            <w:r>
              <w:rPr>
                <w:rFonts w:ascii="Times New Roman"/>
                <w:sz w:val="19"/>
              </w:rPr>
              <w:t>Saponins</w:t>
            </w:r>
          </w:p>
        </w:tc>
        <w:tc>
          <w:tcPr>
            <w:tcW w:w="1432" w:type="dxa"/>
          </w:tcPr>
          <w:p>
            <w:pPr>
              <w:pStyle w:val="TableParagraph"/>
              <w:spacing w:before="44"/>
              <w:ind w:left="0" w:right="70"/>
              <w:jc w:val="center"/>
              <w:rPr>
                <w:rFonts w:ascii="Times New Roman"/>
                <w:sz w:val="19"/>
              </w:rPr>
            </w:pPr>
            <w:r>
              <w:rPr>
                <w:rFonts w:ascii="Times New Roman"/>
                <w:w w:val="101"/>
                <w:sz w:val="19"/>
              </w:rPr>
              <w:t>-</w:t>
            </w:r>
          </w:p>
        </w:tc>
        <w:tc>
          <w:tcPr>
            <w:tcW w:w="3010" w:type="dxa"/>
            <w:gridSpan w:val="2"/>
          </w:tcPr>
          <w:p>
            <w:pPr>
              <w:pStyle w:val="TableParagraph"/>
              <w:tabs>
                <w:tab w:pos="1985" w:val="left" w:leader="none"/>
              </w:tabs>
              <w:spacing w:before="44"/>
              <w:ind w:left="533"/>
              <w:rPr>
                <w:rFonts w:ascii="Times New Roman"/>
                <w:sz w:val="19"/>
              </w:rPr>
            </w:pPr>
            <w:r>
              <w:rPr>
                <w:rFonts w:ascii="Times New Roman"/>
                <w:sz w:val="19"/>
              </w:rPr>
              <w:t>-</w:t>
              <w:tab/>
              <w:t>5.4</w:t>
            </w:r>
          </w:p>
        </w:tc>
      </w:tr>
      <w:tr>
        <w:trPr>
          <w:trHeight w:val="311" w:hRule="exact"/>
        </w:trPr>
        <w:tc>
          <w:tcPr>
            <w:tcW w:w="2480" w:type="dxa"/>
            <w:tcBorders>
              <w:bottom w:val="single" w:sz="3" w:space="0" w:color="000000"/>
            </w:tcBorders>
          </w:tcPr>
          <w:p>
            <w:pPr>
              <w:pStyle w:val="TableParagraph"/>
              <w:spacing w:before="37"/>
              <w:ind w:left="410" w:right="360"/>
              <w:rPr>
                <w:rFonts w:ascii="Times New Roman"/>
                <w:sz w:val="12"/>
              </w:rPr>
            </w:pPr>
            <w:r>
              <w:rPr>
                <w:rFonts w:ascii="Times New Roman"/>
                <w:sz w:val="19"/>
              </w:rPr>
              <w:t>Aqueous fraction</w:t>
            </w:r>
            <w:r>
              <w:rPr>
                <w:rFonts w:ascii="Times New Roman"/>
                <w:position w:val="9"/>
                <w:sz w:val="12"/>
              </w:rPr>
              <w:t>3</w:t>
            </w:r>
          </w:p>
        </w:tc>
        <w:tc>
          <w:tcPr>
            <w:tcW w:w="1432" w:type="dxa"/>
            <w:tcBorders>
              <w:bottom w:val="single" w:sz="3" w:space="0" w:color="000000"/>
            </w:tcBorders>
          </w:tcPr>
          <w:p>
            <w:pPr>
              <w:pStyle w:val="TableParagraph"/>
              <w:spacing w:before="62"/>
              <w:ind w:left="0" w:right="70"/>
              <w:jc w:val="center"/>
              <w:rPr>
                <w:rFonts w:ascii="Times New Roman"/>
                <w:sz w:val="19"/>
              </w:rPr>
            </w:pPr>
            <w:r>
              <w:rPr>
                <w:rFonts w:ascii="Times New Roman"/>
                <w:w w:val="101"/>
                <w:sz w:val="19"/>
              </w:rPr>
              <w:t>-</w:t>
            </w:r>
          </w:p>
        </w:tc>
        <w:tc>
          <w:tcPr>
            <w:tcW w:w="3010" w:type="dxa"/>
            <w:gridSpan w:val="2"/>
            <w:tcBorders>
              <w:bottom w:val="single" w:sz="3" w:space="0" w:color="000000"/>
            </w:tcBorders>
          </w:tcPr>
          <w:p>
            <w:pPr>
              <w:pStyle w:val="TableParagraph"/>
              <w:tabs>
                <w:tab w:pos="1937" w:val="left" w:leader="none"/>
              </w:tabs>
              <w:spacing w:before="62"/>
              <w:ind w:left="533"/>
              <w:rPr>
                <w:rFonts w:ascii="Times New Roman"/>
                <w:sz w:val="19"/>
              </w:rPr>
            </w:pPr>
            <w:r>
              <w:rPr>
                <w:rFonts w:ascii="Times New Roman"/>
                <w:sz w:val="19"/>
              </w:rPr>
              <w:t>-</w:t>
              <w:tab/>
              <w:t>76.3</w:t>
            </w:r>
          </w:p>
        </w:tc>
      </w:tr>
    </w:tbl>
    <w:p>
      <w:pPr>
        <w:spacing w:line="208" w:lineRule="exact" w:before="0"/>
        <w:ind w:left="155" w:right="0" w:firstLine="0"/>
        <w:jc w:val="left"/>
        <w:rPr>
          <w:rFonts w:ascii="Times New Roman"/>
          <w:sz w:val="17"/>
        </w:rPr>
      </w:pPr>
      <w:r>
        <w:rPr>
          <w:rFonts w:ascii="Times New Roman"/>
          <w:color w:val="171616"/>
          <w:w w:val="105"/>
          <w:position w:val="8"/>
          <w:sz w:val="11"/>
        </w:rPr>
        <w:t>1 </w:t>
      </w:r>
      <w:r>
        <w:rPr>
          <w:rFonts w:ascii="Times New Roman"/>
          <w:color w:val="171616"/>
          <w:w w:val="105"/>
          <w:sz w:val="17"/>
        </w:rPr>
        <w:t>DM expressed as g/kg fresh silage; </w:t>
      </w:r>
      <w:r>
        <w:rPr>
          <w:rFonts w:ascii="Times New Roman"/>
          <w:color w:val="171616"/>
          <w:w w:val="105"/>
          <w:position w:val="8"/>
          <w:sz w:val="11"/>
        </w:rPr>
        <w:t>2</w:t>
      </w:r>
      <w:r>
        <w:rPr>
          <w:rFonts w:ascii="Times New Roman"/>
          <w:color w:val="171616"/>
          <w:w w:val="105"/>
          <w:sz w:val="17"/>
        </w:rPr>
        <w:t>Mineral mixture: Ca, 190 g/d; P, 115 g/d; Mg, 63 g/d; Cl, 167 g/d; K, 380 g/d; Na,</w:t>
      </w:r>
    </w:p>
    <w:p>
      <w:pPr>
        <w:spacing w:line="268" w:lineRule="auto" w:before="35"/>
        <w:ind w:left="155" w:right="0" w:firstLine="0"/>
        <w:jc w:val="left"/>
        <w:rPr>
          <w:rFonts w:ascii="Times New Roman"/>
          <w:sz w:val="17"/>
        </w:rPr>
      </w:pPr>
      <w:r>
        <w:rPr>
          <w:rFonts w:ascii="Times New Roman"/>
          <w:color w:val="171616"/>
          <w:w w:val="105"/>
          <w:sz w:val="17"/>
        </w:rPr>
        <w:t>70</w:t>
      </w:r>
      <w:r>
        <w:rPr>
          <w:rFonts w:ascii="Times New Roman"/>
          <w:color w:val="171616"/>
          <w:spacing w:val="-7"/>
          <w:w w:val="105"/>
          <w:sz w:val="17"/>
        </w:rPr>
        <w:t> </w:t>
      </w:r>
      <w:r>
        <w:rPr>
          <w:rFonts w:ascii="Times New Roman"/>
          <w:color w:val="171616"/>
          <w:w w:val="105"/>
          <w:sz w:val="17"/>
        </w:rPr>
        <w:t>g/d;</w:t>
      </w:r>
      <w:r>
        <w:rPr>
          <w:rFonts w:ascii="Times New Roman"/>
          <w:color w:val="171616"/>
          <w:spacing w:val="-8"/>
          <w:w w:val="105"/>
          <w:sz w:val="17"/>
        </w:rPr>
        <w:t> </w:t>
      </w:r>
      <w:r>
        <w:rPr>
          <w:rFonts w:ascii="Times New Roman"/>
          <w:color w:val="171616"/>
          <w:w w:val="105"/>
          <w:sz w:val="17"/>
        </w:rPr>
        <w:t>S,</w:t>
      </w:r>
      <w:r>
        <w:rPr>
          <w:rFonts w:ascii="Times New Roman"/>
          <w:color w:val="171616"/>
          <w:spacing w:val="-11"/>
          <w:w w:val="105"/>
          <w:sz w:val="17"/>
        </w:rPr>
        <w:t> </w:t>
      </w:r>
      <w:r>
        <w:rPr>
          <w:rFonts w:ascii="Times New Roman"/>
          <w:color w:val="171616"/>
          <w:w w:val="105"/>
          <w:sz w:val="17"/>
        </w:rPr>
        <w:t>53</w:t>
      </w:r>
      <w:r>
        <w:rPr>
          <w:rFonts w:ascii="Times New Roman"/>
          <w:color w:val="171616"/>
          <w:spacing w:val="-7"/>
          <w:w w:val="105"/>
          <w:sz w:val="17"/>
        </w:rPr>
        <w:t> </w:t>
      </w:r>
      <w:r>
        <w:rPr>
          <w:rFonts w:ascii="Times New Roman"/>
          <w:color w:val="171616"/>
          <w:w w:val="105"/>
          <w:sz w:val="17"/>
        </w:rPr>
        <w:t>g/d;</w:t>
      </w:r>
      <w:r>
        <w:rPr>
          <w:rFonts w:ascii="Times New Roman"/>
          <w:color w:val="171616"/>
          <w:spacing w:val="-8"/>
          <w:w w:val="105"/>
          <w:sz w:val="17"/>
        </w:rPr>
        <w:t> </w:t>
      </w:r>
      <w:r>
        <w:rPr>
          <w:rFonts w:ascii="Times New Roman"/>
          <w:color w:val="171616"/>
          <w:w w:val="105"/>
          <w:sz w:val="17"/>
        </w:rPr>
        <w:t>Co,</w:t>
      </w:r>
      <w:r>
        <w:rPr>
          <w:rFonts w:ascii="Times New Roman"/>
          <w:color w:val="171616"/>
          <w:spacing w:val="-8"/>
          <w:w w:val="105"/>
          <w:sz w:val="17"/>
        </w:rPr>
        <w:t> </w:t>
      </w:r>
      <w:r>
        <w:rPr>
          <w:rFonts w:ascii="Times New Roman"/>
          <w:color w:val="171616"/>
          <w:w w:val="105"/>
          <w:sz w:val="17"/>
        </w:rPr>
        <w:t>3.3</w:t>
      </w:r>
      <w:r>
        <w:rPr>
          <w:rFonts w:ascii="Times New Roman"/>
          <w:color w:val="171616"/>
          <w:spacing w:val="-7"/>
          <w:w w:val="105"/>
          <w:sz w:val="17"/>
        </w:rPr>
        <w:t> </w:t>
      </w:r>
      <w:r>
        <w:rPr>
          <w:rFonts w:ascii="Times New Roman"/>
          <w:color w:val="171616"/>
          <w:w w:val="105"/>
          <w:sz w:val="17"/>
        </w:rPr>
        <w:t>mg/d;</w:t>
      </w:r>
      <w:r>
        <w:rPr>
          <w:rFonts w:ascii="Times New Roman"/>
          <w:color w:val="171616"/>
          <w:spacing w:val="-8"/>
          <w:w w:val="105"/>
          <w:sz w:val="17"/>
        </w:rPr>
        <w:t> </w:t>
      </w:r>
      <w:r>
        <w:rPr>
          <w:rFonts w:ascii="Times New Roman"/>
          <w:color w:val="171616"/>
          <w:w w:val="105"/>
          <w:sz w:val="17"/>
        </w:rPr>
        <w:t>Cu,</w:t>
      </w:r>
      <w:r>
        <w:rPr>
          <w:rFonts w:ascii="Times New Roman"/>
          <w:color w:val="171616"/>
          <w:spacing w:val="-11"/>
          <w:w w:val="105"/>
          <w:sz w:val="17"/>
        </w:rPr>
        <w:t> </w:t>
      </w:r>
      <w:r>
        <w:rPr>
          <w:rFonts w:ascii="Times New Roman"/>
          <w:color w:val="171616"/>
          <w:w w:val="105"/>
          <w:sz w:val="17"/>
        </w:rPr>
        <w:t>197</w:t>
      </w:r>
      <w:r>
        <w:rPr>
          <w:rFonts w:ascii="Times New Roman"/>
          <w:color w:val="171616"/>
          <w:spacing w:val="-7"/>
          <w:w w:val="105"/>
          <w:sz w:val="17"/>
        </w:rPr>
        <w:t> </w:t>
      </w:r>
      <w:r>
        <w:rPr>
          <w:rFonts w:ascii="Times New Roman"/>
          <w:color w:val="171616"/>
          <w:w w:val="105"/>
          <w:sz w:val="17"/>
        </w:rPr>
        <w:t>mg/d;</w:t>
      </w:r>
      <w:r>
        <w:rPr>
          <w:rFonts w:ascii="Times New Roman"/>
          <w:color w:val="171616"/>
          <w:spacing w:val="-8"/>
          <w:w w:val="105"/>
          <w:sz w:val="17"/>
        </w:rPr>
        <w:t> </w:t>
      </w:r>
      <w:r>
        <w:rPr>
          <w:rFonts w:ascii="Times New Roman"/>
          <w:color w:val="171616"/>
          <w:w w:val="105"/>
          <w:sz w:val="17"/>
        </w:rPr>
        <w:t>Fe,</w:t>
      </w:r>
      <w:r>
        <w:rPr>
          <w:rFonts w:ascii="Times New Roman"/>
          <w:color w:val="171616"/>
          <w:spacing w:val="-8"/>
          <w:w w:val="105"/>
          <w:sz w:val="17"/>
        </w:rPr>
        <w:t> </w:t>
      </w:r>
      <w:r>
        <w:rPr>
          <w:rFonts w:ascii="Times New Roman"/>
          <w:color w:val="171616"/>
          <w:w w:val="105"/>
          <w:sz w:val="17"/>
        </w:rPr>
        <w:t>360</w:t>
      </w:r>
      <w:r>
        <w:rPr>
          <w:rFonts w:ascii="Times New Roman"/>
          <w:color w:val="171616"/>
          <w:spacing w:val="-7"/>
          <w:w w:val="105"/>
          <w:sz w:val="17"/>
        </w:rPr>
        <w:t> </w:t>
      </w:r>
      <w:r>
        <w:rPr>
          <w:rFonts w:ascii="Times New Roman"/>
          <w:color w:val="171616"/>
          <w:w w:val="105"/>
          <w:sz w:val="17"/>
        </w:rPr>
        <w:t>mg/d;</w:t>
      </w:r>
      <w:r>
        <w:rPr>
          <w:rFonts w:ascii="Times New Roman"/>
          <w:color w:val="171616"/>
          <w:spacing w:val="-6"/>
          <w:w w:val="105"/>
          <w:sz w:val="17"/>
        </w:rPr>
        <w:t> </w:t>
      </w:r>
      <w:r>
        <w:rPr>
          <w:rFonts w:ascii="Times New Roman"/>
          <w:color w:val="171616"/>
          <w:w w:val="105"/>
          <w:sz w:val="17"/>
        </w:rPr>
        <w:t>Mn,</w:t>
      </w:r>
      <w:r>
        <w:rPr>
          <w:rFonts w:ascii="Times New Roman"/>
          <w:color w:val="171616"/>
          <w:spacing w:val="-11"/>
          <w:w w:val="105"/>
          <w:sz w:val="17"/>
        </w:rPr>
        <w:t> </w:t>
      </w:r>
      <w:r>
        <w:rPr>
          <w:rFonts w:ascii="Times New Roman"/>
          <w:color w:val="171616"/>
          <w:w w:val="105"/>
          <w:sz w:val="17"/>
        </w:rPr>
        <w:t>900</w:t>
      </w:r>
      <w:r>
        <w:rPr>
          <w:rFonts w:ascii="Times New Roman"/>
          <w:color w:val="171616"/>
          <w:spacing w:val="-9"/>
          <w:w w:val="105"/>
          <w:sz w:val="17"/>
        </w:rPr>
        <w:t> </w:t>
      </w:r>
      <w:r>
        <w:rPr>
          <w:rFonts w:ascii="Times New Roman"/>
          <w:color w:val="171616"/>
          <w:w w:val="105"/>
          <w:sz w:val="17"/>
        </w:rPr>
        <w:t>mg/d;</w:t>
      </w:r>
      <w:r>
        <w:rPr>
          <w:rFonts w:ascii="Times New Roman"/>
          <w:color w:val="171616"/>
          <w:spacing w:val="-6"/>
          <w:w w:val="105"/>
          <w:sz w:val="17"/>
        </w:rPr>
        <w:t> </w:t>
      </w:r>
      <w:r>
        <w:rPr>
          <w:rFonts w:ascii="Times New Roman"/>
          <w:color w:val="171616"/>
          <w:w w:val="105"/>
          <w:sz w:val="17"/>
        </w:rPr>
        <w:t>Se,</w:t>
      </w:r>
      <w:r>
        <w:rPr>
          <w:rFonts w:ascii="Times New Roman"/>
          <w:color w:val="171616"/>
          <w:spacing w:val="-8"/>
          <w:w w:val="105"/>
          <w:sz w:val="17"/>
        </w:rPr>
        <w:t> </w:t>
      </w:r>
      <w:r>
        <w:rPr>
          <w:rFonts w:ascii="Times New Roman"/>
          <w:color w:val="171616"/>
          <w:w w:val="105"/>
          <w:sz w:val="17"/>
        </w:rPr>
        <w:t>2</w:t>
      </w:r>
      <w:r>
        <w:rPr>
          <w:rFonts w:ascii="Times New Roman"/>
          <w:color w:val="171616"/>
          <w:spacing w:val="-5"/>
          <w:w w:val="105"/>
          <w:sz w:val="17"/>
        </w:rPr>
        <w:t> </w:t>
      </w:r>
      <w:r>
        <w:rPr>
          <w:rFonts w:ascii="Times New Roman"/>
          <w:color w:val="171616"/>
          <w:w w:val="105"/>
          <w:sz w:val="17"/>
        </w:rPr>
        <w:t>mg/d;</w:t>
      </w:r>
      <w:r>
        <w:rPr>
          <w:rFonts w:ascii="Times New Roman"/>
          <w:color w:val="171616"/>
          <w:spacing w:val="-8"/>
          <w:w w:val="105"/>
          <w:sz w:val="17"/>
        </w:rPr>
        <w:t> </w:t>
      </w:r>
      <w:r>
        <w:rPr>
          <w:rFonts w:ascii="Times New Roman"/>
          <w:color w:val="171616"/>
          <w:w w:val="105"/>
          <w:sz w:val="17"/>
        </w:rPr>
        <w:t>Zn,</w:t>
      </w:r>
      <w:r>
        <w:rPr>
          <w:rFonts w:ascii="Times New Roman"/>
          <w:color w:val="171616"/>
          <w:spacing w:val="-8"/>
          <w:w w:val="105"/>
          <w:sz w:val="17"/>
        </w:rPr>
        <w:t> </w:t>
      </w:r>
      <w:r>
        <w:rPr>
          <w:rFonts w:ascii="Times New Roman"/>
          <w:color w:val="171616"/>
          <w:w w:val="105"/>
          <w:sz w:val="17"/>
        </w:rPr>
        <w:t>810</w:t>
      </w:r>
      <w:r>
        <w:rPr>
          <w:rFonts w:ascii="Times New Roman"/>
          <w:color w:val="171616"/>
          <w:spacing w:val="-7"/>
          <w:w w:val="105"/>
          <w:sz w:val="17"/>
        </w:rPr>
        <w:t> </w:t>
      </w:r>
      <w:r>
        <w:rPr>
          <w:rFonts w:ascii="Times New Roman"/>
          <w:color w:val="171616"/>
          <w:w w:val="105"/>
          <w:sz w:val="17"/>
        </w:rPr>
        <w:t>mg/d;</w:t>
      </w:r>
      <w:r>
        <w:rPr>
          <w:rFonts w:ascii="Times New Roman"/>
          <w:color w:val="171616"/>
          <w:spacing w:val="-8"/>
          <w:w w:val="105"/>
          <w:sz w:val="17"/>
        </w:rPr>
        <w:t> </w:t>
      </w:r>
      <w:r>
        <w:rPr>
          <w:rFonts w:ascii="Times New Roman"/>
          <w:color w:val="171616"/>
          <w:w w:val="105"/>
          <w:sz w:val="17"/>
        </w:rPr>
        <w:t>vitamin</w:t>
      </w:r>
      <w:r>
        <w:rPr>
          <w:rFonts w:ascii="Times New Roman"/>
          <w:color w:val="171616"/>
          <w:spacing w:val="-7"/>
          <w:w w:val="105"/>
          <w:sz w:val="17"/>
        </w:rPr>
        <w:t> </w:t>
      </w:r>
      <w:r>
        <w:rPr>
          <w:rFonts w:ascii="Times New Roman"/>
          <w:color w:val="171616"/>
          <w:w w:val="105"/>
          <w:sz w:val="17"/>
        </w:rPr>
        <w:t>A,</w:t>
      </w:r>
      <w:r>
        <w:rPr>
          <w:rFonts w:ascii="Times New Roman"/>
          <w:color w:val="171616"/>
          <w:spacing w:val="-8"/>
          <w:w w:val="105"/>
          <w:sz w:val="17"/>
        </w:rPr>
        <w:t> </w:t>
      </w:r>
      <w:r>
        <w:rPr>
          <w:rFonts w:ascii="Times New Roman"/>
          <w:color w:val="171616"/>
          <w:w w:val="105"/>
          <w:sz w:val="17"/>
        </w:rPr>
        <w:t>940 (1000 IU/d); vitamin D, 165 (1000 IU/d); vitamin E, 374 (1000 IU/d); </w:t>
      </w:r>
      <w:r>
        <w:rPr>
          <w:rFonts w:ascii="Times New Roman"/>
          <w:color w:val="171616"/>
          <w:w w:val="105"/>
          <w:position w:val="8"/>
          <w:sz w:val="11"/>
        </w:rPr>
        <w:t>3</w:t>
      </w:r>
      <w:r>
        <w:rPr>
          <w:rFonts w:ascii="Times New Roman"/>
          <w:color w:val="171616"/>
          <w:w w:val="105"/>
          <w:sz w:val="17"/>
        </w:rPr>
        <w:t>The aqueous fraction contains lectins, polypeptides</w:t>
      </w:r>
      <w:r>
        <w:rPr>
          <w:rFonts w:ascii="Times New Roman"/>
          <w:color w:val="171616"/>
          <w:spacing w:val="-17"/>
          <w:w w:val="105"/>
          <w:sz w:val="17"/>
        </w:rPr>
        <w:t> </w:t>
      </w:r>
      <w:r>
        <w:rPr>
          <w:rFonts w:ascii="Times New Roman"/>
          <w:color w:val="171616"/>
          <w:w w:val="105"/>
          <w:sz w:val="17"/>
        </w:rPr>
        <w:t>and</w:t>
      </w:r>
      <w:r>
        <w:rPr>
          <w:rFonts w:ascii="Times New Roman"/>
          <w:color w:val="171616"/>
          <w:spacing w:val="-17"/>
          <w:w w:val="105"/>
          <w:sz w:val="17"/>
        </w:rPr>
        <w:t> </w:t>
      </w:r>
      <w:r>
        <w:rPr>
          <w:rFonts w:ascii="Times New Roman"/>
          <w:color w:val="171616"/>
          <w:w w:val="105"/>
          <w:sz w:val="17"/>
        </w:rPr>
        <w:t>starch</w:t>
      </w:r>
      <w:r>
        <w:rPr>
          <w:rFonts w:ascii="Times New Roman"/>
          <w:color w:val="171616"/>
          <w:spacing w:val="-16"/>
          <w:w w:val="105"/>
          <w:sz w:val="17"/>
        </w:rPr>
        <w:t> </w:t>
      </w:r>
      <w:r>
        <w:rPr>
          <w:rFonts w:ascii="Times New Roman"/>
          <w:color w:val="171616"/>
          <w:w w:val="105"/>
          <w:sz w:val="17"/>
        </w:rPr>
        <w:t>(Cowan,</w:t>
      </w:r>
      <w:r>
        <w:rPr>
          <w:rFonts w:ascii="Times New Roman"/>
          <w:color w:val="171616"/>
          <w:spacing w:val="-15"/>
          <w:w w:val="105"/>
          <w:sz w:val="17"/>
        </w:rPr>
        <w:t> </w:t>
      </w:r>
      <w:r>
        <w:rPr>
          <w:rFonts w:ascii="Times New Roman"/>
          <w:color w:val="171616"/>
          <w:w w:val="105"/>
          <w:sz w:val="17"/>
        </w:rPr>
        <w:t>1999).</w:t>
      </w:r>
    </w:p>
    <w:p>
      <w:pPr>
        <w:pStyle w:val="BodyText"/>
        <w:spacing w:before="6"/>
        <w:rPr>
          <w:rFonts w:ascii="Times New Roman"/>
        </w:rPr>
      </w:pPr>
      <w:r>
        <w:rPr/>
        <w:pict>
          <v:line style="position:absolute;mso-position-horizontal-relative:page;mso-position-vertical-relative:paragraph;z-index:3808;mso-wrap-distance-left:0;mso-wrap-distance-right:0" from="82.799995pt,15.811347pt" to="222.959992pt,15.811347pt" stroked="true" strokeweight=".6pt" strokecolor="#000000">
            <w10:wrap type="topAndBottom"/>
          </v:line>
        </w:pict>
      </w:r>
    </w:p>
    <w:p>
      <w:pPr>
        <w:spacing w:after="0"/>
        <w:rPr>
          <w:rFonts w:ascii="Times New Roman"/>
        </w:rPr>
        <w:sectPr>
          <w:pgSz w:w="11900" w:h="16840"/>
          <w:pgMar w:header="0" w:footer="1619" w:top="1600" w:bottom="1860" w:left="1500" w:right="16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2"/>
        </w:rPr>
      </w:pPr>
    </w:p>
    <w:p>
      <w:pPr>
        <w:spacing w:line="283" w:lineRule="auto" w:before="79"/>
        <w:ind w:left="116" w:right="113" w:firstLine="552"/>
        <w:jc w:val="both"/>
        <w:rPr>
          <w:rFonts w:ascii="Times New Roman" w:hAnsi="Times New Roman"/>
          <w:sz w:val="19"/>
        </w:rPr>
      </w:pPr>
      <w:r>
        <w:rPr>
          <w:rFonts w:ascii="Times New Roman" w:hAnsi="Times New Roman"/>
          <w:color w:val="171616"/>
          <w:sz w:val="19"/>
        </w:rPr>
        <w:t>ZADO® is a powdered multi-enzyme commercially available feed additive produced from </w:t>
      </w:r>
      <w:r>
        <w:rPr>
          <w:rFonts w:ascii="Times New Roman" w:hAnsi="Times New Roman"/>
          <w:i/>
          <w:color w:val="171616"/>
          <w:sz w:val="19"/>
        </w:rPr>
        <w:t>Ruminococcus flavefaciens </w:t>
      </w:r>
      <w:r>
        <w:rPr>
          <w:rFonts w:ascii="Times New Roman" w:hAnsi="Times New Roman"/>
          <w:color w:val="171616"/>
          <w:sz w:val="19"/>
        </w:rPr>
        <w:t>by the Academy of Scientific Research and Technology in Egypt (Patent  No.: 22155, Cairo, Egypt). Prior to the study, the mixture was assayed for several enzymatic activities and found     to contain (/g of enzyme preparation) 7.1 units of endoglucanase, 2.3 units of xylanase, 61.5 units of α-  amylase and 29.2 units of protease activity (Gado </w:t>
      </w:r>
      <w:r>
        <w:rPr>
          <w:rFonts w:ascii="Times New Roman" w:hAnsi="Times New Roman"/>
          <w:i/>
          <w:color w:val="171616"/>
          <w:sz w:val="19"/>
        </w:rPr>
        <w:t>et al.</w:t>
      </w:r>
      <w:r>
        <w:rPr>
          <w:rFonts w:ascii="Times New Roman" w:hAnsi="Times New Roman"/>
          <w:color w:val="171616"/>
          <w:sz w:val="19"/>
        </w:rPr>
        <w:t>, </w:t>
      </w:r>
      <w:r>
        <w:rPr>
          <w:rFonts w:ascii="Times New Roman" w:hAnsi="Times New Roman"/>
          <w:color w:val="171616"/>
          <w:spacing w:val="46"/>
          <w:sz w:val="19"/>
        </w:rPr>
        <w:t> </w:t>
      </w:r>
      <w:r>
        <w:rPr>
          <w:rFonts w:ascii="Times New Roman" w:hAnsi="Times New Roman"/>
          <w:color w:val="171616"/>
          <w:sz w:val="19"/>
        </w:rPr>
        <w:t>2011).</w:t>
      </w:r>
    </w:p>
    <w:p>
      <w:pPr>
        <w:spacing w:line="285" w:lineRule="auto" w:before="0"/>
        <w:ind w:left="175" w:right="102" w:firstLine="0"/>
        <w:jc w:val="left"/>
        <w:rPr>
          <w:rFonts w:ascii="Times New Roman"/>
          <w:sz w:val="19"/>
        </w:rPr>
      </w:pPr>
      <w:r>
        <w:rPr>
          <w:rFonts w:ascii="Times New Roman"/>
          <w:sz w:val="19"/>
        </w:rPr>
        <w:t>In order to prepare silage, whole corn plants (at ~70% moisture) were chopped into 1 to 2 cm pieces using a forage chopper. Silage was accomplished in a flat 10 t silo and after 2 months, it was offered for feeding.</w:t>
      </w:r>
    </w:p>
    <w:p>
      <w:pPr>
        <w:pStyle w:val="BodyText"/>
        <w:spacing w:before="8"/>
        <w:rPr>
          <w:rFonts w:ascii="Times New Roman"/>
          <w:sz w:val="16"/>
        </w:rPr>
      </w:pPr>
    </w:p>
    <w:p>
      <w:pPr>
        <w:spacing w:before="0"/>
        <w:ind w:left="175" w:right="102" w:firstLine="0"/>
        <w:jc w:val="left"/>
        <w:rPr>
          <w:rFonts w:ascii="Times New Roman"/>
          <w:i/>
          <w:sz w:val="19"/>
        </w:rPr>
      </w:pPr>
      <w:r>
        <w:rPr>
          <w:rFonts w:ascii="Times New Roman"/>
          <w:i/>
          <w:sz w:val="19"/>
        </w:rPr>
        <w:t>Preparation of extract</w:t>
      </w:r>
    </w:p>
    <w:p>
      <w:pPr>
        <w:spacing w:line="283" w:lineRule="auto" w:before="148"/>
        <w:ind w:left="175" w:right="101" w:firstLine="628"/>
        <w:jc w:val="both"/>
        <w:rPr>
          <w:rFonts w:ascii="Times New Roman" w:hAnsi="Times New Roman"/>
          <w:sz w:val="19"/>
        </w:rPr>
      </w:pPr>
      <w:r>
        <w:rPr>
          <w:rFonts w:ascii="Times New Roman" w:hAnsi="Times New Roman"/>
          <w:sz w:val="19"/>
        </w:rPr>
        <w:t>The </w:t>
      </w:r>
      <w:r>
        <w:rPr>
          <w:rFonts w:ascii="Times New Roman" w:hAnsi="Times New Roman"/>
          <w:i/>
          <w:sz w:val="19"/>
        </w:rPr>
        <w:t>S. babylonica </w:t>
      </w:r>
      <w:r>
        <w:rPr>
          <w:rFonts w:ascii="Times New Roman" w:hAnsi="Times New Roman"/>
          <w:sz w:val="19"/>
        </w:rPr>
        <w:t>L. extract was prepared as described by Salem </w:t>
      </w:r>
      <w:r>
        <w:rPr>
          <w:rFonts w:ascii="Times New Roman" w:hAnsi="Times New Roman"/>
          <w:i/>
          <w:sz w:val="19"/>
        </w:rPr>
        <w:t>et al. </w:t>
      </w:r>
      <w:r>
        <w:rPr>
          <w:rFonts w:ascii="Times New Roman" w:hAnsi="Times New Roman"/>
          <w:sz w:val="19"/>
        </w:rPr>
        <w:t>(2011b). Briefly, fresh leaves  of </w:t>
      </w:r>
      <w:r>
        <w:rPr>
          <w:rFonts w:ascii="Times New Roman" w:hAnsi="Times New Roman"/>
          <w:i/>
          <w:sz w:val="19"/>
        </w:rPr>
        <w:t>S. babylonica </w:t>
      </w:r>
      <w:r>
        <w:rPr>
          <w:rFonts w:ascii="Times New Roman" w:hAnsi="Times New Roman"/>
          <w:sz w:val="19"/>
        </w:rPr>
        <w:t>L.  were  collected randomly from several young and  mature trees (minimum 5 different  trees) in autumn and chopped (1 to 2 cm) and immediately extracted in the proportion of 1 g leaf per 8 mL      of solvent mixture, which contained 10 mL methanol (99.8/100, analytical grade, Fermont®, Monterrey, Mexico), 10 mL ethanol (99/100, analytical grade, Fermont®, Monterrey,  Mexico)  and  80  mL  distilled water. Leaves were soaked and incubated in this solvent in the laboratory at  25 to 30°C for 48 to 72 h in  closed flasks. After incubation, all flasks were incubated in a water bath at 39°C for 1  h  and  then  immediately filtered and the filtrate collected and stored at 4°C for further  </w:t>
      </w:r>
      <w:r>
        <w:rPr>
          <w:rFonts w:ascii="Times New Roman" w:hAnsi="Times New Roman"/>
          <w:spacing w:val="20"/>
          <w:sz w:val="19"/>
        </w:rPr>
        <w:t> </w:t>
      </w:r>
      <w:r>
        <w:rPr>
          <w:rFonts w:ascii="Times New Roman" w:hAnsi="Times New Roman"/>
          <w:sz w:val="19"/>
        </w:rPr>
        <w:t>use.</w:t>
      </w:r>
    </w:p>
    <w:p>
      <w:pPr>
        <w:pStyle w:val="BodyText"/>
        <w:spacing w:before="1"/>
        <w:rPr>
          <w:rFonts w:ascii="Times New Roman"/>
          <w:sz w:val="17"/>
        </w:rPr>
      </w:pPr>
    </w:p>
    <w:p>
      <w:pPr>
        <w:spacing w:before="0"/>
        <w:ind w:left="176" w:right="102" w:firstLine="0"/>
        <w:jc w:val="left"/>
        <w:rPr>
          <w:rFonts w:ascii="Times New Roman"/>
          <w:i/>
          <w:sz w:val="19"/>
        </w:rPr>
      </w:pPr>
      <w:r>
        <w:rPr>
          <w:rFonts w:ascii="Times New Roman"/>
          <w:i/>
          <w:sz w:val="19"/>
        </w:rPr>
        <w:t>Sampling and measurements</w:t>
      </w:r>
    </w:p>
    <w:p>
      <w:pPr>
        <w:spacing w:line="283" w:lineRule="auto" w:before="146"/>
        <w:ind w:left="176" w:right="102" w:firstLine="628"/>
        <w:jc w:val="both"/>
        <w:rPr>
          <w:rFonts w:ascii="Times New Roman" w:hAnsi="Times New Roman"/>
          <w:sz w:val="19"/>
        </w:rPr>
      </w:pPr>
      <w:r>
        <w:rPr>
          <w:rFonts w:ascii="Times New Roman" w:hAnsi="Times New Roman"/>
          <w:sz w:val="19"/>
        </w:rPr>
        <w:t>Five ml of peripheral blood were withdrawn from each animal via jugular venipuncture into Heparin vacutainer tubes (BD tube, Monterrey, Mexico) kept in ice on days 0, 15, 30, 45 and 60 of the experiment. Blood was analysed to determine immune phenotypes by flow cytometry. The  immune  phenotypes determined were helper T lymphocytes (Ab mouse anti sheep CD4RPE/MCA2213PE), cytotoxic T lymphocytes (Ab mouse anti sheep CD8FITC/MCA2216F, D.F, Mexico), granulocytes (Ab  mouse  anti bovine CD11bFITC/MCA1425F,.D.F, Mexico) and monocytes (Ab mouse anti human CD14RPE/MCA1568PE, D.F, Mexico)  with antibodies </w:t>
      </w:r>
      <w:r>
        <w:rPr>
          <w:rFonts w:ascii="Times New Roman" w:hAnsi="Times New Roman"/>
          <w:spacing w:val="14"/>
          <w:sz w:val="19"/>
        </w:rPr>
        <w:t> </w:t>
      </w:r>
      <w:r>
        <w:rPr>
          <w:rFonts w:ascii="Times New Roman" w:hAnsi="Times New Roman"/>
          <w:sz w:val="19"/>
        </w:rPr>
        <w:t>AbDSerotec®.</w:t>
      </w:r>
    </w:p>
    <w:p>
      <w:pPr>
        <w:pStyle w:val="BodyText"/>
        <w:spacing w:before="1"/>
        <w:rPr>
          <w:rFonts w:ascii="Times New Roman"/>
          <w:sz w:val="17"/>
        </w:rPr>
      </w:pPr>
    </w:p>
    <w:p>
      <w:pPr>
        <w:spacing w:line="283" w:lineRule="auto" w:before="0"/>
        <w:ind w:left="176" w:right="102" w:firstLine="628"/>
        <w:jc w:val="both"/>
        <w:rPr>
          <w:rFonts w:ascii="Times New Roman" w:hAnsi="Times New Roman"/>
          <w:sz w:val="19"/>
        </w:rPr>
      </w:pPr>
      <w:r>
        <w:rPr>
          <w:rFonts w:ascii="Times New Roman" w:hAnsi="Times New Roman"/>
          <w:sz w:val="19"/>
        </w:rPr>
        <w:t>The animals were weighed on the day of sampling, every 15 days. The feed offered and rejected was weighed every day. Two samples of concentrate, silage and SB extract were collected weekly and stored at - 20°C for later chemical analysis. Additional samples by type (</w:t>
      </w:r>
      <w:r>
        <w:rPr>
          <w:rFonts w:ascii="Times New Roman" w:hAnsi="Times New Roman"/>
          <w:i/>
          <w:sz w:val="19"/>
        </w:rPr>
        <w:t>i.e., </w:t>
      </w:r>
      <w:r>
        <w:rPr>
          <w:rFonts w:ascii="Times New Roman" w:hAnsi="Times New Roman"/>
          <w:sz w:val="19"/>
        </w:rPr>
        <w:t>concentrate, silage, extract) were pooled   and stored for further  analysis.</w:t>
      </w:r>
    </w:p>
    <w:p>
      <w:pPr>
        <w:pStyle w:val="BodyText"/>
        <w:spacing w:before="10"/>
        <w:rPr>
          <w:rFonts w:ascii="Times New Roman"/>
          <w:sz w:val="16"/>
        </w:rPr>
      </w:pPr>
    </w:p>
    <w:p>
      <w:pPr>
        <w:spacing w:before="1"/>
        <w:ind w:left="176" w:right="102" w:firstLine="0"/>
        <w:jc w:val="left"/>
        <w:rPr>
          <w:rFonts w:ascii="Times New Roman"/>
          <w:i/>
          <w:sz w:val="19"/>
        </w:rPr>
      </w:pPr>
      <w:r>
        <w:rPr>
          <w:rFonts w:ascii="Times New Roman"/>
          <w:i/>
          <w:sz w:val="19"/>
        </w:rPr>
        <w:t>Processing of samples</w:t>
      </w:r>
    </w:p>
    <w:p>
      <w:pPr>
        <w:spacing w:line="285" w:lineRule="auto" w:before="146"/>
        <w:ind w:left="176" w:right="104" w:firstLine="628"/>
        <w:jc w:val="both"/>
        <w:rPr>
          <w:rFonts w:ascii="Times New Roman" w:hAnsi="Times New Roman"/>
          <w:sz w:val="19"/>
        </w:rPr>
      </w:pPr>
      <w:r>
        <w:rPr>
          <w:rFonts w:ascii="Times New Roman" w:hAnsi="Times New Roman"/>
          <w:sz w:val="19"/>
        </w:rPr>
        <w:t>Each sample was processed to determine the four immune phenotypes, initially the cellular gradient was obtained using Ficoll (Limphoprep® BD) to recover   white</w:t>
      </w:r>
    </w:p>
    <w:p>
      <w:pPr>
        <w:spacing w:after="0" w:line="285" w:lineRule="auto"/>
        <w:jc w:val="both"/>
        <w:rPr>
          <w:rFonts w:ascii="Times New Roman" w:hAnsi="Times New Roman"/>
          <w:sz w:val="19"/>
        </w:rPr>
        <w:sectPr>
          <w:pgSz w:w="11900" w:h="16840"/>
          <w:pgMar w:header="0" w:footer="1619" w:top="1600" w:bottom="1860" w:left="1540" w:right="16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1"/>
        </w:rPr>
      </w:pPr>
    </w:p>
    <w:p>
      <w:pPr>
        <w:spacing w:line="285" w:lineRule="auto" w:before="0"/>
        <w:ind w:left="115" w:right="122" w:firstLine="628"/>
        <w:jc w:val="both"/>
        <w:rPr>
          <w:rFonts w:ascii="Times New Roman"/>
          <w:sz w:val="19"/>
        </w:rPr>
      </w:pPr>
      <w:r>
        <w:rPr>
          <w:rFonts w:ascii="Times New Roman"/>
          <w:sz w:val="19"/>
        </w:rPr>
        <w:t>blood cells as lymphocytes (T helper and cytotoxic), granulocytes (neutrophils, eosinophils and basophils) and monocytes (macrophages) (Macey,  2007).</w:t>
      </w:r>
    </w:p>
    <w:p>
      <w:pPr>
        <w:pStyle w:val="BodyText"/>
        <w:spacing w:before="8"/>
        <w:rPr>
          <w:rFonts w:ascii="Times New Roman"/>
          <w:sz w:val="16"/>
        </w:rPr>
      </w:pPr>
    </w:p>
    <w:p>
      <w:pPr>
        <w:spacing w:before="0"/>
        <w:ind w:left="115" w:right="0" w:firstLine="0"/>
        <w:jc w:val="left"/>
        <w:rPr>
          <w:rFonts w:ascii="Times New Roman"/>
          <w:i/>
          <w:sz w:val="19"/>
        </w:rPr>
      </w:pPr>
      <w:r>
        <w:rPr>
          <w:rFonts w:ascii="Times New Roman"/>
          <w:i/>
          <w:sz w:val="19"/>
        </w:rPr>
        <w:t>Gradient</w:t>
      </w:r>
    </w:p>
    <w:p>
      <w:pPr>
        <w:spacing w:line="283" w:lineRule="auto" w:before="148"/>
        <w:ind w:left="115" w:right="123" w:firstLine="628"/>
        <w:jc w:val="both"/>
        <w:rPr>
          <w:rFonts w:ascii="Times New Roman" w:hAnsi="Times New Roman"/>
          <w:sz w:val="19"/>
        </w:rPr>
      </w:pPr>
      <w:r>
        <w:rPr>
          <w:rFonts w:ascii="Times New Roman" w:hAnsi="Times New Roman"/>
          <w:sz w:val="19"/>
        </w:rPr>
        <w:t>Blood sample and PBS 1 x were used to make a 1: 1 dilution. This mixture was placed in 3 mL of    cold lymphoprep®, centrifuged at 1200 rpm at 4°C for 20 min, then the collected cells were placed in 2 mL    of PBS 1x and centrifuged again at 1500 rpm at 4°C for 5 min (Macey,  </w:t>
      </w:r>
      <w:r>
        <w:rPr>
          <w:rFonts w:ascii="Times New Roman" w:hAnsi="Times New Roman"/>
          <w:spacing w:val="27"/>
          <w:sz w:val="19"/>
        </w:rPr>
        <w:t> </w:t>
      </w:r>
      <w:r>
        <w:rPr>
          <w:rFonts w:ascii="Times New Roman" w:hAnsi="Times New Roman"/>
          <w:sz w:val="19"/>
        </w:rPr>
        <w:t>2007).</w:t>
      </w:r>
    </w:p>
    <w:p>
      <w:pPr>
        <w:pStyle w:val="BodyText"/>
        <w:spacing w:before="1"/>
        <w:rPr>
          <w:rFonts w:ascii="Times New Roman"/>
          <w:sz w:val="17"/>
        </w:rPr>
      </w:pPr>
    </w:p>
    <w:p>
      <w:pPr>
        <w:spacing w:before="0"/>
        <w:ind w:left="115" w:right="0" w:firstLine="0"/>
        <w:jc w:val="left"/>
        <w:rPr>
          <w:rFonts w:ascii="Times New Roman"/>
          <w:i/>
          <w:sz w:val="19"/>
        </w:rPr>
      </w:pPr>
      <w:r>
        <w:rPr>
          <w:rFonts w:ascii="Times New Roman"/>
          <w:i/>
          <w:sz w:val="19"/>
        </w:rPr>
        <w:t>Sample staining</w:t>
      </w:r>
    </w:p>
    <w:p>
      <w:pPr>
        <w:spacing w:line="283" w:lineRule="auto" w:before="144"/>
        <w:ind w:left="115" w:right="109" w:firstLine="628"/>
        <w:jc w:val="both"/>
        <w:rPr>
          <w:rFonts w:ascii="Times New Roman" w:hAnsi="Times New Roman"/>
          <w:sz w:val="19"/>
        </w:rPr>
      </w:pPr>
      <w:r>
        <w:rPr>
          <w:rFonts w:ascii="Times New Roman" w:hAnsi="Times New Roman"/>
          <w:sz w:val="19"/>
        </w:rPr>
        <w:t>After the cell gradient was processed, 20 </w:t>
      </w:r>
      <w:r>
        <w:rPr>
          <w:rFonts w:ascii="Times New Roman" w:hAnsi="Times New Roman"/>
          <w:spacing w:val="7"/>
          <w:sz w:val="19"/>
        </w:rPr>
        <w:t>µL </w:t>
      </w:r>
      <w:r>
        <w:rPr>
          <w:rFonts w:ascii="Times New Roman" w:hAnsi="Times New Roman"/>
          <w:sz w:val="19"/>
        </w:rPr>
        <w:t>of </w:t>
      </w:r>
      <w:r>
        <w:rPr>
          <w:rFonts w:ascii="Times New Roman" w:hAnsi="Times New Roman"/>
          <w:spacing w:val="-4"/>
          <w:sz w:val="19"/>
        </w:rPr>
        <w:t>each </w:t>
      </w:r>
      <w:r>
        <w:rPr>
          <w:rFonts w:ascii="Times New Roman" w:hAnsi="Times New Roman"/>
          <w:sz w:val="19"/>
        </w:rPr>
        <w:t>sample was placed in a 96 well plate and centrifuged at 1500 rpm for 5 min. The supernatant was removed and 50 </w:t>
      </w:r>
      <w:r>
        <w:rPr>
          <w:rFonts w:ascii="Times New Roman" w:hAnsi="Times New Roman"/>
          <w:spacing w:val="7"/>
          <w:sz w:val="19"/>
        </w:rPr>
        <w:t>µL </w:t>
      </w:r>
      <w:r>
        <w:rPr>
          <w:rFonts w:ascii="Times New Roman" w:hAnsi="Times New Roman"/>
          <w:sz w:val="19"/>
        </w:rPr>
        <w:t>of the adequate antibody was incorporated (helper T lymphocytes, cytotoxic T lymphocytes, granulocytes, monocytes). After  30  min  at  4°C incubation, 100 </w:t>
      </w:r>
      <w:r>
        <w:rPr>
          <w:rFonts w:ascii="Times New Roman" w:hAnsi="Times New Roman"/>
          <w:spacing w:val="7"/>
          <w:sz w:val="19"/>
        </w:rPr>
        <w:t>µL </w:t>
      </w:r>
      <w:r>
        <w:rPr>
          <w:rFonts w:ascii="Times New Roman" w:hAnsi="Times New Roman"/>
          <w:sz w:val="19"/>
        </w:rPr>
        <w:t>of PBS 1x was added, centrifuged again and the supernatant removed, while a secondary antibody was added and incubated for 30 min at 4°C. Then a final wash with PBS  1x  was performed. The readings were conducted in a flow cytometer (FacsCalibur) (Macey,  </w:t>
      </w:r>
      <w:r>
        <w:rPr>
          <w:rFonts w:ascii="Times New Roman" w:hAnsi="Times New Roman"/>
          <w:spacing w:val="41"/>
          <w:sz w:val="19"/>
        </w:rPr>
        <w:t> </w:t>
      </w:r>
      <w:r>
        <w:rPr>
          <w:rFonts w:ascii="Times New Roman" w:hAnsi="Times New Roman"/>
          <w:sz w:val="19"/>
        </w:rPr>
        <w:t>2007).</w:t>
      </w:r>
    </w:p>
    <w:p>
      <w:pPr>
        <w:pStyle w:val="BodyText"/>
        <w:spacing w:before="1"/>
        <w:rPr>
          <w:rFonts w:ascii="Times New Roman"/>
          <w:sz w:val="17"/>
        </w:rPr>
      </w:pPr>
    </w:p>
    <w:p>
      <w:pPr>
        <w:spacing w:before="0"/>
        <w:ind w:left="115" w:right="0" w:firstLine="0"/>
        <w:jc w:val="left"/>
        <w:rPr>
          <w:rFonts w:ascii="Times New Roman"/>
          <w:i/>
          <w:sz w:val="19"/>
        </w:rPr>
      </w:pPr>
      <w:r>
        <w:rPr>
          <w:rFonts w:ascii="Times New Roman"/>
          <w:i/>
          <w:sz w:val="19"/>
        </w:rPr>
        <w:t>Chemical analyses and  assays</w:t>
      </w:r>
    </w:p>
    <w:p>
      <w:pPr>
        <w:spacing w:line="283" w:lineRule="auto" w:before="144"/>
        <w:ind w:left="115" w:right="120" w:firstLine="628"/>
        <w:jc w:val="both"/>
        <w:rPr>
          <w:rFonts w:ascii="Times New Roman"/>
          <w:sz w:val="19"/>
        </w:rPr>
      </w:pPr>
      <w:r>
        <w:rPr>
          <w:rFonts w:ascii="Times New Roman"/>
          <w:sz w:val="19"/>
        </w:rPr>
        <w:t>Samples of concentrate and silage were analysed for DM (#934.01), ash (#942.05), N (#954.01) and  EE (#920.39) according to AOAC (1997) and Van Soest </w:t>
      </w:r>
      <w:r>
        <w:rPr>
          <w:rFonts w:ascii="Times New Roman"/>
          <w:i/>
          <w:sz w:val="19"/>
        </w:rPr>
        <w:t>et al. </w:t>
      </w:r>
      <w:r>
        <w:rPr>
          <w:rFonts w:ascii="Times New Roman"/>
          <w:sz w:val="19"/>
        </w:rPr>
        <w:t>(1991). Neutral detergent fibre (NDF), acid detergent fibre (ADF) and lignin (sa) (AOAC, 1997; #973.18) were analysed using an ANKOM 200 Fibre Analyzer Unit (ANKOM Technology Inc., Macedon, NY, USA). The NDF was assayed without use of an alpha amylase but with sodium sulphite. Both NDF and ADF are expressed without residual   </w:t>
      </w:r>
      <w:r>
        <w:rPr>
          <w:rFonts w:ascii="Times New Roman"/>
          <w:spacing w:val="4"/>
          <w:sz w:val="19"/>
        </w:rPr>
        <w:t> </w:t>
      </w:r>
      <w:r>
        <w:rPr>
          <w:rFonts w:ascii="Times New Roman"/>
          <w:sz w:val="19"/>
        </w:rPr>
        <w:t>ash.</w:t>
      </w:r>
    </w:p>
    <w:p>
      <w:pPr>
        <w:pStyle w:val="BodyText"/>
        <w:spacing w:before="10"/>
        <w:rPr>
          <w:rFonts w:ascii="Times New Roman"/>
          <w:sz w:val="16"/>
        </w:rPr>
      </w:pPr>
    </w:p>
    <w:p>
      <w:pPr>
        <w:spacing w:line="283" w:lineRule="auto" w:before="1"/>
        <w:ind w:left="115" w:right="120" w:firstLine="628"/>
        <w:jc w:val="both"/>
        <w:rPr>
          <w:rFonts w:ascii="Times New Roman" w:hAnsi="Times New Roman"/>
          <w:sz w:val="19"/>
        </w:rPr>
      </w:pPr>
      <w:r>
        <w:rPr>
          <w:rFonts w:ascii="Times New Roman" w:hAnsi="Times New Roman"/>
          <w:sz w:val="19"/>
        </w:rPr>
        <w:t>Plant secondary metabolites were determined using 10 mL of extract liquor  and  fractionated  by funnel separation with a double volume of ethyl acetate (99.7/100, analytical grade, Fermont®, Monterrey, Mexico) to determine total phenolics by drying and to quantify the total phenolics layer in the funnel. After total phenolics separation, a double volume of n-butanol (99.9/100, analytical grade, Fermont®, Monterrey, Mexico) was added to fractionate saponins  (Ahmed </w:t>
      </w:r>
      <w:r>
        <w:rPr>
          <w:rFonts w:ascii="Times New Roman" w:hAnsi="Times New Roman"/>
          <w:i/>
          <w:sz w:val="19"/>
        </w:rPr>
        <w:t>et al.</w:t>
      </w:r>
      <w:r>
        <w:rPr>
          <w:rFonts w:ascii="Times New Roman" w:hAnsi="Times New Roman"/>
          <w:sz w:val="19"/>
        </w:rPr>
        <w:t>, 1990). The remaining solution was considered to   be the aqueous fraction which contains the other secondary metabolites, lectins, polypeptides and starch (Cowan, 1999; Table</w:t>
      </w:r>
      <w:r>
        <w:rPr>
          <w:rFonts w:ascii="Times New Roman" w:hAnsi="Times New Roman"/>
          <w:spacing w:val="40"/>
          <w:sz w:val="19"/>
        </w:rPr>
        <w:t> </w:t>
      </w:r>
      <w:r>
        <w:rPr>
          <w:rFonts w:ascii="Times New Roman" w:hAnsi="Times New Roman"/>
          <w:sz w:val="19"/>
        </w:rPr>
        <w:t>1).</w:t>
      </w:r>
    </w:p>
    <w:p>
      <w:pPr>
        <w:pStyle w:val="BodyText"/>
        <w:spacing w:before="10"/>
        <w:rPr>
          <w:rFonts w:ascii="Times New Roman"/>
          <w:sz w:val="16"/>
        </w:rPr>
      </w:pPr>
    </w:p>
    <w:p>
      <w:pPr>
        <w:spacing w:line="283" w:lineRule="auto" w:before="1"/>
        <w:ind w:left="115" w:right="122" w:firstLine="628"/>
        <w:jc w:val="both"/>
        <w:rPr>
          <w:rFonts w:ascii="Times New Roman" w:hAnsi="Times New Roman"/>
          <w:sz w:val="19"/>
        </w:rPr>
      </w:pPr>
      <w:r>
        <w:rPr>
          <w:rFonts w:ascii="Times New Roman" w:hAnsi="Times New Roman"/>
          <w:sz w:val="19"/>
        </w:rPr>
        <w:t>Endoglucanase activity was assayed by liberating glucose from carboxymethyl cellulose, which was determined calorimetrically using alkaline copper reagent as described by Robyt  and  Whelan  (1972).  One unit of endoglucanase catalyzes liberation of one mmol of  glucose/min  from  sodium  carboxymethyl  cellulose at 40°C and pH 4.5. The α-amylase was assayed by its ability to produce reducing groups from  starch, which were measured by reduction of 3,5-dinitrosalicylic acid  (Bernfeld, 1955). One unit    of</w:t>
      </w:r>
    </w:p>
    <w:p>
      <w:pPr>
        <w:spacing w:after="0" w:line="283" w:lineRule="auto"/>
        <w:jc w:val="both"/>
        <w:rPr>
          <w:rFonts w:ascii="Times New Roman" w:hAnsi="Times New Roman"/>
          <w:sz w:val="19"/>
        </w:rPr>
        <w:sectPr>
          <w:pgSz w:w="11900" w:h="16840"/>
          <w:pgMar w:header="0" w:footer="1619" w:top="1600" w:bottom="1860" w:left="160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1"/>
        </w:rPr>
      </w:pPr>
    </w:p>
    <w:p>
      <w:pPr>
        <w:spacing w:line="283" w:lineRule="auto" w:before="0"/>
        <w:ind w:left="176" w:right="101" w:firstLine="79"/>
        <w:jc w:val="both"/>
        <w:rPr>
          <w:rFonts w:ascii="Times New Roman" w:hAnsi="Times New Roman"/>
          <w:sz w:val="19"/>
        </w:rPr>
      </w:pPr>
      <w:r>
        <w:rPr>
          <w:rFonts w:ascii="Times New Roman" w:hAnsi="Times New Roman"/>
          <w:sz w:val="19"/>
        </w:rPr>
        <w:t>α-amylase  catalyzes  liberation of one mmol of reducing groups/min from soluble starch at 25°C and pH   6.0, calculated as maltose equivalents. Protease activity was determined by hydrolysis of dimethyl casein (DMC) and liberated amino acids were determined using 2,4,6-trinitrobenzene sulfonic  acid  (Lin  </w:t>
      </w:r>
      <w:r>
        <w:rPr>
          <w:rFonts w:ascii="Times New Roman" w:hAnsi="Times New Roman"/>
          <w:i/>
          <w:sz w:val="19"/>
        </w:rPr>
        <w:t>et  al.</w:t>
      </w:r>
      <w:r>
        <w:rPr>
          <w:rFonts w:ascii="Times New Roman" w:hAnsi="Times New Roman"/>
          <w:sz w:val="19"/>
        </w:rPr>
        <w:t>, 1969). One DMC-U catalyzes cleavage of one mmol of peptide bond/min from DMC at 25°C and pH 7.0 expressed in terms of newly formed terminal amino groups. Xylanase catalyzes hydrolysis of xylan from oat spelt, and the reducing groups liberated were determined using alkaline copper reagent (Robyt and Whelan, 1972). One unit catalyzes liberation of one mmol reducing groups per hour from xylan at 37°C and pH 5.5, expressed as xylose </w:t>
      </w:r>
      <w:r>
        <w:rPr>
          <w:rFonts w:ascii="Times New Roman" w:hAnsi="Times New Roman"/>
          <w:spacing w:val="1"/>
          <w:sz w:val="19"/>
        </w:rPr>
        <w:t> </w:t>
      </w:r>
      <w:r>
        <w:rPr>
          <w:rFonts w:ascii="Times New Roman" w:hAnsi="Times New Roman"/>
          <w:sz w:val="19"/>
        </w:rPr>
        <w:t>equivalents.</w:t>
      </w:r>
    </w:p>
    <w:p>
      <w:pPr>
        <w:pStyle w:val="BodyText"/>
        <w:spacing w:before="10"/>
        <w:rPr>
          <w:rFonts w:ascii="Times New Roman"/>
          <w:sz w:val="16"/>
        </w:rPr>
      </w:pPr>
    </w:p>
    <w:p>
      <w:pPr>
        <w:spacing w:before="1"/>
        <w:ind w:left="176" w:right="0" w:firstLine="0"/>
        <w:jc w:val="both"/>
        <w:rPr>
          <w:rFonts w:ascii="Times New Roman"/>
          <w:i/>
          <w:sz w:val="19"/>
        </w:rPr>
      </w:pPr>
      <w:r>
        <w:rPr>
          <w:rFonts w:ascii="Times New Roman"/>
          <w:i/>
          <w:sz w:val="19"/>
        </w:rPr>
        <w:t>Statistical analyses</w:t>
      </w:r>
    </w:p>
    <w:p>
      <w:pPr>
        <w:spacing w:line="283" w:lineRule="auto" w:before="148"/>
        <w:ind w:left="175" w:right="100" w:firstLine="628"/>
        <w:jc w:val="both"/>
        <w:rPr>
          <w:rFonts w:ascii="Times New Roman" w:hAnsi="Times New Roman"/>
          <w:sz w:val="19"/>
        </w:rPr>
      </w:pPr>
      <w:r>
        <w:rPr>
          <w:rFonts w:ascii="Times New Roman" w:hAnsi="Times New Roman"/>
          <w:sz w:val="19"/>
        </w:rPr>
        <w:t>Data related to immunological parameters were analysed using the  MIXED  procedure  of  SAS  (2002) with repeated measures (Littell </w:t>
      </w:r>
      <w:r>
        <w:rPr>
          <w:rFonts w:ascii="Times New Roman" w:hAnsi="Times New Roman"/>
          <w:i/>
          <w:sz w:val="19"/>
        </w:rPr>
        <w:t>et al.</w:t>
      </w:r>
      <w:r>
        <w:rPr>
          <w:rFonts w:ascii="Times New Roman" w:hAnsi="Times New Roman"/>
          <w:sz w:val="19"/>
        </w:rPr>
        <w:t>, 1998). The structure of the variance-covariance error matrix employed was  unstructured, based  on  Bayesian criteria observed with several alternative structures. Terms   in the model were diet (</w:t>
      </w:r>
      <w:r>
        <w:rPr>
          <w:rFonts w:ascii="Times New Roman" w:hAnsi="Times New Roman"/>
          <w:i/>
          <w:sz w:val="19"/>
        </w:rPr>
        <w:t>i.e., </w:t>
      </w:r>
      <w:r>
        <w:rPr>
          <w:rFonts w:ascii="Times New Roman" w:hAnsi="Times New Roman"/>
          <w:sz w:val="19"/>
        </w:rPr>
        <w:t>control, SB, EZ, EZSB), days of sampling (</w:t>
      </w:r>
      <w:r>
        <w:rPr>
          <w:rFonts w:ascii="Times New Roman" w:hAnsi="Times New Roman"/>
          <w:i/>
          <w:sz w:val="19"/>
        </w:rPr>
        <w:t>i.e., </w:t>
      </w:r>
      <w:r>
        <w:rPr>
          <w:rFonts w:ascii="Times New Roman" w:hAnsi="Times New Roman"/>
          <w:sz w:val="19"/>
        </w:rPr>
        <w:t>0, 15, 30, 45 and 60 of the experiment) and its linear, quadratic and cubic effects. The repeated term was sampling days,  with lamb  within diet as the subject. Results are  reported in Tables and in text  with their respective  standard  error of  the mean. Tests of simple effects were used to partition interaction effects by diet in order to test effects of period separately for each diet using SAS. Significant differences between treatment means and time were assessed using Tukey’s test at P&lt;0.05 level. Additionally,  correlation analyses between ADG and each of     the four immunological parameters (</w:t>
      </w:r>
      <w:r>
        <w:rPr>
          <w:rFonts w:ascii="Times New Roman" w:hAnsi="Times New Roman"/>
          <w:i/>
          <w:sz w:val="19"/>
        </w:rPr>
        <w:t>i.e., </w:t>
      </w:r>
      <w:r>
        <w:rPr>
          <w:rFonts w:ascii="Times New Roman" w:hAnsi="Times New Roman"/>
          <w:sz w:val="19"/>
        </w:rPr>
        <w:t>helper T lymphocytes, cytotoxic T lymphocytes, granulocytes and monocytes) for treatment and day of sample were performed using PROC CORR of  </w:t>
      </w:r>
      <w:r>
        <w:rPr>
          <w:rFonts w:ascii="Times New Roman" w:hAnsi="Times New Roman"/>
          <w:spacing w:val="38"/>
          <w:sz w:val="19"/>
        </w:rPr>
        <w:t> </w:t>
      </w:r>
      <w:r>
        <w:rPr>
          <w:rFonts w:ascii="Times New Roman" w:hAnsi="Times New Roman"/>
          <w:sz w:val="19"/>
        </w:rPr>
        <w:t>SAS.</w:t>
      </w:r>
    </w:p>
    <w:p>
      <w:pPr>
        <w:pStyle w:val="BodyText"/>
        <w:spacing w:before="7"/>
        <w:rPr>
          <w:rFonts w:ascii="Times New Roman"/>
          <w:sz w:val="18"/>
        </w:rPr>
      </w:pPr>
    </w:p>
    <w:p>
      <w:pPr>
        <w:spacing w:before="0"/>
        <w:ind w:left="115" w:right="102" w:firstLine="0"/>
        <w:jc w:val="left"/>
        <w:rPr>
          <w:rFonts w:ascii="Times New Roman"/>
          <w:b/>
          <w:sz w:val="21"/>
        </w:rPr>
      </w:pPr>
      <w:r>
        <w:rPr>
          <w:rFonts w:ascii="Times New Roman"/>
          <w:b/>
          <w:sz w:val="21"/>
        </w:rPr>
        <w:t>RESULTS</w:t>
      </w:r>
    </w:p>
    <w:p>
      <w:pPr>
        <w:pStyle w:val="BodyText"/>
        <w:spacing w:before="3"/>
        <w:rPr>
          <w:rFonts w:ascii="Times New Roman"/>
          <w:b/>
          <w:sz w:val="20"/>
        </w:rPr>
      </w:pPr>
    </w:p>
    <w:p>
      <w:pPr>
        <w:spacing w:before="0"/>
        <w:ind w:left="175" w:right="0" w:firstLine="0"/>
        <w:jc w:val="both"/>
        <w:rPr>
          <w:rFonts w:ascii="Times New Roman"/>
          <w:i/>
          <w:sz w:val="19"/>
        </w:rPr>
      </w:pPr>
      <w:r>
        <w:rPr>
          <w:rFonts w:ascii="Times New Roman"/>
          <w:i/>
          <w:sz w:val="19"/>
        </w:rPr>
        <w:t>Effect of EZ on immunological  parameters</w:t>
      </w:r>
    </w:p>
    <w:p>
      <w:pPr>
        <w:spacing w:line="283" w:lineRule="auto" w:before="146"/>
        <w:ind w:left="175" w:right="102" w:firstLine="628"/>
        <w:jc w:val="both"/>
        <w:rPr>
          <w:rFonts w:ascii="Times New Roman"/>
          <w:sz w:val="19"/>
        </w:rPr>
      </w:pPr>
      <w:r>
        <w:rPr>
          <w:rFonts w:ascii="Times New Roman"/>
          <w:sz w:val="19"/>
        </w:rPr>
        <w:t>Treatment resulted in no differences on the four immunological parameters measured (Table 2). Addition of this additive resulted in no effects on DMI and ADG (Table  2).  Similarly,  no  correlations between ADG and each of the immunological parameters such as helper T lymphocytes, cytotoxic T lymphocytes, granulocytes and monocytes were  registered.</w:t>
      </w:r>
    </w:p>
    <w:p>
      <w:pPr>
        <w:pStyle w:val="BodyText"/>
        <w:spacing w:before="1"/>
        <w:rPr>
          <w:rFonts w:ascii="Times New Roman"/>
          <w:sz w:val="17"/>
        </w:rPr>
      </w:pPr>
    </w:p>
    <w:p>
      <w:pPr>
        <w:spacing w:before="0"/>
        <w:ind w:left="175" w:right="0" w:firstLine="0"/>
        <w:jc w:val="both"/>
        <w:rPr>
          <w:rFonts w:ascii="Times New Roman"/>
          <w:i/>
          <w:sz w:val="19"/>
        </w:rPr>
      </w:pPr>
      <w:r>
        <w:rPr>
          <w:rFonts w:ascii="Times New Roman"/>
          <w:i/>
          <w:sz w:val="19"/>
        </w:rPr>
        <w:t>Effect of SB extract on immunological  parameters</w:t>
      </w:r>
    </w:p>
    <w:p>
      <w:pPr>
        <w:spacing w:line="283" w:lineRule="auto" w:before="146"/>
        <w:ind w:left="175" w:right="100" w:firstLine="628"/>
        <w:jc w:val="both"/>
        <w:rPr>
          <w:rFonts w:ascii="Times New Roman"/>
          <w:sz w:val="19"/>
        </w:rPr>
      </w:pPr>
      <w:r>
        <w:rPr>
          <w:rFonts w:ascii="Times New Roman"/>
          <w:sz w:val="19"/>
        </w:rPr>
        <w:t>There were no differences among treatments due to incorporation of SB to the diets of lambs. The values of helper T lymphocytes and cytotoxic T lymphocytes increased in lambs offered SB compared to the control. Granulocytes and monocytes, however, decreased in lambs fed SB compared to the control (Table     2). The DMI and ADG were unaffected by the intake of </w:t>
      </w:r>
      <w:r>
        <w:rPr>
          <w:rFonts w:ascii="Times New Roman"/>
          <w:i/>
          <w:sz w:val="19"/>
        </w:rPr>
        <w:t>S. babylonica </w:t>
      </w:r>
      <w:r>
        <w:rPr>
          <w:rFonts w:ascii="Times New Roman"/>
          <w:sz w:val="19"/>
        </w:rPr>
        <w:t>extract (Table 2). The ADG was not correlated with helper  T lymphocytes or cytotoxic  T lymphocytes.  The same  </w:t>
      </w:r>
      <w:r>
        <w:rPr>
          <w:rFonts w:ascii="Times New Roman"/>
          <w:spacing w:val="31"/>
          <w:sz w:val="19"/>
        </w:rPr>
        <w:t> </w:t>
      </w:r>
      <w:r>
        <w:rPr>
          <w:rFonts w:ascii="Times New Roman"/>
          <w:sz w:val="19"/>
        </w:rPr>
        <w:t>trend</w:t>
      </w:r>
    </w:p>
    <w:p>
      <w:pPr>
        <w:spacing w:after="0" w:line="283" w:lineRule="auto"/>
        <w:jc w:val="both"/>
        <w:rPr>
          <w:rFonts w:ascii="Times New Roman"/>
          <w:sz w:val="19"/>
        </w:rPr>
        <w:sectPr>
          <w:pgSz w:w="11900" w:h="16840"/>
          <w:pgMar w:header="0" w:footer="1619" w:top="1600" w:bottom="1860" w:left="1540" w:right="1600"/>
        </w:sectPr>
      </w:pPr>
    </w:p>
    <w:p>
      <w:pPr>
        <w:pStyle w:val="BodyText"/>
        <w:spacing w:before="5"/>
        <w:rPr>
          <w:rFonts w:ascii="Times New Roman"/>
          <w:sz w:val="5"/>
        </w:rPr>
      </w:pPr>
    </w:p>
    <w:p>
      <w:pPr>
        <w:pStyle w:val="BodyText"/>
        <w:ind w:left="100"/>
        <w:rPr>
          <w:rFonts w:ascii="Times New Roman"/>
          <w:sz w:val="20"/>
        </w:rPr>
      </w:pPr>
      <w:r>
        <w:rPr>
          <w:rFonts w:ascii="Times New Roman"/>
          <w:sz w:val="20"/>
        </w:rPr>
        <w:drawing>
          <wp:inline distT="0" distB="0" distL="0" distR="0">
            <wp:extent cx="5343796" cy="8036242"/>
            <wp:effectExtent l="0" t="0" r="0" b="0"/>
            <wp:docPr id="139" name="image191.png" descr=""/>
            <wp:cNvGraphicFramePr>
              <a:graphicFrameLocks noChangeAspect="1"/>
            </wp:cNvGraphicFramePr>
            <a:graphic>
              <a:graphicData uri="http://schemas.openxmlformats.org/drawingml/2006/picture">
                <pic:pic>
                  <pic:nvPicPr>
                    <pic:cNvPr id="140" name="image191.png"/>
                    <pic:cNvPicPr/>
                  </pic:nvPicPr>
                  <pic:blipFill>
                    <a:blip r:embed="rId208" cstate="print"/>
                    <a:stretch>
                      <a:fillRect/>
                    </a:stretch>
                  </pic:blipFill>
                  <pic:spPr>
                    <a:xfrm>
                      <a:off x="0" y="0"/>
                      <a:ext cx="5343796" cy="8036242"/>
                    </a:xfrm>
                    <a:prstGeom prst="rect">
                      <a:avLst/>
                    </a:prstGeom>
                  </pic:spPr>
                </pic:pic>
              </a:graphicData>
            </a:graphic>
          </wp:inline>
        </w:drawing>
      </w:r>
      <w:r>
        <w:rPr>
          <w:rFonts w:ascii="Times New Roman"/>
          <w:sz w:val="20"/>
        </w:rPr>
      </w:r>
    </w:p>
    <w:p>
      <w:pPr>
        <w:spacing w:after="0"/>
        <w:rPr>
          <w:rFonts w:ascii="Times New Roman"/>
          <w:sz w:val="20"/>
        </w:rPr>
        <w:sectPr>
          <w:pgSz w:w="11900" w:h="16840"/>
          <w:pgMar w:header="0" w:footer="1619" w:top="1600" w:bottom="1800" w:left="980" w:right="1680"/>
        </w:sectPr>
      </w:pPr>
    </w:p>
    <w:p>
      <w:pPr>
        <w:pStyle w:val="BodyText"/>
        <w:rPr>
          <w:rFonts w:ascii="Times New Roman"/>
          <w:sz w:val="20"/>
        </w:rPr>
      </w:pPr>
    </w:p>
    <w:p>
      <w:pPr>
        <w:pStyle w:val="BodyText"/>
        <w:spacing w:before="9"/>
        <w:rPr>
          <w:rFonts w:ascii="Times New Roman"/>
          <w:sz w:val="15"/>
        </w:rPr>
      </w:pPr>
    </w:p>
    <w:p>
      <w:pPr>
        <w:spacing w:line="283" w:lineRule="auto" w:before="79"/>
        <w:ind w:left="115" w:right="117" w:firstLine="0"/>
        <w:jc w:val="both"/>
        <w:rPr>
          <w:rFonts w:ascii="Times New Roman"/>
          <w:sz w:val="19"/>
        </w:rPr>
      </w:pPr>
      <w:r>
        <w:rPr>
          <w:rFonts w:ascii="Times New Roman"/>
          <w:sz w:val="19"/>
        </w:rPr>
        <w:t>was observed for granulocytes (r=-0.73, P=0.27) and monocytes (r=-0.88, P=0.12)  as  shown in  Table 3. Helper T lymphocytes values were also not correlated to treatment EZSB (r=0.58, P=0.42), while they were negatively correlated to cytotoxic T lymphocytes (r=-0.97, P=0.03). Granulocytes tended to be negatively correlated (r=  -0.91, P=0.09) to the same </w:t>
      </w:r>
      <w:r>
        <w:rPr>
          <w:rFonts w:ascii="Times New Roman"/>
          <w:spacing w:val="29"/>
          <w:sz w:val="19"/>
        </w:rPr>
        <w:t> </w:t>
      </w:r>
      <w:r>
        <w:rPr>
          <w:rFonts w:ascii="Times New Roman"/>
          <w:sz w:val="19"/>
        </w:rPr>
        <w:t>treatment.</w:t>
      </w:r>
    </w:p>
    <w:p>
      <w:pPr>
        <w:pStyle w:val="BodyText"/>
        <w:spacing w:before="1"/>
        <w:rPr>
          <w:rFonts w:ascii="Times New Roman"/>
          <w:sz w:val="17"/>
        </w:rPr>
      </w:pPr>
    </w:p>
    <w:p>
      <w:pPr>
        <w:spacing w:before="0"/>
        <w:ind w:left="176" w:right="0" w:firstLine="0"/>
        <w:jc w:val="both"/>
        <w:rPr>
          <w:rFonts w:ascii="Times New Roman"/>
          <w:i/>
          <w:sz w:val="19"/>
        </w:rPr>
      </w:pPr>
      <w:r>
        <w:rPr>
          <w:rFonts w:ascii="Times New Roman"/>
          <w:i/>
          <w:sz w:val="19"/>
        </w:rPr>
        <w:t>Effect of the time of sampling on immunological  parameters</w:t>
      </w:r>
    </w:p>
    <w:p>
      <w:pPr>
        <w:spacing w:line="283" w:lineRule="auto" w:before="146"/>
        <w:ind w:left="175" w:right="121" w:firstLine="628"/>
        <w:jc w:val="both"/>
        <w:rPr>
          <w:rFonts w:ascii="Times New Roman"/>
          <w:sz w:val="19"/>
        </w:rPr>
      </w:pPr>
      <w:r>
        <w:rPr>
          <w:rFonts w:ascii="Times New Roman"/>
          <w:sz w:val="19"/>
        </w:rPr>
        <w:t>The effect of time of sampling was different among treatments. Helper T lymphocytes values  increased (P=0.01, linear and cubic effect), on day 30 and 45 compared with the day 15 when this value decreased. In the case of cytotoxic T lymphocytes, the values increased (P=0.01, cubic effect) on day 15, 45 and 60 and decreased on day 0 and 30. The values of granulocytes increased (P=0.01, linear and cubic     effect), on day 15 compared to days 0, 30, 45 and 60 of the  experiment.  In  accordance, monocytes  values also increased (P=0.01, linear and quadratic effect) on day 45 and 60 and decreased on day 0 and 15 and 30 (Table 2). There were no correlations between some immunity parameters and  </w:t>
      </w:r>
      <w:r>
        <w:rPr>
          <w:rFonts w:ascii="Times New Roman"/>
          <w:spacing w:val="37"/>
          <w:sz w:val="19"/>
        </w:rPr>
        <w:t> </w:t>
      </w:r>
      <w:r>
        <w:rPr>
          <w:rFonts w:ascii="Times New Roman"/>
          <w:sz w:val="19"/>
        </w:rPr>
        <w:t>ADG.</w:t>
      </w:r>
    </w:p>
    <w:p>
      <w:pPr>
        <w:pStyle w:val="BodyText"/>
        <w:spacing w:before="10"/>
        <w:rPr>
          <w:rFonts w:ascii="Times New Roman"/>
          <w:sz w:val="18"/>
        </w:rPr>
      </w:pPr>
    </w:p>
    <w:p>
      <w:pPr>
        <w:spacing w:before="0"/>
        <w:ind w:left="115" w:right="0" w:firstLine="0"/>
        <w:jc w:val="both"/>
        <w:rPr>
          <w:rFonts w:ascii="Times New Roman"/>
          <w:b/>
          <w:sz w:val="21"/>
        </w:rPr>
      </w:pPr>
      <w:r>
        <w:rPr>
          <w:rFonts w:ascii="Times New Roman"/>
          <w:b/>
          <w:sz w:val="21"/>
        </w:rPr>
        <w:t>DISCUSSION</w:t>
      </w:r>
    </w:p>
    <w:p>
      <w:pPr>
        <w:pStyle w:val="BodyText"/>
        <w:rPr>
          <w:rFonts w:ascii="Times New Roman"/>
          <w:b/>
          <w:sz w:val="20"/>
        </w:rPr>
      </w:pPr>
    </w:p>
    <w:p>
      <w:pPr>
        <w:spacing w:before="1"/>
        <w:ind w:left="175" w:right="0" w:firstLine="0"/>
        <w:jc w:val="both"/>
        <w:rPr>
          <w:rFonts w:ascii="Times New Roman"/>
          <w:i/>
          <w:sz w:val="19"/>
        </w:rPr>
      </w:pPr>
      <w:r>
        <w:rPr>
          <w:rFonts w:ascii="Times New Roman"/>
          <w:i/>
          <w:sz w:val="19"/>
        </w:rPr>
        <w:t>Effect of EZ on immunological  parameters</w:t>
      </w:r>
    </w:p>
    <w:p>
      <w:pPr>
        <w:spacing w:line="283" w:lineRule="auto" w:before="148"/>
        <w:ind w:left="175" w:right="119" w:firstLine="628"/>
        <w:jc w:val="both"/>
        <w:rPr>
          <w:rFonts w:ascii="Times New Roman"/>
          <w:sz w:val="19"/>
        </w:rPr>
      </w:pPr>
      <w:r>
        <w:rPr>
          <w:rFonts w:ascii="Times New Roman"/>
          <w:sz w:val="19"/>
        </w:rPr>
        <w:t>There is no available literature on the impact of EZ on the immunological status in ruminants and in this study addition of EZ did not produce negative effects on  immunological  parameters.  In  a  previous study, researchers did not observe adverse effects on animal health when they use 10 g of EZ per lamb/day (Salem </w:t>
      </w:r>
      <w:r>
        <w:rPr>
          <w:rFonts w:ascii="Times New Roman"/>
          <w:i/>
          <w:sz w:val="19"/>
        </w:rPr>
        <w:t>et al.</w:t>
      </w:r>
      <w:r>
        <w:rPr>
          <w:rFonts w:ascii="Times New Roman"/>
          <w:sz w:val="19"/>
        </w:rPr>
        <w:t>,</w:t>
      </w:r>
      <w:r>
        <w:rPr>
          <w:rFonts w:ascii="Times New Roman"/>
          <w:spacing w:val="32"/>
          <w:sz w:val="19"/>
        </w:rPr>
        <w:t> </w:t>
      </w:r>
      <w:r>
        <w:rPr>
          <w:rFonts w:ascii="Times New Roman"/>
          <w:sz w:val="19"/>
        </w:rPr>
        <w:t>2011a).</w:t>
      </w:r>
    </w:p>
    <w:p>
      <w:pPr>
        <w:pStyle w:val="BodyText"/>
        <w:spacing w:before="1"/>
        <w:rPr>
          <w:rFonts w:ascii="Times New Roman"/>
          <w:sz w:val="17"/>
        </w:rPr>
      </w:pPr>
    </w:p>
    <w:p>
      <w:pPr>
        <w:spacing w:line="283" w:lineRule="auto" w:before="0"/>
        <w:ind w:left="175" w:right="121" w:firstLine="628"/>
        <w:jc w:val="both"/>
        <w:rPr>
          <w:rFonts w:ascii="Times New Roman"/>
          <w:sz w:val="19"/>
        </w:rPr>
      </w:pPr>
      <w:r>
        <w:rPr>
          <w:rFonts w:ascii="Times New Roman"/>
          <w:sz w:val="19"/>
        </w:rPr>
        <w:t>However, enzymes are not routinely used in ruminant diets because it is generally assumed  the enzyme proteins would be rapidly degraded by ruminal microbes  (Beauchemin </w:t>
      </w:r>
      <w:r>
        <w:rPr>
          <w:rFonts w:ascii="Times New Roman"/>
          <w:i/>
          <w:sz w:val="19"/>
        </w:rPr>
        <w:t>et al.</w:t>
      </w:r>
      <w:r>
        <w:rPr>
          <w:rFonts w:ascii="Times New Roman"/>
          <w:sz w:val="19"/>
        </w:rPr>
        <w:t>, 1995; Beauchemin </w:t>
      </w:r>
      <w:r>
        <w:rPr>
          <w:rFonts w:ascii="Times New Roman"/>
          <w:i/>
          <w:sz w:val="19"/>
        </w:rPr>
        <w:t>et  </w:t>
      </w:r>
      <w:r>
        <w:rPr>
          <w:rFonts w:ascii="Times New Roman"/>
          <w:i/>
          <w:sz w:val="19"/>
        </w:rPr>
        <w:t>al.</w:t>
      </w:r>
      <w:r>
        <w:rPr>
          <w:rFonts w:ascii="Times New Roman"/>
          <w:sz w:val="19"/>
        </w:rPr>
        <w:t>, 2003). Addition of EZ to lamb diets did not resulted in correlations between ADG and the helper T lymphocytes and monocytes which suggests that when the animals are able to meet their  nutrient  requirements, they are capable of initiating immune response against antigens (Erickson  </w:t>
      </w:r>
      <w:r>
        <w:rPr>
          <w:rFonts w:ascii="Times New Roman"/>
          <w:i/>
          <w:sz w:val="19"/>
        </w:rPr>
        <w:t>et  al.</w:t>
      </w:r>
      <w:r>
        <w:rPr>
          <w:rFonts w:ascii="Times New Roman"/>
          <w:sz w:val="19"/>
        </w:rPr>
        <w:t>,  2000;  Mitchell </w:t>
      </w:r>
      <w:r>
        <w:rPr>
          <w:rFonts w:ascii="Times New Roman"/>
          <w:i/>
          <w:sz w:val="19"/>
        </w:rPr>
        <w:t>et al.</w:t>
      </w:r>
      <w:r>
        <w:rPr>
          <w:rFonts w:ascii="Times New Roman"/>
          <w:sz w:val="19"/>
        </w:rPr>
        <w:t>, 2003; Enwonwu, </w:t>
      </w:r>
      <w:r>
        <w:rPr>
          <w:rFonts w:ascii="Times New Roman"/>
          <w:spacing w:val="15"/>
          <w:sz w:val="19"/>
        </w:rPr>
        <w:t> </w:t>
      </w:r>
      <w:r>
        <w:rPr>
          <w:rFonts w:ascii="Times New Roman"/>
          <w:sz w:val="19"/>
        </w:rPr>
        <w:t>2006).</w:t>
      </w:r>
    </w:p>
    <w:p>
      <w:pPr>
        <w:pStyle w:val="BodyText"/>
        <w:spacing w:before="10"/>
        <w:rPr>
          <w:rFonts w:ascii="Times New Roman"/>
          <w:sz w:val="16"/>
        </w:rPr>
      </w:pPr>
    </w:p>
    <w:p>
      <w:pPr>
        <w:spacing w:before="1"/>
        <w:ind w:left="175" w:right="0" w:firstLine="0"/>
        <w:jc w:val="both"/>
        <w:rPr>
          <w:rFonts w:ascii="Times New Roman"/>
          <w:i/>
          <w:sz w:val="19"/>
        </w:rPr>
      </w:pPr>
      <w:r>
        <w:rPr>
          <w:rFonts w:ascii="Times New Roman"/>
          <w:i/>
          <w:sz w:val="19"/>
        </w:rPr>
        <w:t>Effect of SB extract on immunological  parameters</w:t>
      </w:r>
    </w:p>
    <w:p>
      <w:pPr>
        <w:spacing w:line="283" w:lineRule="auto" w:before="148"/>
        <w:ind w:left="175" w:right="119" w:firstLine="628"/>
        <w:jc w:val="both"/>
        <w:rPr>
          <w:rFonts w:ascii="Times New Roman"/>
          <w:sz w:val="19"/>
        </w:rPr>
      </w:pPr>
      <w:r>
        <w:rPr>
          <w:rFonts w:ascii="Times New Roman"/>
          <w:sz w:val="19"/>
        </w:rPr>
        <w:t>Extract of </w:t>
      </w:r>
      <w:r>
        <w:rPr>
          <w:rFonts w:ascii="Times New Roman"/>
          <w:i/>
          <w:sz w:val="19"/>
        </w:rPr>
        <w:t>S. babylonica </w:t>
      </w:r>
      <w:r>
        <w:rPr>
          <w:rFonts w:ascii="Times New Roman"/>
          <w:sz w:val="19"/>
        </w:rPr>
        <w:t>L. did not result in a detrimetal effect on immunological parameters in the present study, which was probably due to the low concentrations of  secondary  compounds  (principally tannins and saponins) which were dosed daily to the lambs   (Khalil and El-Adawy, 1994). Others studies   have indicated negative effects of tannins and saponins on red and white blood cells  counts resulting in  anemia and immune deficiency (Adedapo </w:t>
      </w:r>
      <w:r>
        <w:rPr>
          <w:rFonts w:ascii="Times New Roman"/>
          <w:i/>
          <w:sz w:val="19"/>
        </w:rPr>
        <w:t>et al.</w:t>
      </w:r>
      <w:r>
        <w:rPr>
          <w:rFonts w:ascii="Times New Roman"/>
          <w:sz w:val="19"/>
        </w:rPr>
        <w:t>, 2005; Adedapo </w:t>
      </w:r>
      <w:r>
        <w:rPr>
          <w:rFonts w:ascii="Times New Roman"/>
          <w:i/>
          <w:sz w:val="19"/>
        </w:rPr>
        <w:t>et al.</w:t>
      </w:r>
      <w:r>
        <w:rPr>
          <w:rFonts w:ascii="Times New Roman"/>
          <w:sz w:val="19"/>
        </w:rPr>
        <w:t>, 2007; Mahgoub </w:t>
      </w:r>
      <w:r>
        <w:rPr>
          <w:rFonts w:ascii="Times New Roman"/>
          <w:i/>
          <w:sz w:val="19"/>
        </w:rPr>
        <w:t>et al.</w:t>
      </w:r>
      <w:r>
        <w:rPr>
          <w:rFonts w:ascii="Times New Roman"/>
          <w:sz w:val="19"/>
        </w:rPr>
        <w:t>, 2008). The absence of a negative effect on white  blood cells in our study indicates that the  SB extract is innocuous to   this kind of cells. However, the same dose of SB extract used in other experiments showed anti-helmintic properties reducing intestinal </w:t>
      </w:r>
      <w:r>
        <w:rPr>
          <w:rFonts w:ascii="Times New Roman"/>
          <w:spacing w:val="4"/>
          <w:sz w:val="19"/>
        </w:rPr>
        <w:t> </w:t>
      </w:r>
      <w:r>
        <w:rPr>
          <w:rFonts w:ascii="Times New Roman"/>
          <w:sz w:val="19"/>
        </w:rPr>
        <w:t>worm</w:t>
      </w:r>
    </w:p>
    <w:p>
      <w:pPr>
        <w:spacing w:after="0" w:line="283" w:lineRule="auto"/>
        <w:jc w:val="both"/>
        <w:rPr>
          <w:rFonts w:ascii="Times New Roman"/>
          <w:sz w:val="19"/>
        </w:rPr>
        <w:sectPr>
          <w:pgSz w:w="11900" w:h="16840"/>
          <w:pgMar w:header="0" w:footer="1619" w:top="1600" w:bottom="1800" w:left="154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20"/>
        </w:rPr>
      </w:pPr>
    </w:p>
    <w:p>
      <w:pPr>
        <w:spacing w:line="283" w:lineRule="auto" w:before="0"/>
        <w:ind w:left="115" w:right="117" w:firstLine="0"/>
        <w:jc w:val="left"/>
        <w:rPr>
          <w:rFonts w:ascii="Times New Roman"/>
          <w:sz w:val="19"/>
        </w:rPr>
      </w:pPr>
      <w:r>
        <w:rPr>
          <w:rFonts w:ascii="Times New Roman"/>
          <w:sz w:val="19"/>
        </w:rPr>
        <w:t>loads up to 40%, which represent an important effect for animal health, moreover,  feed  intake was not  affected by extract addition as occurred in the present study  (Salem </w:t>
      </w:r>
      <w:r>
        <w:rPr>
          <w:rFonts w:ascii="Times New Roman"/>
          <w:i/>
          <w:sz w:val="19"/>
        </w:rPr>
        <w:t>et al.</w:t>
      </w:r>
      <w:r>
        <w:rPr>
          <w:rFonts w:ascii="Times New Roman"/>
          <w:sz w:val="19"/>
        </w:rPr>
        <w:t>,  </w:t>
      </w:r>
      <w:r>
        <w:rPr>
          <w:rFonts w:ascii="Times New Roman"/>
          <w:spacing w:val="27"/>
          <w:sz w:val="19"/>
        </w:rPr>
        <w:t> </w:t>
      </w:r>
      <w:r>
        <w:rPr>
          <w:rFonts w:ascii="Times New Roman"/>
          <w:sz w:val="19"/>
        </w:rPr>
        <w:t>2011b).</w:t>
      </w:r>
    </w:p>
    <w:p>
      <w:pPr>
        <w:pStyle w:val="BodyText"/>
        <w:spacing w:before="1"/>
        <w:rPr>
          <w:rFonts w:ascii="Times New Roman"/>
          <w:sz w:val="17"/>
        </w:rPr>
      </w:pPr>
    </w:p>
    <w:p>
      <w:pPr>
        <w:spacing w:line="283" w:lineRule="auto" w:before="0"/>
        <w:ind w:left="115" w:right="100" w:firstLine="628"/>
        <w:jc w:val="both"/>
        <w:rPr>
          <w:rFonts w:ascii="Times New Roman"/>
          <w:sz w:val="19"/>
        </w:rPr>
      </w:pPr>
      <w:r>
        <w:rPr>
          <w:rFonts w:ascii="Times New Roman"/>
          <w:sz w:val="19"/>
        </w:rPr>
        <w:t>We did not observe negative effects of ethanol present in the extract which in others studies  has  shown immunosuppressive effects by inhibition of enzymatic pathways (Hote </w:t>
      </w:r>
      <w:r>
        <w:rPr>
          <w:rFonts w:ascii="Times New Roman"/>
          <w:i/>
          <w:sz w:val="19"/>
        </w:rPr>
        <w:t>et al.</w:t>
      </w:r>
      <w:r>
        <w:rPr>
          <w:rFonts w:ascii="Times New Roman"/>
          <w:sz w:val="19"/>
        </w:rPr>
        <w:t>, 2008), therefore demonstrating that the ethanol content in the extract of </w:t>
      </w:r>
      <w:r>
        <w:rPr>
          <w:rFonts w:ascii="Times New Roman"/>
          <w:i/>
          <w:sz w:val="19"/>
        </w:rPr>
        <w:t>S. babylonica </w:t>
      </w:r>
      <w:r>
        <w:rPr>
          <w:rFonts w:ascii="Times New Roman"/>
          <w:sz w:val="19"/>
        </w:rPr>
        <w:t>L. is safe to lambs. Our results are not     in accordance to those reported by Mahgoub </w:t>
      </w:r>
      <w:r>
        <w:rPr>
          <w:rFonts w:ascii="Times New Roman"/>
          <w:i/>
          <w:sz w:val="19"/>
        </w:rPr>
        <w:t>et al. </w:t>
      </w:r>
      <w:r>
        <w:rPr>
          <w:rFonts w:ascii="Times New Roman"/>
          <w:sz w:val="19"/>
        </w:rPr>
        <w:t>(2008) and Adedapo </w:t>
      </w:r>
      <w:r>
        <w:rPr>
          <w:rFonts w:ascii="Times New Roman"/>
          <w:i/>
          <w:sz w:val="19"/>
        </w:rPr>
        <w:t>et al. </w:t>
      </w:r>
      <w:r>
        <w:rPr>
          <w:rFonts w:ascii="Times New Roman"/>
          <w:sz w:val="19"/>
        </w:rPr>
        <w:t>(2007) who observed negative effects on white blood cells in sheep consuming diets rich in secondary  compounds  or  extracts  from  different</w:t>
      </w:r>
      <w:r>
        <w:rPr>
          <w:rFonts w:ascii="Times New Roman"/>
          <w:spacing w:val="25"/>
          <w:sz w:val="19"/>
        </w:rPr>
        <w:t> </w:t>
      </w:r>
      <w:r>
        <w:rPr>
          <w:rFonts w:ascii="Times New Roman"/>
          <w:sz w:val="19"/>
        </w:rPr>
        <w:t>plants.</w:t>
      </w:r>
    </w:p>
    <w:p>
      <w:pPr>
        <w:pStyle w:val="BodyText"/>
        <w:spacing w:before="10"/>
        <w:rPr>
          <w:rFonts w:ascii="Times New Roman"/>
          <w:sz w:val="16"/>
        </w:rPr>
      </w:pPr>
    </w:p>
    <w:p>
      <w:pPr>
        <w:spacing w:line="283" w:lineRule="auto" w:before="1"/>
        <w:ind w:left="115" w:right="100" w:firstLine="628"/>
        <w:jc w:val="both"/>
        <w:rPr>
          <w:rFonts w:ascii="Times New Roman"/>
          <w:sz w:val="19"/>
        </w:rPr>
      </w:pPr>
      <w:r>
        <w:rPr>
          <w:rFonts w:ascii="Times New Roman"/>
          <w:sz w:val="19"/>
        </w:rPr>
        <w:t>There were no correlations between ADG and the cytotoxic T lymphocytes, granulocytes and monocytes in SB lambs. These results suggested that when the animal presents increased immunological parameters, it cannot express its potential in production because the engulfing, presence or processing of the antigen may cause fever, emesis, diarrhea and anorexia (Grimble, 1998;  Maggini  </w:t>
      </w:r>
      <w:r>
        <w:rPr>
          <w:rFonts w:ascii="Times New Roman"/>
          <w:i/>
          <w:sz w:val="19"/>
        </w:rPr>
        <w:t>et  al.</w:t>
      </w:r>
      <w:r>
        <w:rPr>
          <w:rFonts w:ascii="Times New Roman"/>
          <w:sz w:val="19"/>
        </w:rPr>
        <w:t>,  2007).  This  scenario promotes decrease in feed intake, ADG, milk  production  and  other  productive  parameters  (Maggini </w:t>
      </w:r>
      <w:r>
        <w:rPr>
          <w:rFonts w:ascii="Times New Roman"/>
          <w:i/>
          <w:sz w:val="19"/>
        </w:rPr>
        <w:t>et al.</w:t>
      </w:r>
      <w:r>
        <w:rPr>
          <w:rFonts w:ascii="Times New Roman"/>
          <w:sz w:val="19"/>
        </w:rPr>
        <w:t>,</w:t>
      </w:r>
      <w:r>
        <w:rPr>
          <w:rFonts w:ascii="Times New Roman"/>
          <w:spacing w:val="38"/>
          <w:sz w:val="19"/>
        </w:rPr>
        <w:t> </w:t>
      </w:r>
      <w:r>
        <w:rPr>
          <w:rFonts w:ascii="Times New Roman"/>
          <w:sz w:val="19"/>
        </w:rPr>
        <w:t>2007).</w:t>
      </w:r>
    </w:p>
    <w:p>
      <w:pPr>
        <w:pStyle w:val="BodyText"/>
        <w:spacing w:before="1"/>
        <w:rPr>
          <w:rFonts w:ascii="Times New Roman"/>
          <w:sz w:val="17"/>
        </w:rPr>
      </w:pPr>
    </w:p>
    <w:p>
      <w:pPr>
        <w:spacing w:line="283" w:lineRule="auto" w:before="0"/>
        <w:ind w:left="115" w:right="102" w:firstLine="628"/>
        <w:jc w:val="both"/>
        <w:rPr>
          <w:rFonts w:ascii="Times New Roman"/>
          <w:sz w:val="19"/>
        </w:rPr>
      </w:pPr>
      <w:r>
        <w:rPr>
          <w:rFonts w:ascii="Times New Roman"/>
          <w:sz w:val="19"/>
        </w:rPr>
        <w:t>There were negative (r=-0.97, P=0.03) correlations between ADG and cytotoxic T lymphocytes in EZSB group. This result suggests that when the animal present increased levels of such types of cells, it is processing an antigen which promotes a detrimental effect on ADG for the mechanism mentioned above. On the contrary, when the levels the cytotoxic T lymphocytes are low, the animal seems  healthy  which  contribute to reach its maximal performance  (Grimble, 1998; Maggini </w:t>
      </w:r>
      <w:r>
        <w:rPr>
          <w:rFonts w:ascii="Times New Roman"/>
          <w:i/>
          <w:sz w:val="19"/>
        </w:rPr>
        <w:t>et al.</w:t>
      </w:r>
      <w:r>
        <w:rPr>
          <w:rFonts w:ascii="Times New Roman"/>
          <w:sz w:val="19"/>
        </w:rPr>
        <w:t>,  </w:t>
      </w:r>
      <w:r>
        <w:rPr>
          <w:rFonts w:ascii="Times New Roman"/>
          <w:spacing w:val="37"/>
          <w:sz w:val="19"/>
        </w:rPr>
        <w:t> </w:t>
      </w:r>
      <w:r>
        <w:rPr>
          <w:rFonts w:ascii="Times New Roman"/>
          <w:sz w:val="19"/>
        </w:rPr>
        <w:t>2007).</w:t>
      </w:r>
    </w:p>
    <w:p>
      <w:pPr>
        <w:pStyle w:val="BodyText"/>
        <w:spacing w:before="10"/>
        <w:rPr>
          <w:rFonts w:ascii="Times New Roman"/>
          <w:sz w:val="16"/>
        </w:rPr>
      </w:pPr>
    </w:p>
    <w:p>
      <w:pPr>
        <w:spacing w:before="1"/>
        <w:ind w:left="116" w:right="117" w:firstLine="0"/>
        <w:jc w:val="left"/>
        <w:rPr>
          <w:rFonts w:ascii="Times New Roman"/>
          <w:i/>
          <w:sz w:val="19"/>
        </w:rPr>
      </w:pPr>
      <w:r>
        <w:rPr>
          <w:rFonts w:ascii="Times New Roman"/>
          <w:i/>
          <w:sz w:val="19"/>
        </w:rPr>
        <w:t>Effect of the time of sampling on immunological   parameters</w:t>
      </w:r>
    </w:p>
    <w:p>
      <w:pPr>
        <w:spacing w:line="283" w:lineRule="auto" w:before="148"/>
        <w:ind w:left="116" w:right="99" w:firstLine="628"/>
        <w:jc w:val="both"/>
        <w:rPr>
          <w:rFonts w:ascii="Times New Roman"/>
          <w:sz w:val="19"/>
        </w:rPr>
      </w:pPr>
      <w:r>
        <w:rPr>
          <w:rFonts w:ascii="Times New Roman"/>
          <w:sz w:val="19"/>
        </w:rPr>
        <w:t>The level of helper T lymphocytes in peripheral blood was linearly increased  as  the  time  of  sampling advanced. These results indicate that treatments had  negative  effect  (immunosuppressant)  on  helper T lymphocytes for the first fifteen days and then it had an immunostimulant  effect  on these cells,  which remains for 30 days and then this effect  began to diminish. Similar immunostimulant  effects  have  been observed in fish treated with plant extracts and their products  (Harikrishnan  </w:t>
      </w:r>
      <w:r>
        <w:rPr>
          <w:rFonts w:ascii="Times New Roman"/>
          <w:i/>
          <w:sz w:val="19"/>
        </w:rPr>
        <w:t>et  al.</w:t>
      </w:r>
      <w:r>
        <w:rPr>
          <w:rFonts w:ascii="Times New Roman"/>
          <w:sz w:val="19"/>
        </w:rPr>
        <w:t>,  2011).  In  ruminants, a period for adaptation while conducting nutrition  experiments is very important, due to the fact  that rumen micro-organisms require a minimum of 7 days to adapt to a diet. Thereafter, the micro-organisms begin to metabolize the dietary treatments (Van Soest, 1991). In this experiment, this time was evaluated in order to know the time it took to observe immunostimulant or immunosuppressant effects and also how long these effects remained. Mahgoub </w:t>
      </w:r>
      <w:r>
        <w:rPr>
          <w:rFonts w:ascii="Times New Roman"/>
          <w:i/>
          <w:sz w:val="19"/>
        </w:rPr>
        <w:t>et al. </w:t>
      </w:r>
      <w:r>
        <w:rPr>
          <w:rFonts w:ascii="Times New Roman"/>
          <w:sz w:val="19"/>
        </w:rPr>
        <w:t>(2008) evaluated the effect of secondary compounds at the beginning and at the end of the experiment, and they observed a decrement in the counts of this type of  cells,  nonetheless, this effect was weak at the end of the </w:t>
      </w:r>
      <w:r>
        <w:rPr>
          <w:rFonts w:ascii="Times New Roman"/>
          <w:spacing w:val="44"/>
          <w:sz w:val="19"/>
        </w:rPr>
        <w:t> </w:t>
      </w:r>
      <w:r>
        <w:rPr>
          <w:rFonts w:ascii="Times New Roman"/>
          <w:sz w:val="19"/>
        </w:rPr>
        <w:t>experiment.</w:t>
      </w:r>
    </w:p>
    <w:p>
      <w:pPr>
        <w:pStyle w:val="BodyText"/>
        <w:spacing w:before="8"/>
        <w:rPr>
          <w:rFonts w:ascii="Times New Roman"/>
          <w:sz w:val="16"/>
        </w:rPr>
      </w:pPr>
    </w:p>
    <w:p>
      <w:pPr>
        <w:spacing w:before="0"/>
        <w:ind w:left="744" w:right="117" w:firstLine="0"/>
        <w:jc w:val="left"/>
        <w:rPr>
          <w:rFonts w:ascii="Times New Roman"/>
          <w:sz w:val="19"/>
        </w:rPr>
      </w:pPr>
      <w:r>
        <w:rPr>
          <w:rFonts w:ascii="Times New Roman"/>
          <w:sz w:val="19"/>
        </w:rPr>
        <w:t>The cytotoxic T lymphocytes augmented with time, and this increase was   more</w:t>
      </w:r>
    </w:p>
    <w:p>
      <w:pPr>
        <w:spacing w:after="0"/>
        <w:jc w:val="left"/>
        <w:rPr>
          <w:rFonts w:ascii="Times New Roman"/>
          <w:sz w:val="19"/>
        </w:rPr>
        <w:sectPr>
          <w:footerReference w:type="default" r:id="rId209"/>
          <w:pgSz w:w="11900" w:h="16840"/>
          <w:pgMar w:footer="1679" w:header="0" w:top="1600" w:bottom="1860" w:left="1600" w:right="1600"/>
          <w:pgNumType w:start="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0"/>
        </w:rPr>
      </w:pPr>
    </w:p>
    <w:p>
      <w:pPr>
        <w:spacing w:line="283" w:lineRule="auto" w:before="1"/>
        <w:ind w:left="115" w:right="112" w:firstLine="0"/>
        <w:jc w:val="both"/>
        <w:rPr>
          <w:rFonts w:ascii="Times New Roman"/>
          <w:sz w:val="19"/>
        </w:rPr>
      </w:pPr>
      <w:r>
        <w:rPr>
          <w:rFonts w:ascii="Times New Roman"/>
          <w:sz w:val="19"/>
        </w:rPr>
        <w:t>evident in the first 15 days. There was a more prolonged immunostimulant effect which suggests that the treatments had a positive effect on cytotoxic T lymphocytes. The effect on white blood cells is indirect  although excessive ingestion of a wide variety of plants or their products (extracts) has been found to cause hypoproliferative or nonregenerative anemia. This cell disorder is characterized by reduced bone marrow production of all blood components in the absence of a primary disease process infiltrating the bone marrow    or suppressing haematopoiesis. This process had a negative effect on neutrophils, lymphocytes, eosinophils,  and monocytes  (Adedapo </w:t>
      </w:r>
      <w:r>
        <w:rPr>
          <w:rFonts w:ascii="Times New Roman"/>
          <w:i/>
          <w:sz w:val="19"/>
        </w:rPr>
        <w:t>et al.</w:t>
      </w:r>
      <w:r>
        <w:rPr>
          <w:rFonts w:ascii="Times New Roman"/>
          <w:sz w:val="19"/>
        </w:rPr>
        <w:t>, </w:t>
      </w:r>
      <w:r>
        <w:rPr>
          <w:rFonts w:ascii="Times New Roman"/>
          <w:spacing w:val="14"/>
          <w:sz w:val="19"/>
        </w:rPr>
        <w:t> </w:t>
      </w:r>
      <w:r>
        <w:rPr>
          <w:rFonts w:ascii="Times New Roman"/>
          <w:sz w:val="19"/>
        </w:rPr>
        <w:t>2007).</w:t>
      </w:r>
    </w:p>
    <w:p>
      <w:pPr>
        <w:spacing w:line="283" w:lineRule="auto" w:before="118"/>
        <w:ind w:left="175" w:right="102" w:firstLine="628"/>
        <w:jc w:val="both"/>
        <w:rPr>
          <w:rFonts w:ascii="Times New Roman"/>
          <w:sz w:val="19"/>
        </w:rPr>
      </w:pPr>
      <w:r>
        <w:rPr>
          <w:rFonts w:ascii="Times New Roman"/>
          <w:sz w:val="19"/>
        </w:rPr>
        <w:t>The time effect on granulocytes (neutrophils, eosinophils and basophils) was similar to cytotoxic T lymphocytes, with a stimulating effect on this cell type. These results may be due to the effect of extract saponins on cells and immune response (Erickson </w:t>
      </w:r>
      <w:r>
        <w:rPr>
          <w:rFonts w:ascii="Times New Roman"/>
          <w:i/>
          <w:sz w:val="19"/>
        </w:rPr>
        <w:t>et al.</w:t>
      </w:r>
      <w:r>
        <w:rPr>
          <w:rFonts w:ascii="Times New Roman"/>
          <w:sz w:val="19"/>
        </w:rPr>
        <w:t>, 2000; Harikrishnan </w:t>
      </w:r>
      <w:r>
        <w:rPr>
          <w:rFonts w:ascii="Times New Roman"/>
          <w:i/>
          <w:sz w:val="19"/>
        </w:rPr>
        <w:t>et al.</w:t>
      </w:r>
      <w:r>
        <w:rPr>
          <w:rFonts w:ascii="Times New Roman"/>
          <w:sz w:val="19"/>
        </w:rPr>
        <w:t>, 2011). Reports  indicate  that the function of neutrophils, eosinophils and basophils depends upon adequate consumption of macro      and micronutrients; thus, malnutrition contributes to immune suppression   (Mitchell </w:t>
      </w:r>
      <w:r>
        <w:rPr>
          <w:rFonts w:ascii="Times New Roman"/>
          <w:i/>
          <w:sz w:val="19"/>
        </w:rPr>
        <w:t>et al.</w:t>
      </w:r>
      <w:r>
        <w:rPr>
          <w:rFonts w:ascii="Times New Roman"/>
          <w:sz w:val="19"/>
        </w:rPr>
        <w:t>,   2003).</w:t>
      </w:r>
    </w:p>
    <w:p>
      <w:pPr>
        <w:pStyle w:val="BodyText"/>
        <w:spacing w:before="1"/>
        <w:rPr>
          <w:rFonts w:ascii="Times New Roman"/>
          <w:sz w:val="17"/>
        </w:rPr>
      </w:pPr>
    </w:p>
    <w:p>
      <w:pPr>
        <w:spacing w:line="283" w:lineRule="auto" w:before="0"/>
        <w:ind w:left="175" w:right="102" w:firstLine="628"/>
        <w:jc w:val="both"/>
        <w:rPr>
          <w:rFonts w:ascii="Times New Roman"/>
          <w:sz w:val="19"/>
        </w:rPr>
      </w:pPr>
      <w:r>
        <w:rPr>
          <w:rFonts w:ascii="Times New Roman"/>
          <w:sz w:val="19"/>
        </w:rPr>
        <w:t>Regarding monocytes, our results suggest  an immunostimulator  effect because the animals  them to  14 days have the capacity to metabolize and use any compounds presents in the diet. These results confirm   that time is an important issue while feed additives are used and the period of adaptation to a particular diet    as well (Van Soest,</w:t>
      </w:r>
      <w:r>
        <w:rPr>
          <w:rFonts w:ascii="Times New Roman"/>
          <w:spacing w:val="42"/>
          <w:sz w:val="19"/>
        </w:rPr>
        <w:t> </w:t>
      </w:r>
      <w:r>
        <w:rPr>
          <w:rFonts w:ascii="Times New Roman"/>
          <w:sz w:val="19"/>
        </w:rPr>
        <w:t>1994).</w:t>
      </w:r>
    </w:p>
    <w:p>
      <w:pPr>
        <w:pStyle w:val="BodyText"/>
        <w:spacing w:before="10"/>
        <w:rPr>
          <w:rFonts w:ascii="Times New Roman"/>
          <w:sz w:val="18"/>
        </w:rPr>
      </w:pPr>
    </w:p>
    <w:p>
      <w:pPr>
        <w:spacing w:before="0"/>
        <w:ind w:left="115" w:right="0" w:firstLine="0"/>
        <w:jc w:val="both"/>
        <w:rPr>
          <w:rFonts w:ascii="Times New Roman"/>
          <w:b/>
          <w:sz w:val="21"/>
        </w:rPr>
      </w:pPr>
      <w:r>
        <w:rPr>
          <w:rFonts w:ascii="Times New Roman"/>
          <w:b/>
          <w:sz w:val="21"/>
        </w:rPr>
        <w:t>CONCLUSIONS</w:t>
      </w:r>
    </w:p>
    <w:p>
      <w:pPr>
        <w:pStyle w:val="BodyText"/>
        <w:spacing w:before="3"/>
        <w:rPr>
          <w:rFonts w:ascii="Times New Roman"/>
          <w:b/>
          <w:sz w:val="20"/>
        </w:rPr>
      </w:pPr>
    </w:p>
    <w:p>
      <w:pPr>
        <w:spacing w:line="283" w:lineRule="auto" w:before="0"/>
        <w:ind w:left="175" w:right="100" w:firstLine="628"/>
        <w:jc w:val="both"/>
        <w:rPr>
          <w:rFonts w:ascii="Times New Roman"/>
          <w:sz w:val="19"/>
        </w:rPr>
      </w:pPr>
      <w:r>
        <w:rPr>
          <w:rFonts w:ascii="Times New Roman"/>
          <w:sz w:val="19"/>
        </w:rPr>
        <w:t>The results suggest that exogenous enzyme and </w:t>
      </w:r>
      <w:r>
        <w:rPr>
          <w:rFonts w:ascii="Times New Roman"/>
          <w:i/>
          <w:sz w:val="19"/>
        </w:rPr>
        <w:t>S. babylonica  </w:t>
      </w:r>
      <w:r>
        <w:rPr>
          <w:rFonts w:ascii="Times New Roman"/>
          <w:sz w:val="19"/>
        </w:rPr>
        <w:t>L.  extract  have  immunostimulant effect the first 15 days, after these feed additives have immunosuppressive effects principally on cytotoxic T lymphocytes and granulocytes. The results indicate that EZ and SB as used in this experiment did not affect cellular immune response, thus, they might be used in lamb nutrition practices  promoting  growth  performance without altering animal health. Both feed additives produced similar results supporting the use    of </w:t>
      </w:r>
      <w:r>
        <w:rPr>
          <w:rFonts w:ascii="Times New Roman"/>
          <w:i/>
          <w:sz w:val="19"/>
        </w:rPr>
        <w:t>Salix babylonica </w:t>
      </w:r>
      <w:r>
        <w:rPr>
          <w:rFonts w:ascii="Times New Roman"/>
          <w:sz w:val="19"/>
        </w:rPr>
        <w:t>L extract as a suitable alternative when people cannot access to  </w:t>
      </w:r>
      <w:r>
        <w:rPr>
          <w:rFonts w:ascii="Times New Roman"/>
          <w:spacing w:val="32"/>
          <w:sz w:val="19"/>
        </w:rPr>
        <w:t> </w:t>
      </w:r>
      <w:r>
        <w:rPr>
          <w:rFonts w:ascii="Times New Roman"/>
          <w:sz w:val="19"/>
        </w:rPr>
        <w:t>EZ.</w:t>
      </w:r>
    </w:p>
    <w:p>
      <w:pPr>
        <w:pStyle w:val="BodyText"/>
        <w:spacing w:before="1"/>
        <w:rPr>
          <w:rFonts w:ascii="Times New Roman"/>
          <w:sz w:val="17"/>
        </w:rPr>
      </w:pPr>
    </w:p>
    <w:p>
      <w:pPr>
        <w:spacing w:line="283" w:lineRule="auto" w:before="0"/>
        <w:ind w:left="175" w:right="104" w:firstLine="628"/>
        <w:jc w:val="both"/>
        <w:rPr>
          <w:rFonts w:ascii="Times New Roman"/>
          <w:sz w:val="19"/>
        </w:rPr>
      </w:pPr>
      <w:r>
        <w:rPr>
          <w:rFonts w:ascii="Times New Roman"/>
          <w:sz w:val="19"/>
        </w:rPr>
        <w:t>The effect of the treatments throughout time ought to be considered in animal nutrition experiments. Studies evaluating the immune response might favour estimations of the effect of  feed additives after the  initial fifteen</w:t>
      </w:r>
      <w:r>
        <w:rPr>
          <w:rFonts w:ascii="Times New Roman"/>
          <w:spacing w:val="24"/>
          <w:sz w:val="19"/>
        </w:rPr>
        <w:t> </w:t>
      </w:r>
      <w:r>
        <w:rPr>
          <w:rFonts w:ascii="Times New Roman"/>
          <w:sz w:val="19"/>
        </w:rPr>
        <w:t>days.</w:t>
      </w:r>
    </w:p>
    <w:p>
      <w:pPr>
        <w:pStyle w:val="BodyText"/>
        <w:rPr>
          <w:rFonts w:ascii="Times New Roman"/>
          <w:sz w:val="19"/>
        </w:rPr>
      </w:pPr>
    </w:p>
    <w:p>
      <w:pPr>
        <w:spacing w:before="0"/>
        <w:ind w:left="115" w:right="0" w:firstLine="0"/>
        <w:jc w:val="both"/>
        <w:rPr>
          <w:rFonts w:ascii="Times New Roman"/>
          <w:b/>
          <w:sz w:val="19"/>
        </w:rPr>
      </w:pPr>
      <w:r>
        <w:rPr>
          <w:rFonts w:ascii="Times New Roman"/>
          <w:b/>
          <w:sz w:val="19"/>
        </w:rPr>
        <w:t>ACKNOWLEDGMENTS</w:t>
      </w:r>
    </w:p>
    <w:p>
      <w:pPr>
        <w:pStyle w:val="BodyText"/>
        <w:rPr>
          <w:rFonts w:ascii="Times New Roman"/>
          <w:b/>
          <w:sz w:val="20"/>
        </w:rPr>
      </w:pPr>
    </w:p>
    <w:p>
      <w:pPr>
        <w:spacing w:line="283" w:lineRule="auto" w:before="0"/>
        <w:ind w:left="175" w:right="103" w:firstLine="0"/>
        <w:jc w:val="both"/>
        <w:rPr>
          <w:rFonts w:ascii="Times New Roman" w:hAnsi="Times New Roman"/>
          <w:sz w:val="19"/>
        </w:rPr>
      </w:pPr>
      <w:r>
        <w:rPr>
          <w:rFonts w:ascii="Times New Roman" w:hAnsi="Times New Roman"/>
          <w:sz w:val="19"/>
        </w:rPr>
        <w:t>The authors acknowledge the financial support from the IAEA, Vienna, Austria, Research Contract number MEX16307 within the D3.10.27 Coordinated Research Project. First author wish also to thank the National Council for Science and Technology (CONACYT, Mexico)  for the scholarship for  her doctoral program at  the Universidad Autónoma del Estado de </w:t>
      </w:r>
      <w:r>
        <w:rPr>
          <w:rFonts w:ascii="Times New Roman" w:hAnsi="Times New Roman"/>
          <w:spacing w:val="30"/>
          <w:sz w:val="19"/>
        </w:rPr>
        <w:t> </w:t>
      </w:r>
      <w:r>
        <w:rPr>
          <w:rFonts w:ascii="Times New Roman" w:hAnsi="Times New Roman"/>
          <w:sz w:val="19"/>
        </w:rPr>
        <w:t>México.</w:t>
      </w:r>
    </w:p>
    <w:p>
      <w:pPr>
        <w:spacing w:after="0" w:line="283" w:lineRule="auto"/>
        <w:jc w:val="both"/>
        <w:rPr>
          <w:rFonts w:ascii="Times New Roman" w:hAnsi="Times New Roman"/>
          <w:sz w:val="19"/>
        </w:rPr>
        <w:sectPr>
          <w:pgSz w:w="11900" w:h="16840"/>
          <w:pgMar w:header="0" w:footer="1679" w:top="1600" w:bottom="1860" w:left="1540" w:right="16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1"/>
        </w:rPr>
      </w:pPr>
    </w:p>
    <w:p>
      <w:pPr>
        <w:spacing w:before="79"/>
        <w:ind w:left="115" w:right="102" w:firstLine="0"/>
        <w:jc w:val="left"/>
        <w:rPr>
          <w:rFonts w:ascii="Times New Roman"/>
          <w:b/>
          <w:sz w:val="19"/>
        </w:rPr>
      </w:pPr>
      <w:r>
        <w:rPr>
          <w:rFonts w:ascii="Times New Roman"/>
          <w:b/>
          <w:sz w:val="19"/>
        </w:rPr>
        <w:t>REFERENCES</w:t>
      </w:r>
    </w:p>
    <w:p>
      <w:pPr>
        <w:pStyle w:val="BodyText"/>
        <w:spacing w:before="2"/>
        <w:rPr>
          <w:rFonts w:ascii="Times New Roman"/>
          <w:b/>
          <w:sz w:val="20"/>
        </w:rPr>
      </w:pPr>
    </w:p>
    <w:p>
      <w:pPr>
        <w:spacing w:line="283" w:lineRule="auto" w:before="0"/>
        <w:ind w:left="677" w:right="102" w:hanging="502"/>
        <w:jc w:val="left"/>
        <w:rPr>
          <w:rFonts w:ascii="Times New Roman"/>
          <w:sz w:val="17"/>
        </w:rPr>
      </w:pPr>
      <w:r>
        <w:rPr>
          <w:rFonts w:ascii="Times New Roman"/>
          <w:w w:val="105"/>
          <w:sz w:val="17"/>
        </w:rPr>
        <w:t>Adedapo, A.A., Abatan, M.O. and Olorunsogo, O.O. 2007.Effects of some plants of the spurge family on haematological and biochemical parameters in rats.</w:t>
      </w:r>
      <w:r>
        <w:rPr>
          <w:rFonts w:ascii="Times New Roman"/>
          <w:i/>
          <w:w w:val="105"/>
          <w:sz w:val="17"/>
        </w:rPr>
        <w:t>Veterinarski Arhiv</w:t>
      </w:r>
      <w:r>
        <w:rPr>
          <w:rFonts w:ascii="Times New Roman"/>
          <w:w w:val="105"/>
          <w:sz w:val="17"/>
        </w:rPr>
        <w:t>, 77: 29-38.</w:t>
      </w:r>
    </w:p>
    <w:p>
      <w:pPr>
        <w:spacing w:line="283" w:lineRule="auto" w:before="58"/>
        <w:ind w:left="677" w:right="102" w:hanging="502"/>
        <w:jc w:val="left"/>
        <w:rPr>
          <w:rFonts w:ascii="Times New Roman"/>
          <w:sz w:val="17"/>
        </w:rPr>
      </w:pPr>
      <w:r>
        <w:rPr>
          <w:rFonts w:ascii="Times New Roman"/>
          <w:w w:val="105"/>
          <w:sz w:val="17"/>
        </w:rPr>
        <w:t>Adedapo, A.A., Adegbayibi, A.Y. and Emikpe, B.O. 2005. Some clinico-pathological changes associated with the aqueous extract of the leaves of </w:t>
      </w:r>
      <w:r>
        <w:rPr>
          <w:rFonts w:ascii="Times New Roman"/>
          <w:i/>
          <w:w w:val="105"/>
          <w:sz w:val="17"/>
        </w:rPr>
        <w:t>Phyllanthusamarus </w:t>
      </w:r>
      <w:r>
        <w:rPr>
          <w:rFonts w:ascii="Times New Roman"/>
          <w:w w:val="105"/>
          <w:sz w:val="17"/>
        </w:rPr>
        <w:t>in rats. </w:t>
      </w:r>
      <w:r>
        <w:rPr>
          <w:rFonts w:ascii="Times New Roman"/>
          <w:i/>
          <w:w w:val="105"/>
          <w:sz w:val="17"/>
        </w:rPr>
        <w:t>Phytotherapy Research</w:t>
      </w:r>
      <w:r>
        <w:rPr>
          <w:rFonts w:ascii="Times New Roman"/>
          <w:w w:val="105"/>
          <w:sz w:val="17"/>
        </w:rPr>
        <w:t>, 19: 971-976.</w:t>
      </w:r>
    </w:p>
    <w:p>
      <w:pPr>
        <w:spacing w:line="283" w:lineRule="auto" w:before="61"/>
        <w:ind w:left="677" w:right="102" w:hanging="502"/>
        <w:jc w:val="left"/>
        <w:rPr>
          <w:rFonts w:ascii="Times New Roman"/>
          <w:sz w:val="17"/>
        </w:rPr>
      </w:pPr>
      <w:r>
        <w:rPr>
          <w:rFonts w:ascii="Times New Roman"/>
          <w:w w:val="105"/>
          <w:sz w:val="17"/>
        </w:rPr>
        <w:t>Ahmed,</w:t>
      </w:r>
      <w:r>
        <w:rPr>
          <w:rFonts w:ascii="Times New Roman"/>
          <w:spacing w:val="-12"/>
          <w:w w:val="105"/>
          <w:sz w:val="17"/>
        </w:rPr>
        <w:t> </w:t>
      </w:r>
      <w:r>
        <w:rPr>
          <w:rFonts w:ascii="Times New Roman"/>
          <w:w w:val="105"/>
          <w:sz w:val="17"/>
        </w:rPr>
        <w:t>V.U.,</w:t>
      </w:r>
      <w:r>
        <w:rPr>
          <w:rFonts w:ascii="Times New Roman"/>
          <w:spacing w:val="-12"/>
          <w:w w:val="105"/>
          <w:sz w:val="17"/>
        </w:rPr>
        <w:t> </w:t>
      </w:r>
      <w:r>
        <w:rPr>
          <w:rFonts w:ascii="Times New Roman"/>
          <w:w w:val="105"/>
          <w:sz w:val="17"/>
        </w:rPr>
        <w:t>Perveen,</w:t>
      </w:r>
      <w:r>
        <w:rPr>
          <w:rFonts w:ascii="Times New Roman"/>
          <w:spacing w:val="-12"/>
          <w:w w:val="105"/>
          <w:sz w:val="17"/>
        </w:rPr>
        <w:t> </w:t>
      </w:r>
      <w:r>
        <w:rPr>
          <w:rFonts w:ascii="Times New Roman"/>
          <w:w w:val="105"/>
          <w:sz w:val="17"/>
        </w:rPr>
        <w:t>S.</w:t>
      </w:r>
      <w:r>
        <w:rPr>
          <w:rFonts w:ascii="Times New Roman"/>
          <w:spacing w:val="-12"/>
          <w:w w:val="105"/>
          <w:sz w:val="17"/>
        </w:rPr>
        <w:t> </w:t>
      </w:r>
      <w:r>
        <w:rPr>
          <w:rFonts w:ascii="Times New Roman"/>
          <w:w w:val="105"/>
          <w:sz w:val="17"/>
        </w:rPr>
        <w:t>and</w:t>
      </w:r>
      <w:r>
        <w:rPr>
          <w:rFonts w:ascii="Times New Roman"/>
          <w:spacing w:val="-9"/>
          <w:w w:val="105"/>
          <w:sz w:val="17"/>
        </w:rPr>
        <w:t> </w:t>
      </w:r>
      <w:r>
        <w:rPr>
          <w:rFonts w:ascii="Times New Roman"/>
          <w:w w:val="105"/>
          <w:sz w:val="17"/>
        </w:rPr>
        <w:t>Bano,</w:t>
      </w:r>
      <w:r>
        <w:rPr>
          <w:rFonts w:ascii="Times New Roman"/>
          <w:spacing w:val="-12"/>
          <w:w w:val="105"/>
          <w:sz w:val="17"/>
        </w:rPr>
        <w:t> </w:t>
      </w:r>
      <w:r>
        <w:rPr>
          <w:rFonts w:ascii="Times New Roman"/>
          <w:w w:val="105"/>
          <w:sz w:val="17"/>
        </w:rPr>
        <w:t>S.</w:t>
      </w:r>
      <w:r>
        <w:rPr>
          <w:rFonts w:ascii="Times New Roman"/>
          <w:spacing w:val="-12"/>
          <w:w w:val="105"/>
          <w:sz w:val="17"/>
        </w:rPr>
        <w:t> </w:t>
      </w:r>
      <w:r>
        <w:rPr>
          <w:rFonts w:ascii="Times New Roman"/>
          <w:w w:val="105"/>
          <w:sz w:val="17"/>
        </w:rPr>
        <w:t>1990.Saponin</w:t>
      </w:r>
      <w:r>
        <w:rPr>
          <w:rFonts w:ascii="Times New Roman"/>
          <w:spacing w:val="-9"/>
          <w:w w:val="105"/>
          <w:sz w:val="17"/>
        </w:rPr>
        <w:t> </w:t>
      </w:r>
      <w:r>
        <w:rPr>
          <w:rFonts w:ascii="Times New Roman"/>
          <w:w w:val="105"/>
          <w:sz w:val="17"/>
        </w:rPr>
        <w:t>from</w:t>
      </w:r>
      <w:r>
        <w:rPr>
          <w:rFonts w:ascii="Times New Roman"/>
          <w:spacing w:val="-14"/>
          <w:w w:val="105"/>
          <w:sz w:val="17"/>
        </w:rPr>
        <w:t> </w:t>
      </w:r>
      <w:r>
        <w:rPr>
          <w:rFonts w:ascii="Times New Roman"/>
          <w:w w:val="105"/>
          <w:sz w:val="17"/>
        </w:rPr>
        <w:t>the</w:t>
      </w:r>
      <w:r>
        <w:rPr>
          <w:rFonts w:ascii="Times New Roman"/>
          <w:spacing w:val="-15"/>
          <w:w w:val="105"/>
          <w:sz w:val="17"/>
        </w:rPr>
        <w:t> </w:t>
      </w:r>
      <w:r>
        <w:rPr>
          <w:rFonts w:ascii="Times New Roman"/>
          <w:w w:val="105"/>
          <w:sz w:val="17"/>
        </w:rPr>
        <w:t>leaves</w:t>
      </w:r>
      <w:r>
        <w:rPr>
          <w:rFonts w:ascii="Times New Roman"/>
          <w:spacing w:val="-9"/>
          <w:w w:val="105"/>
          <w:sz w:val="17"/>
        </w:rPr>
        <w:t> </w:t>
      </w:r>
      <w:r>
        <w:rPr>
          <w:rFonts w:ascii="Times New Roman"/>
          <w:w w:val="105"/>
          <w:sz w:val="17"/>
        </w:rPr>
        <w:t>of</w:t>
      </w:r>
      <w:r>
        <w:rPr>
          <w:rFonts w:ascii="Times New Roman"/>
          <w:spacing w:val="-11"/>
          <w:w w:val="105"/>
          <w:sz w:val="17"/>
        </w:rPr>
        <w:t> </w:t>
      </w:r>
      <w:r>
        <w:rPr>
          <w:rFonts w:ascii="Times New Roman"/>
          <w:i/>
          <w:w w:val="105"/>
          <w:sz w:val="17"/>
        </w:rPr>
        <w:t>Guaiacum</w:t>
      </w:r>
      <w:r>
        <w:rPr>
          <w:rFonts w:ascii="Times New Roman"/>
          <w:i/>
          <w:spacing w:val="-13"/>
          <w:w w:val="105"/>
          <w:sz w:val="17"/>
        </w:rPr>
        <w:t> </w:t>
      </w:r>
      <w:r>
        <w:rPr>
          <w:rFonts w:ascii="Times New Roman"/>
          <w:i/>
          <w:w w:val="105"/>
          <w:sz w:val="17"/>
        </w:rPr>
        <w:t>officinale</w:t>
      </w:r>
      <w:r>
        <w:rPr>
          <w:rFonts w:ascii="Times New Roman"/>
          <w:w w:val="105"/>
          <w:sz w:val="17"/>
        </w:rPr>
        <w:t>.</w:t>
      </w:r>
      <w:r>
        <w:rPr>
          <w:rFonts w:ascii="Times New Roman"/>
          <w:i/>
          <w:w w:val="105"/>
          <w:sz w:val="17"/>
        </w:rPr>
        <w:t>Phytochemistry</w:t>
      </w:r>
      <w:r>
        <w:rPr>
          <w:rFonts w:ascii="Times New Roman"/>
          <w:w w:val="105"/>
          <w:sz w:val="17"/>
        </w:rPr>
        <w:t>,</w:t>
      </w:r>
      <w:r>
        <w:rPr>
          <w:rFonts w:ascii="Times New Roman"/>
          <w:spacing w:val="-12"/>
          <w:w w:val="105"/>
          <w:sz w:val="17"/>
        </w:rPr>
        <w:t> </w:t>
      </w:r>
      <w:r>
        <w:rPr>
          <w:rFonts w:ascii="Times New Roman"/>
          <w:w w:val="105"/>
          <w:sz w:val="17"/>
        </w:rPr>
        <w:t>29:</w:t>
      </w:r>
      <w:r>
        <w:rPr>
          <w:rFonts w:ascii="Times New Roman"/>
          <w:spacing w:val="-11"/>
          <w:w w:val="105"/>
          <w:sz w:val="17"/>
        </w:rPr>
        <w:t> </w:t>
      </w:r>
      <w:r>
        <w:rPr>
          <w:rFonts w:ascii="Times New Roman"/>
          <w:w w:val="105"/>
          <w:sz w:val="17"/>
        </w:rPr>
        <w:t>3287- 3290.</w:t>
      </w:r>
    </w:p>
    <w:p>
      <w:pPr>
        <w:spacing w:before="58"/>
        <w:ind w:left="176" w:right="102" w:firstLine="0"/>
        <w:jc w:val="left"/>
        <w:rPr>
          <w:rFonts w:ascii="Times New Roman"/>
          <w:sz w:val="17"/>
        </w:rPr>
      </w:pPr>
      <w:r>
        <w:rPr>
          <w:rFonts w:ascii="Times New Roman"/>
          <w:w w:val="105"/>
          <w:sz w:val="17"/>
        </w:rPr>
        <w:t>AOAC. 1997. </w:t>
      </w:r>
      <w:r>
        <w:rPr>
          <w:rFonts w:ascii="Times New Roman"/>
          <w:i/>
          <w:w w:val="105"/>
          <w:sz w:val="17"/>
        </w:rPr>
        <w:t>Official Methods of Analysis</w:t>
      </w:r>
      <w:r>
        <w:rPr>
          <w:rFonts w:ascii="Times New Roman"/>
          <w:w w:val="105"/>
          <w:sz w:val="17"/>
        </w:rPr>
        <w:t>, 16th ed. Association of Official Analytical Chemists, Arlington, VA.</w:t>
      </w:r>
    </w:p>
    <w:p>
      <w:pPr>
        <w:spacing w:line="285" w:lineRule="auto" w:before="92"/>
        <w:ind w:left="677" w:right="104" w:hanging="502"/>
        <w:jc w:val="left"/>
        <w:rPr>
          <w:rFonts w:ascii="Times New Roman"/>
          <w:sz w:val="17"/>
        </w:rPr>
      </w:pPr>
      <w:r>
        <w:rPr>
          <w:rFonts w:ascii="Times New Roman"/>
          <w:w w:val="105"/>
          <w:sz w:val="17"/>
        </w:rPr>
        <w:t>Arriola, K.G., Kim, S.C., Staples, C.R. and Adesogan, A.T. 2011.Effect of fibrolytic enzyme application to low- and high-concentrate diets on the performance of lactating dairy cattle.</w:t>
      </w:r>
      <w:r>
        <w:rPr>
          <w:rFonts w:ascii="Times New Roman"/>
          <w:i/>
          <w:w w:val="105"/>
          <w:sz w:val="17"/>
        </w:rPr>
        <w:t>Journal of Dairy Science, </w:t>
      </w:r>
      <w:r>
        <w:rPr>
          <w:rFonts w:ascii="Times New Roman"/>
          <w:w w:val="105"/>
          <w:sz w:val="17"/>
        </w:rPr>
        <w:t>94: 832-841.</w:t>
      </w:r>
    </w:p>
    <w:p>
      <w:pPr>
        <w:spacing w:line="283" w:lineRule="auto" w:before="56"/>
        <w:ind w:left="677" w:right="102" w:hanging="502"/>
        <w:jc w:val="left"/>
        <w:rPr>
          <w:rFonts w:ascii="Times New Roman"/>
          <w:sz w:val="17"/>
        </w:rPr>
      </w:pPr>
      <w:r>
        <w:rPr>
          <w:rFonts w:ascii="Times New Roman"/>
          <w:w w:val="105"/>
          <w:sz w:val="17"/>
        </w:rPr>
        <w:t>Beauchemin, K.A., Colombatto, D., Morgavi, D.P. and Yang, W.Z. 2003.Use of exogenous fibrolytic enzymes to improve eeed utilization by ruminants.</w:t>
      </w:r>
      <w:r>
        <w:rPr>
          <w:rFonts w:ascii="Times New Roman"/>
          <w:i/>
          <w:w w:val="105"/>
          <w:sz w:val="17"/>
        </w:rPr>
        <w:t>Journal of Animal Science, </w:t>
      </w:r>
      <w:r>
        <w:rPr>
          <w:rFonts w:ascii="Times New Roman"/>
          <w:w w:val="105"/>
          <w:sz w:val="17"/>
        </w:rPr>
        <w:t>81: E37- E47.</w:t>
      </w:r>
    </w:p>
    <w:p>
      <w:pPr>
        <w:spacing w:line="285" w:lineRule="auto" w:before="58"/>
        <w:ind w:left="677" w:right="102" w:hanging="502"/>
        <w:jc w:val="left"/>
        <w:rPr>
          <w:rFonts w:ascii="Times New Roman"/>
          <w:sz w:val="17"/>
        </w:rPr>
      </w:pPr>
      <w:r>
        <w:rPr>
          <w:rFonts w:ascii="Times New Roman"/>
          <w:w w:val="105"/>
          <w:sz w:val="17"/>
        </w:rPr>
        <w:t>Beauchemin,</w:t>
      </w:r>
      <w:r>
        <w:rPr>
          <w:rFonts w:ascii="Times New Roman"/>
          <w:spacing w:val="-13"/>
          <w:w w:val="105"/>
          <w:sz w:val="17"/>
        </w:rPr>
        <w:t> </w:t>
      </w:r>
      <w:r>
        <w:rPr>
          <w:rFonts w:ascii="Times New Roman"/>
          <w:w w:val="105"/>
          <w:sz w:val="17"/>
        </w:rPr>
        <w:t>K.A.,</w:t>
      </w:r>
      <w:r>
        <w:rPr>
          <w:rFonts w:ascii="Times New Roman"/>
          <w:spacing w:val="-11"/>
          <w:w w:val="105"/>
          <w:sz w:val="17"/>
        </w:rPr>
        <w:t> </w:t>
      </w:r>
      <w:r>
        <w:rPr>
          <w:rFonts w:ascii="Times New Roman"/>
          <w:w w:val="105"/>
          <w:sz w:val="17"/>
        </w:rPr>
        <w:t>Rode,</w:t>
      </w:r>
      <w:r>
        <w:rPr>
          <w:rFonts w:ascii="Times New Roman"/>
          <w:spacing w:val="-11"/>
          <w:w w:val="105"/>
          <w:sz w:val="17"/>
        </w:rPr>
        <w:t> </w:t>
      </w:r>
      <w:r>
        <w:rPr>
          <w:rFonts w:ascii="Times New Roman"/>
          <w:w w:val="105"/>
          <w:sz w:val="17"/>
        </w:rPr>
        <w:t>L.M.</w:t>
      </w:r>
      <w:r>
        <w:rPr>
          <w:rFonts w:ascii="Times New Roman"/>
          <w:spacing w:val="-13"/>
          <w:w w:val="105"/>
          <w:sz w:val="17"/>
        </w:rPr>
        <w:t> </w:t>
      </w:r>
      <w:r>
        <w:rPr>
          <w:rFonts w:ascii="Times New Roman"/>
          <w:w w:val="105"/>
          <w:sz w:val="17"/>
        </w:rPr>
        <w:t>and</w:t>
      </w:r>
      <w:r>
        <w:rPr>
          <w:rFonts w:ascii="Times New Roman"/>
          <w:spacing w:val="-12"/>
          <w:w w:val="105"/>
          <w:sz w:val="17"/>
        </w:rPr>
        <w:t> </w:t>
      </w:r>
      <w:r>
        <w:rPr>
          <w:rFonts w:ascii="Times New Roman"/>
          <w:w w:val="105"/>
          <w:sz w:val="17"/>
        </w:rPr>
        <w:t>Sewaltl,</w:t>
      </w:r>
      <w:r>
        <w:rPr>
          <w:rFonts w:ascii="Times New Roman"/>
          <w:spacing w:val="-11"/>
          <w:w w:val="105"/>
          <w:sz w:val="17"/>
        </w:rPr>
        <w:t> </w:t>
      </w:r>
      <w:r>
        <w:rPr>
          <w:rFonts w:ascii="Times New Roman"/>
          <w:w w:val="105"/>
          <w:sz w:val="17"/>
        </w:rPr>
        <w:t>V.J.H.</w:t>
      </w:r>
      <w:r>
        <w:rPr>
          <w:rFonts w:ascii="Times New Roman"/>
          <w:spacing w:val="-11"/>
          <w:w w:val="105"/>
          <w:sz w:val="17"/>
        </w:rPr>
        <w:t> </w:t>
      </w:r>
      <w:r>
        <w:rPr>
          <w:rFonts w:ascii="Times New Roman"/>
          <w:w w:val="105"/>
          <w:sz w:val="17"/>
        </w:rPr>
        <w:t>1995.</w:t>
      </w:r>
      <w:r>
        <w:rPr>
          <w:rFonts w:ascii="Times New Roman"/>
          <w:spacing w:val="-13"/>
          <w:w w:val="105"/>
          <w:sz w:val="17"/>
        </w:rPr>
        <w:t> </w:t>
      </w:r>
      <w:r>
        <w:rPr>
          <w:rFonts w:ascii="Times New Roman"/>
          <w:w w:val="105"/>
          <w:sz w:val="17"/>
        </w:rPr>
        <w:t>Fibrolytic</w:t>
      </w:r>
      <w:r>
        <w:rPr>
          <w:rFonts w:ascii="Times New Roman"/>
          <w:spacing w:val="-11"/>
          <w:w w:val="105"/>
          <w:sz w:val="17"/>
        </w:rPr>
        <w:t> </w:t>
      </w:r>
      <w:r>
        <w:rPr>
          <w:rFonts w:ascii="Times New Roman"/>
          <w:w w:val="105"/>
          <w:sz w:val="17"/>
        </w:rPr>
        <w:t>enzymes</w:t>
      </w:r>
      <w:r>
        <w:rPr>
          <w:rFonts w:ascii="Times New Roman"/>
          <w:spacing w:val="-10"/>
          <w:w w:val="105"/>
          <w:sz w:val="17"/>
        </w:rPr>
        <w:t> </w:t>
      </w:r>
      <w:r>
        <w:rPr>
          <w:rFonts w:ascii="Times New Roman"/>
          <w:w w:val="105"/>
          <w:sz w:val="17"/>
        </w:rPr>
        <w:t>increase</w:t>
      </w:r>
      <w:r>
        <w:rPr>
          <w:rFonts w:ascii="Times New Roman"/>
          <w:spacing w:val="-11"/>
          <w:w w:val="105"/>
          <w:sz w:val="17"/>
        </w:rPr>
        <w:t> </w:t>
      </w:r>
      <w:r>
        <w:rPr>
          <w:rFonts w:ascii="Times New Roman"/>
          <w:w w:val="105"/>
          <w:sz w:val="17"/>
        </w:rPr>
        <w:t>fiber</w:t>
      </w:r>
      <w:r>
        <w:rPr>
          <w:rFonts w:ascii="Times New Roman"/>
          <w:spacing w:val="-11"/>
          <w:w w:val="105"/>
          <w:sz w:val="17"/>
        </w:rPr>
        <w:t> </w:t>
      </w:r>
      <w:r>
        <w:rPr>
          <w:rFonts w:ascii="Times New Roman"/>
          <w:w w:val="105"/>
          <w:sz w:val="17"/>
        </w:rPr>
        <w:t>digestibility</w:t>
      </w:r>
      <w:r>
        <w:rPr>
          <w:rFonts w:ascii="Times New Roman"/>
          <w:spacing w:val="-13"/>
          <w:w w:val="105"/>
          <w:sz w:val="17"/>
        </w:rPr>
        <w:t> </w:t>
      </w:r>
      <w:r>
        <w:rPr>
          <w:rFonts w:ascii="Times New Roman"/>
          <w:w w:val="105"/>
          <w:sz w:val="17"/>
        </w:rPr>
        <w:t>and</w:t>
      </w:r>
      <w:r>
        <w:rPr>
          <w:rFonts w:ascii="Times New Roman"/>
          <w:spacing w:val="-8"/>
          <w:w w:val="105"/>
          <w:sz w:val="17"/>
        </w:rPr>
        <w:t> </w:t>
      </w:r>
      <w:r>
        <w:rPr>
          <w:rFonts w:ascii="Times New Roman"/>
          <w:w w:val="105"/>
          <w:sz w:val="17"/>
        </w:rPr>
        <w:t>growth</w:t>
      </w:r>
      <w:r>
        <w:rPr>
          <w:rFonts w:ascii="Times New Roman"/>
          <w:spacing w:val="-10"/>
          <w:w w:val="105"/>
          <w:sz w:val="17"/>
        </w:rPr>
        <w:t> </w:t>
      </w:r>
      <w:r>
        <w:rPr>
          <w:rFonts w:ascii="Times New Roman"/>
          <w:w w:val="105"/>
          <w:sz w:val="17"/>
        </w:rPr>
        <w:t>rate of</w:t>
      </w:r>
      <w:r>
        <w:rPr>
          <w:rFonts w:ascii="Times New Roman"/>
          <w:spacing w:val="-10"/>
          <w:w w:val="105"/>
          <w:sz w:val="17"/>
        </w:rPr>
        <w:t> </w:t>
      </w:r>
      <w:r>
        <w:rPr>
          <w:rFonts w:ascii="Times New Roman"/>
          <w:w w:val="105"/>
          <w:sz w:val="17"/>
        </w:rPr>
        <w:t>steers</w:t>
      </w:r>
      <w:r>
        <w:rPr>
          <w:rFonts w:ascii="Times New Roman"/>
          <w:spacing w:val="-9"/>
          <w:w w:val="105"/>
          <w:sz w:val="17"/>
        </w:rPr>
        <w:t> </w:t>
      </w:r>
      <w:r>
        <w:rPr>
          <w:rFonts w:ascii="Times New Roman"/>
          <w:w w:val="105"/>
          <w:sz w:val="17"/>
        </w:rPr>
        <w:t>fed</w:t>
      </w:r>
      <w:r>
        <w:rPr>
          <w:rFonts w:ascii="Times New Roman"/>
          <w:spacing w:val="-11"/>
          <w:w w:val="105"/>
          <w:sz w:val="17"/>
        </w:rPr>
        <w:t> </w:t>
      </w:r>
      <w:r>
        <w:rPr>
          <w:rFonts w:ascii="Times New Roman"/>
          <w:w w:val="105"/>
          <w:sz w:val="17"/>
        </w:rPr>
        <w:t>dry</w:t>
      </w:r>
      <w:r>
        <w:rPr>
          <w:rFonts w:ascii="Times New Roman"/>
          <w:spacing w:val="-11"/>
          <w:w w:val="105"/>
          <w:sz w:val="17"/>
        </w:rPr>
        <w:t> </w:t>
      </w:r>
      <w:r>
        <w:rPr>
          <w:rFonts w:ascii="Times New Roman"/>
          <w:w w:val="105"/>
          <w:sz w:val="17"/>
        </w:rPr>
        <w:t>forages.</w:t>
      </w:r>
      <w:r>
        <w:rPr>
          <w:rFonts w:ascii="Times New Roman"/>
          <w:spacing w:val="-13"/>
          <w:w w:val="105"/>
          <w:sz w:val="17"/>
        </w:rPr>
        <w:t> </w:t>
      </w:r>
      <w:r>
        <w:rPr>
          <w:rFonts w:ascii="Times New Roman"/>
          <w:i/>
          <w:w w:val="105"/>
          <w:sz w:val="17"/>
        </w:rPr>
        <w:t>Canadian</w:t>
      </w:r>
      <w:r>
        <w:rPr>
          <w:rFonts w:ascii="Times New Roman"/>
          <w:i/>
          <w:spacing w:val="-9"/>
          <w:w w:val="105"/>
          <w:sz w:val="17"/>
        </w:rPr>
        <w:t> </w:t>
      </w:r>
      <w:r>
        <w:rPr>
          <w:rFonts w:ascii="Times New Roman"/>
          <w:i/>
          <w:w w:val="105"/>
          <w:sz w:val="17"/>
        </w:rPr>
        <w:t>Journal</w:t>
      </w:r>
      <w:r>
        <w:rPr>
          <w:rFonts w:ascii="Times New Roman"/>
          <w:i/>
          <w:spacing w:val="-10"/>
          <w:w w:val="105"/>
          <w:sz w:val="17"/>
        </w:rPr>
        <w:t> </w:t>
      </w:r>
      <w:r>
        <w:rPr>
          <w:rFonts w:ascii="Times New Roman"/>
          <w:i/>
          <w:w w:val="105"/>
          <w:sz w:val="17"/>
        </w:rPr>
        <w:t>of</w:t>
      </w:r>
      <w:r>
        <w:rPr>
          <w:rFonts w:ascii="Times New Roman"/>
          <w:i/>
          <w:spacing w:val="-10"/>
          <w:w w:val="105"/>
          <w:sz w:val="17"/>
        </w:rPr>
        <w:t> </w:t>
      </w:r>
      <w:r>
        <w:rPr>
          <w:rFonts w:ascii="Times New Roman"/>
          <w:i/>
          <w:w w:val="105"/>
          <w:sz w:val="17"/>
        </w:rPr>
        <w:t>Animal</w:t>
      </w:r>
      <w:r>
        <w:rPr>
          <w:rFonts w:ascii="Times New Roman"/>
          <w:i/>
          <w:spacing w:val="-10"/>
          <w:w w:val="105"/>
          <w:sz w:val="17"/>
        </w:rPr>
        <w:t> </w:t>
      </w:r>
      <w:r>
        <w:rPr>
          <w:rFonts w:ascii="Times New Roman"/>
          <w:i/>
          <w:w w:val="105"/>
          <w:sz w:val="17"/>
        </w:rPr>
        <w:t>Science,</w:t>
      </w:r>
      <w:r>
        <w:rPr>
          <w:rFonts w:ascii="Times New Roman"/>
          <w:i/>
          <w:spacing w:val="-12"/>
          <w:w w:val="105"/>
          <w:sz w:val="17"/>
        </w:rPr>
        <w:t> </w:t>
      </w:r>
      <w:r>
        <w:rPr>
          <w:rFonts w:ascii="Times New Roman"/>
          <w:w w:val="105"/>
          <w:sz w:val="17"/>
        </w:rPr>
        <w:t>75:</w:t>
      </w:r>
      <w:r>
        <w:rPr>
          <w:rFonts w:ascii="Times New Roman"/>
          <w:spacing w:val="-9"/>
          <w:w w:val="105"/>
          <w:sz w:val="17"/>
        </w:rPr>
        <w:t> </w:t>
      </w:r>
      <w:r>
        <w:rPr>
          <w:rFonts w:ascii="Times New Roman"/>
          <w:w w:val="105"/>
          <w:sz w:val="17"/>
        </w:rPr>
        <w:t>641-</w:t>
      </w:r>
      <w:r>
        <w:rPr>
          <w:rFonts w:ascii="Times New Roman"/>
          <w:spacing w:val="-10"/>
          <w:w w:val="105"/>
          <w:sz w:val="17"/>
        </w:rPr>
        <w:t> </w:t>
      </w:r>
      <w:r>
        <w:rPr>
          <w:rFonts w:ascii="Times New Roman"/>
          <w:w w:val="105"/>
          <w:sz w:val="17"/>
        </w:rPr>
        <w:t>644.</w:t>
      </w:r>
    </w:p>
    <w:p>
      <w:pPr>
        <w:spacing w:before="56"/>
        <w:ind w:left="176" w:right="102" w:firstLine="0"/>
        <w:jc w:val="left"/>
        <w:rPr>
          <w:rFonts w:ascii="Times New Roman"/>
          <w:sz w:val="17"/>
        </w:rPr>
      </w:pPr>
      <w:r>
        <w:rPr>
          <w:rFonts w:ascii="Times New Roman"/>
          <w:w w:val="105"/>
          <w:sz w:val="17"/>
        </w:rPr>
        <w:t>Bernfeld, P. 1955. Amylases, alpha and beta.</w:t>
      </w:r>
      <w:r>
        <w:rPr>
          <w:rFonts w:ascii="Times New Roman"/>
          <w:i/>
          <w:w w:val="105"/>
          <w:sz w:val="17"/>
        </w:rPr>
        <w:t>Methods in Enzymology</w:t>
      </w:r>
      <w:r>
        <w:rPr>
          <w:rFonts w:ascii="Times New Roman"/>
          <w:w w:val="105"/>
          <w:sz w:val="17"/>
        </w:rPr>
        <w:t>, 1: 149-158.</w:t>
      </w:r>
    </w:p>
    <w:p>
      <w:pPr>
        <w:spacing w:line="285" w:lineRule="auto" w:before="92"/>
        <w:ind w:left="677" w:right="102" w:hanging="502"/>
        <w:jc w:val="left"/>
        <w:rPr>
          <w:rFonts w:ascii="Times New Roman"/>
          <w:sz w:val="17"/>
        </w:rPr>
      </w:pPr>
      <w:r>
        <w:rPr>
          <w:rFonts w:ascii="Times New Roman"/>
          <w:w w:val="105"/>
          <w:sz w:val="17"/>
        </w:rPr>
        <w:t>Calder, P.C. and Kew, S. 2002. The immune system: a target for functional foods. </w:t>
      </w:r>
      <w:r>
        <w:rPr>
          <w:rFonts w:ascii="Times New Roman"/>
          <w:i/>
          <w:w w:val="105"/>
          <w:sz w:val="17"/>
        </w:rPr>
        <w:t>British Journal of Nutrition</w:t>
      </w:r>
      <w:r>
        <w:rPr>
          <w:rFonts w:ascii="Times New Roman"/>
          <w:w w:val="105"/>
          <w:sz w:val="17"/>
        </w:rPr>
        <w:t>, 88: S165-S176.</w:t>
      </w:r>
    </w:p>
    <w:p>
      <w:pPr>
        <w:spacing w:line="283" w:lineRule="auto" w:before="56"/>
        <w:ind w:left="677" w:right="102" w:hanging="502"/>
        <w:jc w:val="left"/>
        <w:rPr>
          <w:rFonts w:ascii="Times New Roman"/>
          <w:sz w:val="17"/>
        </w:rPr>
      </w:pPr>
      <w:r>
        <w:rPr>
          <w:rFonts w:ascii="Times New Roman"/>
          <w:w w:val="105"/>
          <w:sz w:val="17"/>
        </w:rPr>
        <w:t>Chandra, R.K. 2004.Impact of nutritional status and nutrient supplements on immune responses and incidence of infection in older individuals.</w:t>
      </w:r>
      <w:r>
        <w:rPr>
          <w:rFonts w:ascii="Times New Roman"/>
          <w:i/>
          <w:w w:val="105"/>
          <w:sz w:val="17"/>
        </w:rPr>
        <w:t>Ageing Research Review</w:t>
      </w:r>
      <w:r>
        <w:rPr>
          <w:rFonts w:ascii="Times New Roman"/>
          <w:w w:val="105"/>
          <w:sz w:val="17"/>
        </w:rPr>
        <w:t>, 3: 91-104.</w:t>
      </w:r>
    </w:p>
    <w:p>
      <w:pPr>
        <w:spacing w:before="58"/>
        <w:ind w:left="176" w:right="102" w:firstLine="0"/>
        <w:jc w:val="left"/>
        <w:rPr>
          <w:rFonts w:ascii="Times New Roman"/>
          <w:sz w:val="17"/>
        </w:rPr>
      </w:pPr>
      <w:r>
        <w:rPr>
          <w:rFonts w:ascii="Times New Roman"/>
          <w:w w:val="105"/>
          <w:sz w:val="17"/>
        </w:rPr>
        <w:t>Chung, Y.-H., Zhou, M., Holtshausen, L., Alexander, T.W., McAllister, T.A., Guan, L.L., Oba, M. and   Beauchemin,</w:t>
      </w:r>
    </w:p>
    <w:p>
      <w:pPr>
        <w:spacing w:line="283" w:lineRule="auto" w:before="37"/>
        <w:ind w:left="677" w:right="102" w:firstLine="0"/>
        <w:jc w:val="left"/>
        <w:rPr>
          <w:rFonts w:ascii="Times New Roman"/>
          <w:sz w:val="17"/>
        </w:rPr>
      </w:pPr>
      <w:r>
        <w:rPr>
          <w:rFonts w:ascii="Times New Roman"/>
          <w:w w:val="105"/>
          <w:sz w:val="17"/>
        </w:rPr>
        <w:t>K.A.</w:t>
      </w:r>
      <w:r>
        <w:rPr>
          <w:rFonts w:ascii="Times New Roman"/>
          <w:spacing w:val="-10"/>
          <w:w w:val="105"/>
          <w:sz w:val="17"/>
        </w:rPr>
        <w:t> </w:t>
      </w:r>
      <w:r>
        <w:rPr>
          <w:rFonts w:ascii="Times New Roman"/>
          <w:w w:val="105"/>
          <w:sz w:val="17"/>
        </w:rPr>
        <w:t>2012.</w:t>
      </w:r>
      <w:r>
        <w:rPr>
          <w:rFonts w:ascii="Times New Roman"/>
          <w:spacing w:val="-10"/>
          <w:w w:val="105"/>
          <w:sz w:val="17"/>
        </w:rPr>
        <w:t> </w:t>
      </w:r>
      <w:r>
        <w:rPr>
          <w:rFonts w:ascii="Times New Roman"/>
          <w:w w:val="105"/>
          <w:sz w:val="17"/>
        </w:rPr>
        <w:t>A</w:t>
      </w:r>
      <w:r>
        <w:rPr>
          <w:rFonts w:ascii="Times New Roman"/>
          <w:spacing w:val="-8"/>
          <w:w w:val="105"/>
          <w:sz w:val="17"/>
        </w:rPr>
        <w:t> </w:t>
      </w:r>
      <w:r>
        <w:rPr>
          <w:rFonts w:ascii="Times New Roman"/>
          <w:w w:val="105"/>
          <w:sz w:val="17"/>
        </w:rPr>
        <w:t>fibrolytic</w:t>
      </w:r>
      <w:r>
        <w:rPr>
          <w:rFonts w:ascii="Times New Roman"/>
          <w:spacing w:val="-10"/>
          <w:w w:val="105"/>
          <w:sz w:val="17"/>
        </w:rPr>
        <w:t> </w:t>
      </w:r>
      <w:r>
        <w:rPr>
          <w:rFonts w:ascii="Times New Roman"/>
          <w:w w:val="105"/>
          <w:sz w:val="17"/>
        </w:rPr>
        <w:t>enzyme</w:t>
      </w:r>
      <w:r>
        <w:rPr>
          <w:rFonts w:ascii="Times New Roman"/>
          <w:spacing w:val="-12"/>
          <w:w w:val="105"/>
          <w:sz w:val="17"/>
        </w:rPr>
        <w:t> </w:t>
      </w:r>
      <w:r>
        <w:rPr>
          <w:rFonts w:ascii="Times New Roman"/>
          <w:w w:val="105"/>
          <w:sz w:val="17"/>
        </w:rPr>
        <w:t>additive</w:t>
      </w:r>
      <w:r>
        <w:rPr>
          <w:rFonts w:ascii="Times New Roman"/>
          <w:spacing w:val="-12"/>
          <w:w w:val="105"/>
          <w:sz w:val="17"/>
        </w:rPr>
        <w:t> </w:t>
      </w:r>
      <w:r>
        <w:rPr>
          <w:rFonts w:ascii="Times New Roman"/>
          <w:w w:val="105"/>
          <w:sz w:val="17"/>
        </w:rPr>
        <w:t>for</w:t>
      </w:r>
      <w:r>
        <w:rPr>
          <w:rFonts w:ascii="Times New Roman"/>
          <w:spacing w:val="-8"/>
          <w:w w:val="105"/>
          <w:sz w:val="17"/>
        </w:rPr>
        <w:t> </w:t>
      </w:r>
      <w:r>
        <w:rPr>
          <w:rFonts w:ascii="Times New Roman"/>
          <w:w w:val="105"/>
          <w:sz w:val="17"/>
        </w:rPr>
        <w:t>lactating</w:t>
      </w:r>
      <w:r>
        <w:rPr>
          <w:rFonts w:ascii="Times New Roman"/>
          <w:spacing w:val="-12"/>
          <w:w w:val="105"/>
          <w:sz w:val="17"/>
        </w:rPr>
        <w:t> </w:t>
      </w:r>
      <w:r>
        <w:rPr>
          <w:rFonts w:ascii="Times New Roman"/>
          <w:w w:val="105"/>
          <w:sz w:val="17"/>
        </w:rPr>
        <w:t>Holstein</w:t>
      </w:r>
      <w:r>
        <w:rPr>
          <w:rFonts w:ascii="Times New Roman"/>
          <w:spacing w:val="-6"/>
          <w:w w:val="105"/>
          <w:sz w:val="17"/>
        </w:rPr>
        <w:t> </w:t>
      </w:r>
      <w:r>
        <w:rPr>
          <w:rFonts w:ascii="Times New Roman"/>
          <w:w w:val="105"/>
          <w:sz w:val="17"/>
        </w:rPr>
        <w:t>cow</w:t>
      </w:r>
      <w:r>
        <w:rPr>
          <w:rFonts w:ascii="Times New Roman"/>
          <w:spacing w:val="-7"/>
          <w:w w:val="105"/>
          <w:sz w:val="17"/>
        </w:rPr>
        <w:t> </w:t>
      </w:r>
      <w:r>
        <w:rPr>
          <w:rFonts w:ascii="Times New Roman"/>
          <w:w w:val="105"/>
          <w:sz w:val="17"/>
        </w:rPr>
        <w:t>diets:</w:t>
      </w:r>
      <w:r>
        <w:rPr>
          <w:rFonts w:ascii="Times New Roman"/>
          <w:spacing w:val="-8"/>
          <w:w w:val="105"/>
          <w:sz w:val="17"/>
        </w:rPr>
        <w:t> </w:t>
      </w:r>
      <w:r>
        <w:rPr>
          <w:rFonts w:ascii="Times New Roman"/>
          <w:w w:val="105"/>
          <w:sz w:val="17"/>
        </w:rPr>
        <w:t>ruminal</w:t>
      </w:r>
      <w:r>
        <w:rPr>
          <w:rFonts w:ascii="Times New Roman"/>
          <w:spacing w:val="-8"/>
          <w:w w:val="105"/>
          <w:sz w:val="17"/>
        </w:rPr>
        <w:t> </w:t>
      </w:r>
      <w:r>
        <w:rPr>
          <w:rFonts w:ascii="Times New Roman"/>
          <w:w w:val="105"/>
          <w:sz w:val="17"/>
        </w:rPr>
        <w:t>fermentation,</w:t>
      </w:r>
      <w:r>
        <w:rPr>
          <w:rFonts w:ascii="Times New Roman"/>
          <w:spacing w:val="-10"/>
          <w:w w:val="105"/>
          <w:sz w:val="17"/>
        </w:rPr>
        <w:t> </w:t>
      </w:r>
      <w:r>
        <w:rPr>
          <w:rFonts w:ascii="Times New Roman"/>
          <w:w w:val="105"/>
          <w:sz w:val="17"/>
        </w:rPr>
        <w:t>rumen</w:t>
      </w:r>
      <w:r>
        <w:rPr>
          <w:rFonts w:ascii="Times New Roman"/>
          <w:spacing w:val="-6"/>
          <w:w w:val="105"/>
          <w:sz w:val="17"/>
        </w:rPr>
        <w:t> </w:t>
      </w:r>
      <w:r>
        <w:rPr>
          <w:rFonts w:ascii="Times New Roman"/>
          <w:w w:val="105"/>
          <w:sz w:val="17"/>
        </w:rPr>
        <w:t>microbial populations,</w:t>
      </w:r>
      <w:r>
        <w:rPr>
          <w:rFonts w:ascii="Times New Roman"/>
          <w:spacing w:val="-16"/>
          <w:w w:val="105"/>
          <w:sz w:val="17"/>
        </w:rPr>
        <w:t> </w:t>
      </w:r>
      <w:r>
        <w:rPr>
          <w:rFonts w:ascii="Times New Roman"/>
          <w:w w:val="105"/>
          <w:sz w:val="17"/>
        </w:rPr>
        <w:t>and</w:t>
      </w:r>
      <w:r>
        <w:rPr>
          <w:rFonts w:ascii="Times New Roman"/>
          <w:spacing w:val="-13"/>
          <w:w w:val="105"/>
          <w:sz w:val="17"/>
        </w:rPr>
        <w:t> </w:t>
      </w:r>
      <w:r>
        <w:rPr>
          <w:rFonts w:ascii="Times New Roman"/>
          <w:w w:val="105"/>
          <w:sz w:val="17"/>
        </w:rPr>
        <w:t>enteric</w:t>
      </w:r>
      <w:r>
        <w:rPr>
          <w:rFonts w:ascii="Times New Roman"/>
          <w:spacing w:val="-13"/>
          <w:w w:val="105"/>
          <w:sz w:val="17"/>
        </w:rPr>
        <w:t> </w:t>
      </w:r>
      <w:r>
        <w:rPr>
          <w:rFonts w:ascii="Times New Roman"/>
          <w:w w:val="105"/>
          <w:sz w:val="17"/>
        </w:rPr>
        <w:t>methane</w:t>
      </w:r>
      <w:r>
        <w:rPr>
          <w:rFonts w:ascii="Times New Roman"/>
          <w:spacing w:val="-13"/>
          <w:w w:val="105"/>
          <w:sz w:val="17"/>
        </w:rPr>
        <w:t> </w:t>
      </w:r>
      <w:r>
        <w:rPr>
          <w:rFonts w:ascii="Times New Roman"/>
          <w:w w:val="105"/>
          <w:sz w:val="17"/>
        </w:rPr>
        <w:t>emissions.</w:t>
      </w:r>
      <w:r>
        <w:rPr>
          <w:rFonts w:ascii="Times New Roman"/>
          <w:spacing w:val="-14"/>
          <w:w w:val="105"/>
          <w:sz w:val="17"/>
        </w:rPr>
        <w:t> </w:t>
      </w:r>
      <w:r>
        <w:rPr>
          <w:rFonts w:ascii="Times New Roman"/>
          <w:i/>
          <w:w w:val="105"/>
          <w:sz w:val="17"/>
        </w:rPr>
        <w:t>Journal</w:t>
      </w:r>
      <w:r>
        <w:rPr>
          <w:rFonts w:ascii="Times New Roman"/>
          <w:i/>
          <w:spacing w:val="-14"/>
          <w:w w:val="105"/>
          <w:sz w:val="17"/>
        </w:rPr>
        <w:t> </w:t>
      </w:r>
      <w:r>
        <w:rPr>
          <w:rFonts w:ascii="Times New Roman"/>
          <w:i/>
          <w:w w:val="105"/>
          <w:sz w:val="17"/>
        </w:rPr>
        <w:t>of</w:t>
      </w:r>
      <w:r>
        <w:rPr>
          <w:rFonts w:ascii="Times New Roman"/>
          <w:i/>
          <w:spacing w:val="-14"/>
          <w:w w:val="105"/>
          <w:sz w:val="17"/>
        </w:rPr>
        <w:t> </w:t>
      </w:r>
      <w:r>
        <w:rPr>
          <w:rFonts w:ascii="Times New Roman"/>
          <w:i/>
          <w:w w:val="105"/>
          <w:sz w:val="17"/>
        </w:rPr>
        <w:t>Dairy</w:t>
      </w:r>
      <w:r>
        <w:rPr>
          <w:rFonts w:ascii="Times New Roman"/>
          <w:i/>
          <w:spacing w:val="-15"/>
          <w:w w:val="105"/>
          <w:sz w:val="17"/>
        </w:rPr>
        <w:t> </w:t>
      </w:r>
      <w:r>
        <w:rPr>
          <w:rFonts w:ascii="Times New Roman"/>
          <w:i/>
          <w:w w:val="105"/>
          <w:sz w:val="17"/>
        </w:rPr>
        <w:t>Science,</w:t>
      </w:r>
      <w:r>
        <w:rPr>
          <w:rFonts w:ascii="Times New Roman"/>
          <w:i/>
          <w:spacing w:val="-14"/>
          <w:w w:val="105"/>
          <w:sz w:val="17"/>
        </w:rPr>
        <w:t> </w:t>
      </w:r>
      <w:r>
        <w:rPr>
          <w:rFonts w:ascii="Times New Roman"/>
          <w:w w:val="105"/>
          <w:sz w:val="17"/>
        </w:rPr>
        <w:t>95:</w:t>
      </w:r>
      <w:r>
        <w:rPr>
          <w:rFonts w:ascii="Times New Roman"/>
          <w:spacing w:val="-14"/>
          <w:w w:val="105"/>
          <w:sz w:val="17"/>
        </w:rPr>
        <w:t> </w:t>
      </w:r>
      <w:r>
        <w:rPr>
          <w:rFonts w:ascii="Times New Roman"/>
          <w:w w:val="105"/>
          <w:sz w:val="17"/>
        </w:rPr>
        <w:t>1419-1427.</w:t>
      </w:r>
    </w:p>
    <w:p>
      <w:pPr>
        <w:spacing w:before="58"/>
        <w:ind w:left="176" w:right="102" w:firstLine="0"/>
        <w:jc w:val="left"/>
        <w:rPr>
          <w:rFonts w:ascii="Times New Roman"/>
          <w:sz w:val="17"/>
        </w:rPr>
      </w:pPr>
      <w:r>
        <w:rPr>
          <w:rFonts w:ascii="Times New Roman"/>
          <w:w w:val="105"/>
          <w:sz w:val="17"/>
        </w:rPr>
        <w:t>Cowan, M.M. 1999. Plant products as antimicrobial agents.</w:t>
      </w:r>
      <w:r>
        <w:rPr>
          <w:rFonts w:ascii="Times New Roman"/>
          <w:i/>
          <w:w w:val="105"/>
          <w:sz w:val="17"/>
        </w:rPr>
        <w:t>Clinical Microbiology Reviews</w:t>
      </w:r>
      <w:r>
        <w:rPr>
          <w:rFonts w:ascii="Times New Roman"/>
          <w:w w:val="105"/>
          <w:sz w:val="17"/>
        </w:rPr>
        <w:t>, 12: 564582.</w:t>
      </w:r>
    </w:p>
    <w:p>
      <w:pPr>
        <w:spacing w:line="285" w:lineRule="auto" w:before="92"/>
        <w:ind w:left="677" w:right="102" w:hanging="502"/>
        <w:jc w:val="left"/>
        <w:rPr>
          <w:rFonts w:ascii="Times New Roman"/>
          <w:sz w:val="17"/>
        </w:rPr>
      </w:pPr>
      <w:r>
        <w:rPr>
          <w:rFonts w:ascii="Times New Roman"/>
          <w:w w:val="105"/>
          <w:sz w:val="17"/>
        </w:rPr>
        <w:t>Enwonwu, C.O. 2006. Complex interactions between malnutrition, infection and immunity: relevance to HIV/AIDSinfection. </w:t>
      </w:r>
      <w:r>
        <w:rPr>
          <w:rFonts w:ascii="Times New Roman"/>
          <w:i/>
          <w:w w:val="105"/>
          <w:sz w:val="17"/>
        </w:rPr>
        <w:t>Nigeria Journal of Clinical and Biomedical Research</w:t>
      </w:r>
      <w:r>
        <w:rPr>
          <w:rFonts w:ascii="Times New Roman"/>
          <w:w w:val="105"/>
          <w:sz w:val="17"/>
        </w:rPr>
        <w:t>, 1: 6-14</w:t>
      </w:r>
    </w:p>
    <w:p>
      <w:pPr>
        <w:spacing w:line="283" w:lineRule="auto" w:before="56"/>
        <w:ind w:left="677" w:right="102" w:hanging="502"/>
        <w:jc w:val="left"/>
        <w:rPr>
          <w:rFonts w:ascii="Times New Roman"/>
          <w:sz w:val="17"/>
        </w:rPr>
      </w:pPr>
      <w:r>
        <w:rPr>
          <w:rFonts w:ascii="Times New Roman"/>
          <w:w w:val="105"/>
          <w:sz w:val="17"/>
        </w:rPr>
        <w:t>Erickson, K.L., Medina, E.A. and Hubbard, N.E. 2000. Micronutrients and innate immunity.</w:t>
      </w:r>
      <w:r>
        <w:rPr>
          <w:rFonts w:ascii="Times New Roman"/>
          <w:i/>
          <w:w w:val="105"/>
          <w:sz w:val="17"/>
        </w:rPr>
        <w:t>Journal of Infectious </w:t>
      </w:r>
      <w:r>
        <w:rPr>
          <w:rFonts w:ascii="Times New Roman"/>
          <w:i/>
          <w:w w:val="105"/>
          <w:sz w:val="17"/>
        </w:rPr>
        <w:t>Diseases</w:t>
      </w:r>
      <w:r>
        <w:rPr>
          <w:rFonts w:ascii="Times New Roman"/>
          <w:w w:val="105"/>
          <w:sz w:val="17"/>
        </w:rPr>
        <w:t>, 182: S5-10.</w:t>
      </w:r>
    </w:p>
    <w:p>
      <w:pPr>
        <w:spacing w:line="283" w:lineRule="auto" w:before="61"/>
        <w:ind w:left="677" w:right="102" w:hanging="502"/>
        <w:jc w:val="left"/>
        <w:rPr>
          <w:rFonts w:ascii="Times New Roman"/>
          <w:sz w:val="17"/>
        </w:rPr>
      </w:pPr>
      <w:r>
        <w:rPr>
          <w:rFonts w:ascii="Times New Roman"/>
          <w:w w:val="105"/>
          <w:sz w:val="17"/>
        </w:rPr>
        <w:t>Gado, H.M., Salem, A.Z.M., Odongo, N.E. and Borhami, B.E. 2011. Influence of exogenous enzymes ensiled with orange</w:t>
      </w:r>
      <w:r>
        <w:rPr>
          <w:rFonts w:ascii="Times New Roman"/>
          <w:spacing w:val="-14"/>
          <w:w w:val="105"/>
          <w:sz w:val="17"/>
        </w:rPr>
        <w:t> </w:t>
      </w:r>
      <w:r>
        <w:rPr>
          <w:rFonts w:ascii="Times New Roman"/>
          <w:w w:val="105"/>
          <w:sz w:val="17"/>
        </w:rPr>
        <w:t>pulp</w:t>
      </w:r>
      <w:r>
        <w:rPr>
          <w:rFonts w:ascii="Times New Roman"/>
          <w:spacing w:val="-12"/>
          <w:w w:val="105"/>
          <w:sz w:val="17"/>
        </w:rPr>
        <w:t> </w:t>
      </w:r>
      <w:r>
        <w:rPr>
          <w:rFonts w:ascii="Times New Roman"/>
          <w:w w:val="105"/>
          <w:sz w:val="17"/>
        </w:rPr>
        <w:t>on</w:t>
      </w:r>
      <w:r>
        <w:rPr>
          <w:rFonts w:ascii="Times New Roman"/>
          <w:spacing w:val="-14"/>
          <w:w w:val="105"/>
          <w:sz w:val="17"/>
        </w:rPr>
        <w:t> </w:t>
      </w:r>
      <w:r>
        <w:rPr>
          <w:rFonts w:ascii="Times New Roman"/>
          <w:w w:val="105"/>
          <w:sz w:val="17"/>
        </w:rPr>
        <w:t>digestion</w:t>
      </w:r>
      <w:r>
        <w:rPr>
          <w:rFonts w:ascii="Times New Roman"/>
          <w:spacing w:val="-12"/>
          <w:w w:val="105"/>
          <w:sz w:val="17"/>
        </w:rPr>
        <w:t> </w:t>
      </w:r>
      <w:r>
        <w:rPr>
          <w:rFonts w:ascii="Times New Roman"/>
          <w:w w:val="105"/>
          <w:sz w:val="17"/>
        </w:rPr>
        <w:t>and</w:t>
      </w:r>
      <w:r>
        <w:rPr>
          <w:rFonts w:ascii="Times New Roman"/>
          <w:spacing w:val="-12"/>
          <w:w w:val="105"/>
          <w:sz w:val="17"/>
        </w:rPr>
        <w:t> </w:t>
      </w:r>
      <w:r>
        <w:rPr>
          <w:rFonts w:ascii="Times New Roman"/>
          <w:w w:val="105"/>
          <w:sz w:val="17"/>
        </w:rPr>
        <w:t>growth</w:t>
      </w:r>
      <w:r>
        <w:rPr>
          <w:rFonts w:ascii="Times New Roman"/>
          <w:spacing w:val="-12"/>
          <w:w w:val="105"/>
          <w:sz w:val="17"/>
        </w:rPr>
        <w:t> </w:t>
      </w:r>
      <w:r>
        <w:rPr>
          <w:rFonts w:ascii="Times New Roman"/>
          <w:w w:val="105"/>
          <w:sz w:val="17"/>
        </w:rPr>
        <w:t>performance</w:t>
      </w:r>
      <w:r>
        <w:rPr>
          <w:rFonts w:ascii="Times New Roman"/>
          <w:spacing w:val="-15"/>
          <w:w w:val="105"/>
          <w:sz w:val="17"/>
        </w:rPr>
        <w:t> </w:t>
      </w:r>
      <w:r>
        <w:rPr>
          <w:rFonts w:ascii="Times New Roman"/>
          <w:w w:val="105"/>
          <w:sz w:val="17"/>
        </w:rPr>
        <w:t>in</w:t>
      </w:r>
      <w:r>
        <w:rPr>
          <w:rFonts w:ascii="Times New Roman"/>
          <w:spacing w:val="-14"/>
          <w:w w:val="105"/>
          <w:sz w:val="17"/>
        </w:rPr>
        <w:t> </w:t>
      </w:r>
      <w:r>
        <w:rPr>
          <w:rFonts w:ascii="Times New Roman"/>
          <w:w w:val="105"/>
          <w:sz w:val="17"/>
        </w:rPr>
        <w:t>lambs.</w:t>
      </w:r>
      <w:r>
        <w:rPr>
          <w:rFonts w:ascii="Times New Roman"/>
          <w:spacing w:val="-13"/>
          <w:w w:val="105"/>
          <w:sz w:val="17"/>
        </w:rPr>
        <w:t> </w:t>
      </w:r>
      <w:r>
        <w:rPr>
          <w:rFonts w:ascii="Times New Roman"/>
          <w:i/>
          <w:w w:val="105"/>
          <w:sz w:val="17"/>
        </w:rPr>
        <w:t>Animal</w:t>
      </w:r>
      <w:r>
        <w:rPr>
          <w:rFonts w:ascii="Times New Roman"/>
          <w:i/>
          <w:spacing w:val="-13"/>
          <w:w w:val="105"/>
          <w:sz w:val="17"/>
        </w:rPr>
        <w:t> </w:t>
      </w:r>
      <w:r>
        <w:rPr>
          <w:rFonts w:ascii="Times New Roman"/>
          <w:i/>
          <w:w w:val="105"/>
          <w:sz w:val="17"/>
        </w:rPr>
        <w:t>Feed</w:t>
      </w:r>
      <w:r>
        <w:rPr>
          <w:rFonts w:ascii="Times New Roman"/>
          <w:i/>
          <w:spacing w:val="-12"/>
          <w:w w:val="105"/>
          <w:sz w:val="17"/>
        </w:rPr>
        <w:t> </w:t>
      </w:r>
      <w:r>
        <w:rPr>
          <w:rFonts w:ascii="Times New Roman"/>
          <w:i/>
          <w:w w:val="105"/>
          <w:sz w:val="17"/>
        </w:rPr>
        <w:t>Science</w:t>
      </w:r>
      <w:r>
        <w:rPr>
          <w:rFonts w:ascii="Times New Roman"/>
          <w:i/>
          <w:spacing w:val="-11"/>
          <w:w w:val="105"/>
          <w:sz w:val="17"/>
        </w:rPr>
        <w:t> </w:t>
      </w:r>
      <w:r>
        <w:rPr>
          <w:rFonts w:ascii="Times New Roman"/>
          <w:i/>
          <w:w w:val="105"/>
          <w:sz w:val="17"/>
        </w:rPr>
        <w:t>and</w:t>
      </w:r>
      <w:r>
        <w:rPr>
          <w:rFonts w:ascii="Times New Roman"/>
          <w:i/>
          <w:spacing w:val="-14"/>
          <w:w w:val="105"/>
          <w:sz w:val="17"/>
        </w:rPr>
        <w:t> </w:t>
      </w:r>
      <w:r>
        <w:rPr>
          <w:rFonts w:ascii="Times New Roman"/>
          <w:i/>
          <w:w w:val="105"/>
          <w:sz w:val="17"/>
        </w:rPr>
        <w:t>Technology,</w:t>
      </w:r>
      <w:r>
        <w:rPr>
          <w:rFonts w:ascii="Times New Roman"/>
          <w:i/>
          <w:spacing w:val="-14"/>
          <w:w w:val="105"/>
          <w:sz w:val="17"/>
        </w:rPr>
        <w:t> </w:t>
      </w:r>
      <w:r>
        <w:rPr>
          <w:rFonts w:ascii="Times New Roman"/>
          <w:w w:val="105"/>
          <w:sz w:val="17"/>
        </w:rPr>
        <w:t>165:</w:t>
      </w:r>
      <w:r>
        <w:rPr>
          <w:rFonts w:ascii="Times New Roman"/>
          <w:spacing w:val="-13"/>
          <w:w w:val="105"/>
          <w:sz w:val="17"/>
        </w:rPr>
        <w:t> </w:t>
      </w:r>
      <w:r>
        <w:rPr>
          <w:rFonts w:ascii="Times New Roman"/>
          <w:w w:val="105"/>
          <w:sz w:val="17"/>
        </w:rPr>
        <w:t>131-136.</w:t>
      </w:r>
    </w:p>
    <w:p>
      <w:pPr>
        <w:spacing w:before="58"/>
        <w:ind w:left="175" w:right="102" w:firstLine="0"/>
        <w:jc w:val="left"/>
        <w:rPr>
          <w:rFonts w:ascii="Times New Roman"/>
          <w:sz w:val="17"/>
        </w:rPr>
      </w:pPr>
      <w:r>
        <w:rPr>
          <w:rFonts w:ascii="Times New Roman"/>
          <w:w w:val="105"/>
          <w:sz w:val="17"/>
        </w:rPr>
        <w:t>Grimble, R.F. 1998. Nutritional modulation of cytokine biology.</w:t>
      </w:r>
      <w:r>
        <w:rPr>
          <w:rFonts w:ascii="Times New Roman"/>
          <w:i/>
          <w:w w:val="105"/>
          <w:sz w:val="17"/>
        </w:rPr>
        <w:t>Nutrition, </w:t>
      </w:r>
      <w:r>
        <w:rPr>
          <w:rFonts w:ascii="Times New Roman"/>
          <w:w w:val="105"/>
          <w:sz w:val="17"/>
        </w:rPr>
        <w:t>14: 634-640.</w:t>
      </w:r>
    </w:p>
    <w:p>
      <w:pPr>
        <w:spacing w:line="285" w:lineRule="auto" w:before="92"/>
        <w:ind w:left="677" w:right="102" w:hanging="502"/>
        <w:jc w:val="left"/>
        <w:rPr>
          <w:rFonts w:ascii="Times New Roman"/>
          <w:sz w:val="17"/>
        </w:rPr>
      </w:pPr>
      <w:r>
        <w:rPr>
          <w:rFonts w:ascii="Times New Roman"/>
          <w:w w:val="105"/>
          <w:sz w:val="17"/>
        </w:rPr>
        <w:t>Harikrishnan, R., Balasundaram, C. and Heo, M.S. 2011.Impact of plant products on innate and adaptive immune system of cultured finfish and shellfish. </w:t>
      </w:r>
      <w:r>
        <w:rPr>
          <w:rFonts w:ascii="Times New Roman"/>
          <w:i/>
          <w:w w:val="105"/>
          <w:sz w:val="17"/>
        </w:rPr>
        <w:t>Aquaculture</w:t>
      </w:r>
      <w:r>
        <w:rPr>
          <w:rFonts w:ascii="Times New Roman"/>
          <w:w w:val="105"/>
          <w:sz w:val="17"/>
        </w:rPr>
        <w:t>, 317: 1-15.</w:t>
      </w:r>
    </w:p>
    <w:p>
      <w:pPr>
        <w:spacing w:line="283" w:lineRule="auto" w:before="56"/>
        <w:ind w:left="677" w:right="102" w:hanging="502"/>
        <w:jc w:val="both"/>
        <w:rPr>
          <w:rFonts w:ascii="Times New Roman"/>
          <w:sz w:val="17"/>
        </w:rPr>
      </w:pPr>
      <w:r>
        <w:rPr>
          <w:rFonts w:ascii="Times New Roman"/>
          <w:w w:val="105"/>
          <w:sz w:val="17"/>
        </w:rPr>
        <w:t>Hote, P.T., Sahoo, R., Jani, T.S., Ghare, S.S., Chen, T., Joshi-Barve, S., McClain, C.J. and Barve, S.S. 2008. Ethanol inhibits</w:t>
      </w:r>
      <w:r>
        <w:rPr>
          <w:rFonts w:ascii="Times New Roman"/>
          <w:spacing w:val="-15"/>
          <w:w w:val="105"/>
          <w:sz w:val="17"/>
        </w:rPr>
        <w:t> </w:t>
      </w:r>
      <w:r>
        <w:rPr>
          <w:rFonts w:ascii="Times New Roman"/>
          <w:w w:val="105"/>
          <w:sz w:val="17"/>
        </w:rPr>
        <w:t>methionine</w:t>
      </w:r>
      <w:r>
        <w:rPr>
          <w:rFonts w:ascii="Times New Roman"/>
          <w:spacing w:val="-16"/>
          <w:w w:val="105"/>
          <w:sz w:val="17"/>
        </w:rPr>
        <w:t> </w:t>
      </w:r>
      <w:r>
        <w:rPr>
          <w:rFonts w:ascii="Times New Roman"/>
          <w:w w:val="105"/>
          <w:sz w:val="17"/>
        </w:rPr>
        <w:t>adenosyltransferase</w:t>
      </w:r>
      <w:r>
        <w:rPr>
          <w:rFonts w:ascii="Times New Roman"/>
          <w:spacing w:val="-16"/>
          <w:w w:val="105"/>
          <w:sz w:val="17"/>
        </w:rPr>
        <w:t> </w:t>
      </w:r>
      <w:r>
        <w:rPr>
          <w:rFonts w:ascii="Times New Roman"/>
          <w:w w:val="105"/>
          <w:sz w:val="17"/>
        </w:rPr>
        <w:t>II</w:t>
      </w:r>
      <w:r>
        <w:rPr>
          <w:rFonts w:ascii="Times New Roman"/>
          <w:spacing w:val="-16"/>
          <w:w w:val="105"/>
          <w:sz w:val="17"/>
        </w:rPr>
        <w:t> </w:t>
      </w:r>
      <w:r>
        <w:rPr>
          <w:rFonts w:ascii="Times New Roman"/>
          <w:w w:val="105"/>
          <w:sz w:val="17"/>
        </w:rPr>
        <w:t>activity</w:t>
      </w:r>
      <w:r>
        <w:rPr>
          <w:rFonts w:ascii="Times New Roman"/>
          <w:spacing w:val="-15"/>
          <w:w w:val="105"/>
          <w:sz w:val="17"/>
        </w:rPr>
        <w:t> </w:t>
      </w:r>
      <w:r>
        <w:rPr>
          <w:rFonts w:ascii="Times New Roman"/>
          <w:w w:val="105"/>
          <w:sz w:val="17"/>
        </w:rPr>
        <w:t>and</w:t>
      </w:r>
      <w:r>
        <w:rPr>
          <w:rFonts w:ascii="Times New Roman"/>
          <w:spacing w:val="-14"/>
          <w:w w:val="105"/>
          <w:sz w:val="17"/>
        </w:rPr>
        <w:t> </w:t>
      </w:r>
      <w:r>
        <w:rPr>
          <w:rFonts w:ascii="Times New Roman"/>
          <w:w w:val="105"/>
          <w:sz w:val="17"/>
        </w:rPr>
        <w:t>S-adenosylmethionine</w:t>
      </w:r>
      <w:r>
        <w:rPr>
          <w:rFonts w:ascii="Times New Roman"/>
          <w:spacing w:val="-18"/>
          <w:w w:val="105"/>
          <w:sz w:val="17"/>
        </w:rPr>
        <w:t> </w:t>
      </w:r>
      <w:r>
        <w:rPr>
          <w:rFonts w:ascii="Times New Roman"/>
          <w:w w:val="105"/>
          <w:sz w:val="17"/>
        </w:rPr>
        <w:t>biosynthesis</w:t>
      </w:r>
      <w:r>
        <w:rPr>
          <w:rFonts w:ascii="Times New Roman"/>
          <w:spacing w:val="-15"/>
          <w:w w:val="105"/>
          <w:sz w:val="17"/>
        </w:rPr>
        <w:t> </w:t>
      </w:r>
      <w:r>
        <w:rPr>
          <w:rFonts w:ascii="Times New Roman"/>
          <w:w w:val="105"/>
          <w:sz w:val="17"/>
        </w:rPr>
        <w:t>and</w:t>
      </w:r>
      <w:r>
        <w:rPr>
          <w:rFonts w:ascii="Times New Roman"/>
          <w:spacing w:val="-15"/>
          <w:w w:val="105"/>
          <w:sz w:val="17"/>
        </w:rPr>
        <w:t> </w:t>
      </w:r>
      <w:r>
        <w:rPr>
          <w:rFonts w:ascii="Times New Roman"/>
          <w:w w:val="105"/>
          <w:sz w:val="17"/>
        </w:rPr>
        <w:t>enhances</w:t>
      </w:r>
      <w:r>
        <w:rPr>
          <w:rFonts w:ascii="Times New Roman"/>
          <w:spacing w:val="-16"/>
          <w:w w:val="105"/>
          <w:sz w:val="17"/>
        </w:rPr>
        <w:t> </w:t>
      </w:r>
      <w:r>
        <w:rPr>
          <w:rFonts w:ascii="Times New Roman"/>
          <w:w w:val="105"/>
          <w:sz w:val="17"/>
        </w:rPr>
        <w:t>caspase- 3-dependent cell death in T lymphocytes: relevance to alcohol-induced immunosuppression. </w:t>
      </w:r>
      <w:r>
        <w:rPr>
          <w:rFonts w:ascii="Times New Roman"/>
          <w:i/>
          <w:w w:val="105"/>
          <w:sz w:val="17"/>
        </w:rPr>
        <w:t>Journal of </w:t>
      </w:r>
      <w:r>
        <w:rPr>
          <w:rFonts w:ascii="Times New Roman"/>
          <w:i/>
          <w:w w:val="105"/>
          <w:sz w:val="17"/>
        </w:rPr>
        <w:t>Nutritional</w:t>
      </w:r>
      <w:r>
        <w:rPr>
          <w:rFonts w:ascii="Times New Roman"/>
          <w:i/>
          <w:spacing w:val="-21"/>
          <w:w w:val="105"/>
          <w:sz w:val="17"/>
        </w:rPr>
        <w:t> </w:t>
      </w:r>
      <w:r>
        <w:rPr>
          <w:rFonts w:ascii="Times New Roman"/>
          <w:i/>
          <w:w w:val="105"/>
          <w:sz w:val="17"/>
        </w:rPr>
        <w:t>Biochemistry</w:t>
      </w:r>
      <w:r>
        <w:rPr>
          <w:rFonts w:ascii="Times New Roman"/>
          <w:w w:val="105"/>
          <w:sz w:val="17"/>
        </w:rPr>
        <w:t>,</w:t>
      </w:r>
      <w:r>
        <w:rPr>
          <w:rFonts w:ascii="Times New Roman"/>
          <w:spacing w:val="-22"/>
          <w:w w:val="105"/>
          <w:sz w:val="17"/>
        </w:rPr>
        <w:t> </w:t>
      </w:r>
      <w:r>
        <w:rPr>
          <w:rFonts w:ascii="Times New Roman"/>
          <w:w w:val="105"/>
          <w:sz w:val="17"/>
        </w:rPr>
        <w:t>19:</w:t>
      </w:r>
      <w:r>
        <w:rPr>
          <w:rFonts w:ascii="Times New Roman"/>
          <w:spacing w:val="-21"/>
          <w:w w:val="105"/>
          <w:sz w:val="17"/>
        </w:rPr>
        <w:t> </w:t>
      </w:r>
      <w:r>
        <w:rPr>
          <w:rFonts w:ascii="Times New Roman"/>
          <w:w w:val="105"/>
          <w:sz w:val="17"/>
        </w:rPr>
        <w:t>384-391.</w:t>
      </w:r>
    </w:p>
    <w:p>
      <w:pPr>
        <w:spacing w:line="283" w:lineRule="auto" w:before="61"/>
        <w:ind w:left="677" w:right="-2" w:hanging="502"/>
        <w:jc w:val="left"/>
        <w:rPr>
          <w:rFonts w:ascii="Times New Roman" w:hAnsi="Times New Roman"/>
          <w:sz w:val="17"/>
        </w:rPr>
      </w:pPr>
      <w:r>
        <w:rPr>
          <w:rFonts w:ascii="Times New Roman" w:hAnsi="Times New Roman"/>
          <w:w w:val="105"/>
          <w:sz w:val="17"/>
        </w:rPr>
        <w:t>Keith, M.E. and Jeejeebhoy, K.N. 1997.Immunonutrition.</w:t>
      </w:r>
      <w:r>
        <w:rPr>
          <w:rFonts w:ascii="Times New Roman" w:hAnsi="Times New Roman"/>
          <w:i/>
          <w:w w:val="105"/>
          <w:sz w:val="17"/>
        </w:rPr>
        <w:t>Baillière’s Clinical Endocrinology and Metabolism</w:t>
      </w:r>
      <w:r>
        <w:rPr>
          <w:rFonts w:ascii="Times New Roman" w:hAnsi="Times New Roman"/>
          <w:w w:val="105"/>
          <w:sz w:val="17"/>
        </w:rPr>
        <w:t>, 11: 709- 738.</w:t>
      </w:r>
    </w:p>
    <w:p>
      <w:pPr>
        <w:spacing w:line="285" w:lineRule="auto" w:before="58"/>
        <w:ind w:left="116" w:right="102" w:firstLine="0"/>
        <w:jc w:val="left"/>
        <w:rPr>
          <w:rFonts w:ascii="Times New Roman"/>
          <w:sz w:val="17"/>
        </w:rPr>
      </w:pPr>
      <w:r>
        <w:rPr>
          <w:rFonts w:ascii="Times New Roman"/>
          <w:w w:val="105"/>
          <w:sz w:val="17"/>
        </w:rPr>
        <w:t>Khalil, A.H. and El-Adawy, T.A. 1994.Isolation, identification and toxicity of saponin from different legumes.</w:t>
      </w:r>
      <w:r>
        <w:rPr>
          <w:rFonts w:ascii="Times New Roman"/>
          <w:i/>
          <w:w w:val="105"/>
          <w:sz w:val="17"/>
        </w:rPr>
        <w:t>Food </w:t>
      </w:r>
      <w:r>
        <w:rPr>
          <w:rFonts w:ascii="Times New Roman"/>
          <w:i/>
          <w:w w:val="105"/>
          <w:sz w:val="17"/>
        </w:rPr>
        <w:t>Chemistry</w:t>
      </w:r>
      <w:r>
        <w:rPr>
          <w:rFonts w:ascii="Times New Roman"/>
          <w:w w:val="105"/>
          <w:sz w:val="17"/>
        </w:rPr>
        <w:t>, 50: 197-201.</w:t>
      </w:r>
    </w:p>
    <w:p>
      <w:pPr>
        <w:spacing w:after="0" w:line="285" w:lineRule="auto"/>
        <w:jc w:val="left"/>
        <w:rPr>
          <w:rFonts w:ascii="Times New Roman"/>
          <w:sz w:val="17"/>
        </w:rPr>
        <w:sectPr>
          <w:pgSz w:w="11900" w:h="16840"/>
          <w:pgMar w:header="0" w:footer="1679" w:top="1600" w:bottom="1860" w:left="1540" w:right="16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8"/>
        </w:rPr>
      </w:pPr>
    </w:p>
    <w:p>
      <w:pPr>
        <w:spacing w:line="285" w:lineRule="auto" w:before="0"/>
        <w:ind w:left="667" w:right="101" w:hanging="552"/>
        <w:jc w:val="both"/>
        <w:rPr>
          <w:rFonts w:ascii="Times New Roman"/>
          <w:sz w:val="17"/>
        </w:rPr>
      </w:pPr>
      <w:r>
        <w:rPr>
          <w:rFonts w:ascii="Times New Roman"/>
          <w:w w:val="105"/>
          <w:sz w:val="17"/>
        </w:rPr>
        <w:t>Lin, Y., Means, G.E. and Feeney, R.E. 1969. The action of proteolytic enzymes on N,N-dimetyl proteins: basis for a microassay for proteolytic enzymes. </w:t>
      </w:r>
      <w:r>
        <w:rPr>
          <w:rFonts w:ascii="Times New Roman"/>
          <w:i/>
          <w:w w:val="105"/>
          <w:sz w:val="17"/>
        </w:rPr>
        <w:t>Journal of Biological Chemistry</w:t>
      </w:r>
      <w:r>
        <w:rPr>
          <w:rFonts w:ascii="Times New Roman"/>
          <w:w w:val="105"/>
          <w:sz w:val="17"/>
        </w:rPr>
        <w:t>, 244: 789-793.</w:t>
      </w:r>
    </w:p>
    <w:p>
      <w:pPr>
        <w:spacing w:line="283" w:lineRule="auto" w:before="56"/>
        <w:ind w:left="677" w:right="106" w:hanging="502"/>
        <w:jc w:val="both"/>
        <w:rPr>
          <w:rFonts w:ascii="Times New Roman"/>
          <w:sz w:val="17"/>
        </w:rPr>
      </w:pPr>
      <w:r>
        <w:rPr>
          <w:rFonts w:ascii="Times New Roman"/>
          <w:w w:val="105"/>
          <w:sz w:val="17"/>
        </w:rPr>
        <w:t>Littell, R.C., Henry, P.R. and Ammerman, C.B. 1998. Statistical analysis of repeated measures data using SAS procedures.</w:t>
      </w:r>
      <w:r>
        <w:rPr>
          <w:rFonts w:ascii="Times New Roman"/>
          <w:i/>
          <w:w w:val="105"/>
          <w:sz w:val="17"/>
        </w:rPr>
        <w:t>Journal of Animal Science, </w:t>
      </w:r>
      <w:r>
        <w:rPr>
          <w:rFonts w:ascii="Times New Roman"/>
          <w:w w:val="105"/>
          <w:sz w:val="17"/>
        </w:rPr>
        <w:t>76: 1216-1231.</w:t>
      </w:r>
    </w:p>
    <w:p>
      <w:pPr>
        <w:spacing w:before="61"/>
        <w:ind w:left="175" w:right="102" w:firstLine="0"/>
        <w:jc w:val="left"/>
        <w:rPr>
          <w:rFonts w:ascii="Times New Roman"/>
          <w:sz w:val="17"/>
        </w:rPr>
      </w:pPr>
      <w:r>
        <w:rPr>
          <w:rFonts w:ascii="Times New Roman"/>
          <w:w w:val="105"/>
          <w:sz w:val="17"/>
        </w:rPr>
        <w:t>Macey, M.G. 2007. Flow Cytometry: Principles and Aplications. Humana Press. New Jersey, USA.</w:t>
      </w:r>
    </w:p>
    <w:p>
      <w:pPr>
        <w:spacing w:line="283" w:lineRule="auto" w:before="90"/>
        <w:ind w:left="677" w:right="104" w:hanging="502"/>
        <w:jc w:val="both"/>
        <w:rPr>
          <w:rFonts w:ascii="Times New Roman"/>
          <w:sz w:val="17"/>
        </w:rPr>
      </w:pPr>
      <w:r>
        <w:rPr>
          <w:rFonts w:ascii="Times New Roman"/>
          <w:w w:val="105"/>
          <w:sz w:val="17"/>
        </w:rPr>
        <w:t>Maggini, S., Wintergerst, E.S., Beveridge, S. and Hornig, D.H. 2007. Selected vitamins and trace elements support immune function by strengthening epithelial barriers and cellular and humoral immune responses. </w:t>
      </w:r>
      <w:r>
        <w:rPr>
          <w:rFonts w:ascii="Times New Roman"/>
          <w:i/>
          <w:w w:val="105"/>
          <w:sz w:val="17"/>
        </w:rPr>
        <w:t>British </w:t>
      </w:r>
      <w:r>
        <w:rPr>
          <w:rFonts w:ascii="Times New Roman"/>
          <w:i/>
          <w:w w:val="105"/>
          <w:sz w:val="17"/>
        </w:rPr>
        <w:t>Journal of Nutrition</w:t>
      </w:r>
      <w:r>
        <w:rPr>
          <w:rFonts w:ascii="Times New Roman"/>
          <w:w w:val="105"/>
          <w:sz w:val="17"/>
        </w:rPr>
        <w:t>, 98: S29-S35.</w:t>
      </w:r>
    </w:p>
    <w:p>
      <w:pPr>
        <w:spacing w:line="283" w:lineRule="auto" w:before="61"/>
        <w:ind w:left="677" w:right="102" w:hanging="502"/>
        <w:jc w:val="both"/>
        <w:rPr>
          <w:rFonts w:ascii="Times New Roman"/>
          <w:sz w:val="17"/>
        </w:rPr>
      </w:pPr>
      <w:r>
        <w:rPr>
          <w:rFonts w:ascii="Times New Roman"/>
          <w:w w:val="105"/>
          <w:sz w:val="17"/>
        </w:rPr>
        <w:t>Mahgoub, O., Kadim I, T., Tageldin, M.H., Al-Marzooqi, W.S., Khalaf, S.Q and Amnbu Ali, A. 2008. Clinical Profile of sheep fed non- conventional feeds containing phenols and condensed tannins. </w:t>
      </w:r>
      <w:r>
        <w:rPr>
          <w:rFonts w:ascii="Times New Roman"/>
          <w:i/>
          <w:w w:val="105"/>
          <w:sz w:val="17"/>
        </w:rPr>
        <w:t>Small Ruminant Research</w:t>
      </w:r>
      <w:r>
        <w:rPr>
          <w:rFonts w:ascii="Times New Roman"/>
          <w:w w:val="105"/>
          <w:sz w:val="17"/>
        </w:rPr>
        <w:t>, 78: 115- 122.</w:t>
      </w:r>
    </w:p>
    <w:p>
      <w:pPr>
        <w:spacing w:line="285" w:lineRule="auto" w:before="56"/>
        <w:ind w:left="677" w:right="104" w:hanging="502"/>
        <w:jc w:val="both"/>
        <w:rPr>
          <w:rFonts w:ascii="Times New Roman"/>
          <w:sz w:val="17"/>
        </w:rPr>
      </w:pPr>
      <w:r>
        <w:rPr>
          <w:rFonts w:ascii="Times New Roman"/>
          <w:w w:val="105"/>
          <w:sz w:val="17"/>
        </w:rPr>
        <w:t>Mitchell,</w:t>
      </w:r>
      <w:r>
        <w:rPr>
          <w:rFonts w:ascii="Times New Roman"/>
          <w:spacing w:val="-13"/>
          <w:w w:val="105"/>
          <w:sz w:val="17"/>
        </w:rPr>
        <w:t> </w:t>
      </w:r>
      <w:r>
        <w:rPr>
          <w:rFonts w:ascii="Times New Roman"/>
          <w:w w:val="105"/>
          <w:sz w:val="17"/>
        </w:rPr>
        <w:t>B.L.,</w:t>
      </w:r>
      <w:r>
        <w:rPr>
          <w:rFonts w:ascii="Times New Roman"/>
          <w:spacing w:val="-12"/>
          <w:w w:val="105"/>
          <w:sz w:val="17"/>
        </w:rPr>
        <w:t> </w:t>
      </w:r>
      <w:r>
        <w:rPr>
          <w:rFonts w:ascii="Times New Roman"/>
          <w:w w:val="105"/>
          <w:sz w:val="17"/>
        </w:rPr>
        <w:t>Ulrich,</w:t>
      </w:r>
      <w:r>
        <w:rPr>
          <w:rFonts w:ascii="Times New Roman"/>
          <w:spacing w:val="-12"/>
          <w:w w:val="105"/>
          <w:sz w:val="17"/>
        </w:rPr>
        <w:t> </w:t>
      </w:r>
      <w:r>
        <w:rPr>
          <w:rFonts w:ascii="Times New Roman"/>
          <w:w w:val="105"/>
          <w:sz w:val="17"/>
        </w:rPr>
        <w:t>C.M.</w:t>
      </w:r>
      <w:r>
        <w:rPr>
          <w:rFonts w:ascii="Times New Roman"/>
          <w:spacing w:val="-12"/>
          <w:w w:val="105"/>
          <w:sz w:val="17"/>
        </w:rPr>
        <w:t> </w:t>
      </w:r>
      <w:r>
        <w:rPr>
          <w:rFonts w:ascii="Times New Roman"/>
          <w:w w:val="105"/>
          <w:sz w:val="17"/>
        </w:rPr>
        <w:t>and</w:t>
      </w:r>
      <w:r>
        <w:rPr>
          <w:rFonts w:ascii="Times New Roman"/>
          <w:spacing w:val="-10"/>
          <w:w w:val="105"/>
          <w:sz w:val="17"/>
        </w:rPr>
        <w:t> </w:t>
      </w:r>
      <w:r>
        <w:rPr>
          <w:rFonts w:ascii="Times New Roman"/>
          <w:w w:val="105"/>
          <w:sz w:val="17"/>
        </w:rPr>
        <w:t>McTiernan,</w:t>
      </w:r>
      <w:r>
        <w:rPr>
          <w:rFonts w:ascii="Times New Roman"/>
          <w:spacing w:val="-12"/>
          <w:w w:val="105"/>
          <w:sz w:val="17"/>
        </w:rPr>
        <w:t> </w:t>
      </w:r>
      <w:r>
        <w:rPr>
          <w:rFonts w:ascii="Times New Roman"/>
          <w:w w:val="105"/>
          <w:sz w:val="17"/>
        </w:rPr>
        <w:t>A.</w:t>
      </w:r>
      <w:r>
        <w:rPr>
          <w:rFonts w:ascii="Times New Roman"/>
          <w:spacing w:val="-12"/>
          <w:w w:val="105"/>
          <w:sz w:val="17"/>
        </w:rPr>
        <w:t> </w:t>
      </w:r>
      <w:r>
        <w:rPr>
          <w:rFonts w:ascii="Times New Roman"/>
          <w:w w:val="105"/>
          <w:sz w:val="17"/>
        </w:rPr>
        <w:t>2003.</w:t>
      </w:r>
      <w:r>
        <w:rPr>
          <w:rFonts w:ascii="Times New Roman"/>
          <w:spacing w:val="-13"/>
          <w:w w:val="105"/>
          <w:sz w:val="17"/>
        </w:rPr>
        <w:t> </w:t>
      </w:r>
      <w:r>
        <w:rPr>
          <w:rFonts w:ascii="Times New Roman"/>
          <w:w w:val="105"/>
          <w:sz w:val="17"/>
        </w:rPr>
        <w:t>Supplementation</w:t>
      </w:r>
      <w:r>
        <w:rPr>
          <w:rFonts w:ascii="Times New Roman"/>
          <w:spacing w:val="-12"/>
          <w:w w:val="105"/>
          <w:sz w:val="17"/>
        </w:rPr>
        <w:t> </w:t>
      </w:r>
      <w:r>
        <w:rPr>
          <w:rFonts w:ascii="Times New Roman"/>
          <w:w w:val="105"/>
          <w:sz w:val="17"/>
        </w:rPr>
        <w:t>with</w:t>
      </w:r>
      <w:r>
        <w:rPr>
          <w:rFonts w:ascii="Times New Roman"/>
          <w:spacing w:val="-12"/>
          <w:w w:val="105"/>
          <w:sz w:val="17"/>
        </w:rPr>
        <w:t> </w:t>
      </w:r>
      <w:r>
        <w:rPr>
          <w:rFonts w:ascii="Times New Roman"/>
          <w:w w:val="105"/>
          <w:sz w:val="17"/>
        </w:rPr>
        <w:t>vitamins</w:t>
      </w:r>
      <w:r>
        <w:rPr>
          <w:rFonts w:ascii="Times New Roman"/>
          <w:spacing w:val="-12"/>
          <w:w w:val="105"/>
          <w:sz w:val="17"/>
        </w:rPr>
        <w:t> </w:t>
      </w:r>
      <w:r>
        <w:rPr>
          <w:rFonts w:ascii="Times New Roman"/>
          <w:w w:val="105"/>
          <w:sz w:val="17"/>
        </w:rPr>
        <w:t>or</w:t>
      </w:r>
      <w:r>
        <w:rPr>
          <w:rFonts w:ascii="Times New Roman"/>
          <w:spacing w:val="-8"/>
          <w:w w:val="105"/>
          <w:sz w:val="17"/>
        </w:rPr>
        <w:t> </w:t>
      </w:r>
      <w:r>
        <w:rPr>
          <w:rFonts w:ascii="Times New Roman"/>
          <w:w w:val="105"/>
          <w:sz w:val="17"/>
        </w:rPr>
        <w:t>minerals</w:t>
      </w:r>
      <w:r>
        <w:rPr>
          <w:rFonts w:ascii="Times New Roman"/>
          <w:spacing w:val="-12"/>
          <w:w w:val="105"/>
          <w:sz w:val="17"/>
        </w:rPr>
        <w:t> </w:t>
      </w:r>
      <w:r>
        <w:rPr>
          <w:rFonts w:ascii="Times New Roman"/>
          <w:w w:val="105"/>
          <w:sz w:val="17"/>
        </w:rPr>
        <w:t>and</w:t>
      </w:r>
      <w:r>
        <w:rPr>
          <w:rFonts w:ascii="Times New Roman"/>
          <w:spacing w:val="-10"/>
          <w:w w:val="105"/>
          <w:sz w:val="17"/>
        </w:rPr>
        <w:t> </w:t>
      </w:r>
      <w:r>
        <w:rPr>
          <w:rFonts w:ascii="Times New Roman"/>
          <w:w w:val="105"/>
          <w:sz w:val="17"/>
        </w:rPr>
        <w:t>immune</w:t>
      </w:r>
      <w:r>
        <w:rPr>
          <w:rFonts w:ascii="Times New Roman"/>
          <w:spacing w:val="-12"/>
          <w:w w:val="105"/>
          <w:sz w:val="17"/>
        </w:rPr>
        <w:t> </w:t>
      </w:r>
      <w:r>
        <w:rPr>
          <w:rFonts w:ascii="Times New Roman"/>
          <w:w w:val="105"/>
          <w:sz w:val="17"/>
        </w:rPr>
        <w:t>function: can</w:t>
      </w:r>
      <w:r>
        <w:rPr>
          <w:rFonts w:ascii="Times New Roman"/>
          <w:spacing w:val="-15"/>
          <w:w w:val="105"/>
          <w:sz w:val="17"/>
        </w:rPr>
        <w:t> </w:t>
      </w:r>
      <w:r>
        <w:rPr>
          <w:rFonts w:ascii="Times New Roman"/>
          <w:w w:val="105"/>
          <w:sz w:val="17"/>
        </w:rPr>
        <w:t>the</w:t>
      </w:r>
      <w:r>
        <w:rPr>
          <w:rFonts w:ascii="Times New Roman"/>
          <w:spacing w:val="-13"/>
          <w:w w:val="105"/>
          <w:sz w:val="17"/>
        </w:rPr>
        <w:t> </w:t>
      </w:r>
      <w:r>
        <w:rPr>
          <w:rFonts w:ascii="Times New Roman"/>
          <w:w w:val="105"/>
          <w:sz w:val="17"/>
        </w:rPr>
        <w:t>elderly</w:t>
      </w:r>
      <w:r>
        <w:rPr>
          <w:rFonts w:ascii="Times New Roman"/>
          <w:spacing w:val="-15"/>
          <w:w w:val="105"/>
          <w:sz w:val="17"/>
        </w:rPr>
        <w:t> </w:t>
      </w:r>
      <w:r>
        <w:rPr>
          <w:rFonts w:ascii="Times New Roman"/>
          <w:w w:val="105"/>
          <w:sz w:val="17"/>
        </w:rPr>
        <w:t>benefit?</w:t>
      </w:r>
      <w:r>
        <w:rPr>
          <w:rFonts w:ascii="Times New Roman"/>
          <w:spacing w:val="-13"/>
          <w:w w:val="105"/>
          <w:sz w:val="17"/>
        </w:rPr>
        <w:t> </w:t>
      </w:r>
      <w:r>
        <w:rPr>
          <w:rFonts w:ascii="Times New Roman"/>
          <w:i/>
          <w:w w:val="105"/>
          <w:sz w:val="17"/>
        </w:rPr>
        <w:t>Nutrition</w:t>
      </w:r>
      <w:r>
        <w:rPr>
          <w:rFonts w:ascii="Times New Roman"/>
          <w:i/>
          <w:spacing w:val="-15"/>
          <w:w w:val="105"/>
          <w:sz w:val="17"/>
        </w:rPr>
        <w:t> </w:t>
      </w:r>
      <w:r>
        <w:rPr>
          <w:rFonts w:ascii="Times New Roman"/>
          <w:i/>
          <w:w w:val="105"/>
          <w:sz w:val="17"/>
        </w:rPr>
        <w:t>Research</w:t>
      </w:r>
      <w:r>
        <w:rPr>
          <w:rFonts w:ascii="Times New Roman"/>
          <w:w w:val="105"/>
          <w:sz w:val="17"/>
        </w:rPr>
        <w:t>,</w:t>
      </w:r>
      <w:r>
        <w:rPr>
          <w:rFonts w:ascii="Times New Roman"/>
          <w:spacing w:val="-15"/>
          <w:w w:val="105"/>
          <w:sz w:val="17"/>
        </w:rPr>
        <w:t> </w:t>
      </w:r>
      <w:r>
        <w:rPr>
          <w:rFonts w:ascii="Times New Roman"/>
          <w:w w:val="105"/>
          <w:sz w:val="17"/>
        </w:rPr>
        <w:t>23:</w:t>
      </w:r>
      <w:r>
        <w:rPr>
          <w:rFonts w:ascii="Times New Roman"/>
          <w:spacing w:val="-15"/>
          <w:w w:val="105"/>
          <w:sz w:val="17"/>
        </w:rPr>
        <w:t> </w:t>
      </w:r>
      <w:r>
        <w:rPr>
          <w:rFonts w:ascii="Times New Roman"/>
          <w:w w:val="105"/>
          <w:sz w:val="17"/>
        </w:rPr>
        <w:t>1117-1139.</w:t>
      </w:r>
    </w:p>
    <w:p>
      <w:pPr>
        <w:spacing w:line="352" w:lineRule="auto" w:before="56"/>
        <w:ind w:left="175" w:right="682" w:firstLine="0"/>
        <w:jc w:val="left"/>
        <w:rPr>
          <w:rFonts w:ascii="Times New Roman"/>
          <w:sz w:val="17"/>
        </w:rPr>
      </w:pPr>
      <w:r>
        <w:rPr>
          <w:rFonts w:ascii="Times New Roman"/>
          <w:w w:val="105"/>
          <w:sz w:val="17"/>
        </w:rPr>
        <w:t>Nayak, S.K. 2010. Probiotics and immunity: A fish perspective. </w:t>
      </w:r>
      <w:r>
        <w:rPr>
          <w:rFonts w:ascii="Times New Roman"/>
          <w:i/>
          <w:w w:val="105"/>
          <w:sz w:val="17"/>
        </w:rPr>
        <w:t>Fish and Shellfish Immunology</w:t>
      </w:r>
      <w:r>
        <w:rPr>
          <w:rFonts w:ascii="Times New Roman"/>
          <w:w w:val="105"/>
          <w:sz w:val="17"/>
        </w:rPr>
        <w:t>, 29: 214. NRC.</w:t>
      </w:r>
      <w:r>
        <w:rPr>
          <w:rFonts w:ascii="Times New Roman"/>
          <w:spacing w:val="-16"/>
          <w:w w:val="105"/>
          <w:sz w:val="17"/>
        </w:rPr>
        <w:t> </w:t>
      </w:r>
      <w:r>
        <w:rPr>
          <w:rFonts w:ascii="Times New Roman"/>
          <w:w w:val="105"/>
          <w:sz w:val="17"/>
        </w:rPr>
        <w:t>1985.</w:t>
      </w:r>
      <w:r>
        <w:rPr>
          <w:rFonts w:ascii="Times New Roman"/>
          <w:spacing w:val="-18"/>
          <w:w w:val="105"/>
          <w:sz w:val="17"/>
        </w:rPr>
        <w:t> </w:t>
      </w:r>
      <w:r>
        <w:rPr>
          <w:rFonts w:ascii="Times New Roman"/>
          <w:i/>
          <w:w w:val="105"/>
          <w:sz w:val="17"/>
        </w:rPr>
        <w:t>Nutrient</w:t>
      </w:r>
      <w:r>
        <w:rPr>
          <w:rFonts w:ascii="Times New Roman"/>
          <w:i/>
          <w:spacing w:val="-16"/>
          <w:w w:val="105"/>
          <w:sz w:val="17"/>
        </w:rPr>
        <w:t> </w:t>
      </w:r>
      <w:r>
        <w:rPr>
          <w:rFonts w:ascii="Times New Roman"/>
          <w:i/>
          <w:w w:val="105"/>
          <w:sz w:val="17"/>
        </w:rPr>
        <w:t>Requirements</w:t>
      </w:r>
      <w:r>
        <w:rPr>
          <w:rFonts w:ascii="Times New Roman"/>
          <w:i/>
          <w:spacing w:val="-16"/>
          <w:w w:val="105"/>
          <w:sz w:val="17"/>
        </w:rPr>
        <w:t> </w:t>
      </w:r>
      <w:r>
        <w:rPr>
          <w:rFonts w:ascii="Times New Roman"/>
          <w:i/>
          <w:w w:val="105"/>
          <w:sz w:val="17"/>
        </w:rPr>
        <w:t>of</w:t>
      </w:r>
      <w:r>
        <w:rPr>
          <w:rFonts w:ascii="Times New Roman"/>
          <w:i/>
          <w:spacing w:val="-16"/>
          <w:w w:val="105"/>
          <w:sz w:val="17"/>
        </w:rPr>
        <w:t> </w:t>
      </w:r>
      <w:r>
        <w:rPr>
          <w:rFonts w:ascii="Times New Roman"/>
          <w:i/>
          <w:w w:val="105"/>
          <w:sz w:val="17"/>
        </w:rPr>
        <w:t>Domestic</w:t>
      </w:r>
      <w:r>
        <w:rPr>
          <w:rFonts w:ascii="Times New Roman"/>
          <w:i/>
          <w:spacing w:val="-14"/>
          <w:w w:val="105"/>
          <w:sz w:val="17"/>
        </w:rPr>
        <w:t> </w:t>
      </w:r>
      <w:r>
        <w:rPr>
          <w:rFonts w:ascii="Times New Roman"/>
          <w:i/>
          <w:w w:val="105"/>
          <w:sz w:val="17"/>
        </w:rPr>
        <w:t>Animals</w:t>
      </w:r>
      <w:r>
        <w:rPr>
          <w:rFonts w:ascii="Times New Roman"/>
          <w:w w:val="105"/>
          <w:sz w:val="17"/>
        </w:rPr>
        <w:t>.</w:t>
      </w:r>
      <w:r>
        <w:rPr>
          <w:rFonts w:ascii="Times New Roman"/>
          <w:spacing w:val="-18"/>
          <w:w w:val="105"/>
          <w:sz w:val="17"/>
        </w:rPr>
        <w:t> </w:t>
      </w:r>
      <w:r>
        <w:rPr>
          <w:rFonts w:ascii="Times New Roman"/>
          <w:w w:val="105"/>
          <w:sz w:val="17"/>
        </w:rPr>
        <w:t>National</w:t>
      </w:r>
      <w:r>
        <w:rPr>
          <w:rFonts w:ascii="Times New Roman"/>
          <w:spacing w:val="-14"/>
          <w:w w:val="105"/>
          <w:sz w:val="17"/>
        </w:rPr>
        <w:t> </w:t>
      </w:r>
      <w:r>
        <w:rPr>
          <w:rFonts w:ascii="Times New Roman"/>
          <w:w w:val="105"/>
          <w:sz w:val="17"/>
        </w:rPr>
        <w:t>Research</w:t>
      </w:r>
      <w:r>
        <w:rPr>
          <w:rFonts w:ascii="Times New Roman"/>
          <w:spacing w:val="-13"/>
          <w:w w:val="105"/>
          <w:sz w:val="17"/>
        </w:rPr>
        <w:t> </w:t>
      </w:r>
      <w:r>
        <w:rPr>
          <w:rFonts w:ascii="Times New Roman"/>
          <w:w w:val="105"/>
          <w:sz w:val="17"/>
        </w:rPr>
        <w:t>Council,</w:t>
      </w:r>
      <w:r>
        <w:rPr>
          <w:rFonts w:ascii="Times New Roman"/>
          <w:spacing w:val="-16"/>
          <w:w w:val="105"/>
          <w:sz w:val="17"/>
        </w:rPr>
        <w:t> </w:t>
      </w:r>
      <w:r>
        <w:rPr>
          <w:rFonts w:ascii="Times New Roman"/>
          <w:w w:val="105"/>
          <w:sz w:val="17"/>
        </w:rPr>
        <w:t>Washington,</w:t>
      </w:r>
      <w:r>
        <w:rPr>
          <w:rFonts w:ascii="Times New Roman"/>
          <w:spacing w:val="-16"/>
          <w:w w:val="105"/>
          <w:sz w:val="17"/>
        </w:rPr>
        <w:t> </w:t>
      </w:r>
      <w:r>
        <w:rPr>
          <w:rFonts w:ascii="Times New Roman"/>
          <w:w w:val="105"/>
          <w:sz w:val="17"/>
        </w:rPr>
        <w:t>DC,</w:t>
      </w:r>
      <w:r>
        <w:rPr>
          <w:rFonts w:ascii="Times New Roman"/>
          <w:spacing w:val="-16"/>
          <w:w w:val="105"/>
          <w:sz w:val="17"/>
        </w:rPr>
        <w:t> </w:t>
      </w:r>
      <w:r>
        <w:rPr>
          <w:rFonts w:ascii="Times New Roman"/>
          <w:w w:val="105"/>
          <w:sz w:val="17"/>
        </w:rPr>
        <w:t>USA.</w:t>
      </w:r>
    </w:p>
    <w:p>
      <w:pPr>
        <w:spacing w:line="283" w:lineRule="auto" w:before="4"/>
        <w:ind w:left="677" w:right="102" w:hanging="502"/>
        <w:jc w:val="both"/>
        <w:rPr>
          <w:rFonts w:ascii="Times New Roman" w:hAnsi="Times New Roman"/>
          <w:sz w:val="17"/>
        </w:rPr>
      </w:pPr>
      <w:r>
        <w:rPr>
          <w:rFonts w:ascii="Times New Roman" w:hAnsi="Times New Roman"/>
          <w:w w:val="105"/>
          <w:sz w:val="17"/>
        </w:rPr>
        <w:t>Owusu-Asiedu, A., Simmins, P.H., Brufau, J., Lizardo, R. and Péron, A. 2010. Effect of xylanase and β-glucanase on growth</w:t>
      </w:r>
      <w:r>
        <w:rPr>
          <w:rFonts w:ascii="Times New Roman" w:hAnsi="Times New Roman"/>
          <w:spacing w:val="-10"/>
          <w:w w:val="105"/>
          <w:sz w:val="17"/>
        </w:rPr>
        <w:t> </w:t>
      </w:r>
      <w:r>
        <w:rPr>
          <w:rFonts w:ascii="Times New Roman" w:hAnsi="Times New Roman"/>
          <w:w w:val="105"/>
          <w:sz w:val="17"/>
        </w:rPr>
        <w:t>performance</w:t>
      </w:r>
      <w:r>
        <w:rPr>
          <w:rFonts w:ascii="Times New Roman" w:hAnsi="Times New Roman"/>
          <w:spacing w:val="-13"/>
          <w:w w:val="105"/>
          <w:sz w:val="17"/>
        </w:rPr>
        <w:t> </w:t>
      </w:r>
      <w:r>
        <w:rPr>
          <w:rFonts w:ascii="Times New Roman" w:hAnsi="Times New Roman"/>
          <w:w w:val="105"/>
          <w:sz w:val="17"/>
        </w:rPr>
        <w:t>and</w:t>
      </w:r>
      <w:r>
        <w:rPr>
          <w:rFonts w:ascii="Times New Roman" w:hAnsi="Times New Roman"/>
          <w:spacing w:val="-11"/>
          <w:w w:val="105"/>
          <w:sz w:val="17"/>
        </w:rPr>
        <w:t> </w:t>
      </w:r>
      <w:r>
        <w:rPr>
          <w:rFonts w:ascii="Times New Roman" w:hAnsi="Times New Roman"/>
          <w:w w:val="105"/>
          <w:sz w:val="17"/>
        </w:rPr>
        <w:t>nutrient</w:t>
      </w:r>
      <w:r>
        <w:rPr>
          <w:rFonts w:ascii="Times New Roman" w:hAnsi="Times New Roman"/>
          <w:spacing w:val="-13"/>
          <w:w w:val="105"/>
          <w:sz w:val="17"/>
        </w:rPr>
        <w:t> </w:t>
      </w:r>
      <w:r>
        <w:rPr>
          <w:rFonts w:ascii="Times New Roman" w:hAnsi="Times New Roman"/>
          <w:w w:val="105"/>
          <w:sz w:val="17"/>
        </w:rPr>
        <w:t>digestibility</w:t>
      </w:r>
      <w:r>
        <w:rPr>
          <w:rFonts w:ascii="Times New Roman" w:hAnsi="Times New Roman"/>
          <w:spacing w:val="-11"/>
          <w:w w:val="105"/>
          <w:sz w:val="17"/>
        </w:rPr>
        <w:t> </w:t>
      </w:r>
      <w:r>
        <w:rPr>
          <w:rFonts w:ascii="Times New Roman" w:hAnsi="Times New Roman"/>
          <w:w w:val="105"/>
          <w:sz w:val="17"/>
        </w:rPr>
        <w:t>in</w:t>
      </w:r>
      <w:r>
        <w:rPr>
          <w:rFonts w:ascii="Times New Roman" w:hAnsi="Times New Roman"/>
          <w:spacing w:val="-10"/>
          <w:w w:val="105"/>
          <w:sz w:val="17"/>
        </w:rPr>
        <w:t> </w:t>
      </w:r>
      <w:r>
        <w:rPr>
          <w:rFonts w:ascii="Times New Roman" w:hAnsi="Times New Roman"/>
          <w:w w:val="105"/>
          <w:sz w:val="17"/>
        </w:rPr>
        <w:t>piglets</w:t>
      </w:r>
      <w:r>
        <w:rPr>
          <w:rFonts w:ascii="Times New Roman" w:hAnsi="Times New Roman"/>
          <w:spacing w:val="-11"/>
          <w:w w:val="105"/>
          <w:sz w:val="17"/>
        </w:rPr>
        <w:t> </w:t>
      </w:r>
      <w:r>
        <w:rPr>
          <w:rFonts w:ascii="Times New Roman" w:hAnsi="Times New Roman"/>
          <w:w w:val="105"/>
          <w:sz w:val="17"/>
        </w:rPr>
        <w:t>fed</w:t>
      </w:r>
      <w:r>
        <w:rPr>
          <w:rFonts w:ascii="Times New Roman" w:hAnsi="Times New Roman"/>
          <w:spacing w:val="-10"/>
          <w:w w:val="105"/>
          <w:sz w:val="17"/>
        </w:rPr>
        <w:t> </w:t>
      </w:r>
      <w:r>
        <w:rPr>
          <w:rFonts w:ascii="Times New Roman" w:hAnsi="Times New Roman"/>
          <w:w w:val="105"/>
          <w:sz w:val="17"/>
        </w:rPr>
        <w:t>wheat-barley-based</w:t>
      </w:r>
      <w:r>
        <w:rPr>
          <w:rFonts w:ascii="Times New Roman" w:hAnsi="Times New Roman"/>
          <w:spacing w:val="-11"/>
          <w:w w:val="105"/>
          <w:sz w:val="17"/>
        </w:rPr>
        <w:t> </w:t>
      </w:r>
      <w:r>
        <w:rPr>
          <w:rFonts w:ascii="Times New Roman" w:hAnsi="Times New Roman"/>
          <w:w w:val="105"/>
          <w:sz w:val="17"/>
        </w:rPr>
        <w:t>diets.</w:t>
      </w:r>
      <w:r>
        <w:rPr>
          <w:rFonts w:ascii="Times New Roman" w:hAnsi="Times New Roman"/>
          <w:spacing w:val="-13"/>
          <w:w w:val="105"/>
          <w:sz w:val="17"/>
        </w:rPr>
        <w:t> </w:t>
      </w:r>
      <w:r>
        <w:rPr>
          <w:rFonts w:ascii="Times New Roman" w:hAnsi="Times New Roman"/>
          <w:i/>
          <w:w w:val="105"/>
          <w:sz w:val="17"/>
        </w:rPr>
        <w:t>Livestock</w:t>
      </w:r>
      <w:r>
        <w:rPr>
          <w:rFonts w:ascii="Times New Roman" w:hAnsi="Times New Roman"/>
          <w:i/>
          <w:spacing w:val="-11"/>
          <w:w w:val="105"/>
          <w:sz w:val="17"/>
        </w:rPr>
        <w:t> </w:t>
      </w:r>
      <w:r>
        <w:rPr>
          <w:rFonts w:ascii="Times New Roman" w:hAnsi="Times New Roman"/>
          <w:i/>
          <w:w w:val="105"/>
          <w:sz w:val="17"/>
        </w:rPr>
        <w:t>Science</w:t>
      </w:r>
      <w:r>
        <w:rPr>
          <w:rFonts w:ascii="Times New Roman" w:hAnsi="Times New Roman"/>
          <w:w w:val="105"/>
          <w:sz w:val="17"/>
        </w:rPr>
        <w:t>,</w:t>
      </w:r>
      <w:r>
        <w:rPr>
          <w:rFonts w:ascii="Times New Roman" w:hAnsi="Times New Roman"/>
          <w:spacing w:val="-13"/>
          <w:w w:val="105"/>
          <w:sz w:val="17"/>
        </w:rPr>
        <w:t> </w:t>
      </w:r>
      <w:r>
        <w:rPr>
          <w:rFonts w:ascii="Times New Roman" w:hAnsi="Times New Roman"/>
          <w:w w:val="105"/>
          <w:sz w:val="17"/>
        </w:rPr>
        <w:t>134:</w:t>
      </w:r>
      <w:r>
        <w:rPr>
          <w:rFonts w:ascii="Times New Roman" w:hAnsi="Times New Roman"/>
          <w:spacing w:val="-13"/>
          <w:w w:val="105"/>
          <w:sz w:val="17"/>
        </w:rPr>
        <w:t> </w:t>
      </w:r>
      <w:r>
        <w:rPr>
          <w:rFonts w:ascii="Times New Roman" w:hAnsi="Times New Roman"/>
          <w:w w:val="105"/>
          <w:sz w:val="17"/>
        </w:rPr>
        <w:t>76- 78.</w:t>
      </w:r>
    </w:p>
    <w:p>
      <w:pPr>
        <w:spacing w:line="285" w:lineRule="auto" w:before="58"/>
        <w:ind w:left="677" w:right="102" w:hanging="502"/>
        <w:jc w:val="both"/>
        <w:rPr>
          <w:rFonts w:ascii="Times New Roman"/>
          <w:sz w:val="17"/>
        </w:rPr>
      </w:pPr>
      <w:r>
        <w:rPr>
          <w:rFonts w:ascii="Times New Roman"/>
          <w:w w:val="105"/>
          <w:sz w:val="17"/>
        </w:rPr>
        <w:t>Robyt, J.F. and Whelan, W.J. 1972. Reducing valuemethods for maltodextrins: 1. Chain length dependence of alkaline 3,5-dinitrosalicylate and chain length independence of alkaline copper. </w:t>
      </w:r>
      <w:r>
        <w:rPr>
          <w:rFonts w:ascii="Times New Roman"/>
          <w:i/>
          <w:w w:val="105"/>
          <w:sz w:val="17"/>
        </w:rPr>
        <w:t>Analytical Biochemistry</w:t>
      </w:r>
      <w:r>
        <w:rPr>
          <w:rFonts w:ascii="Times New Roman"/>
          <w:w w:val="105"/>
          <w:sz w:val="17"/>
        </w:rPr>
        <w:t>, 45: 510-516.</w:t>
      </w:r>
    </w:p>
    <w:p>
      <w:pPr>
        <w:spacing w:line="285" w:lineRule="auto" w:before="56"/>
        <w:ind w:left="677" w:right="101" w:hanging="502"/>
        <w:jc w:val="both"/>
        <w:rPr>
          <w:rFonts w:ascii="Times New Roman" w:hAnsi="Times New Roman"/>
          <w:sz w:val="17"/>
        </w:rPr>
      </w:pPr>
      <w:r>
        <w:rPr>
          <w:rFonts w:ascii="Times New Roman" w:hAnsi="Times New Roman"/>
          <w:w w:val="105"/>
          <w:sz w:val="17"/>
        </w:rPr>
        <w:t>SAGARPA.</w:t>
      </w:r>
      <w:r>
        <w:rPr>
          <w:rFonts w:ascii="Times New Roman" w:hAnsi="Times New Roman"/>
          <w:spacing w:val="-20"/>
          <w:w w:val="105"/>
          <w:sz w:val="17"/>
        </w:rPr>
        <w:t> </w:t>
      </w:r>
      <w:r>
        <w:rPr>
          <w:rFonts w:ascii="Times New Roman" w:hAnsi="Times New Roman"/>
          <w:w w:val="105"/>
          <w:sz w:val="17"/>
        </w:rPr>
        <w:t>1999.</w:t>
      </w:r>
      <w:r>
        <w:rPr>
          <w:rFonts w:ascii="Times New Roman" w:hAnsi="Times New Roman"/>
          <w:spacing w:val="-20"/>
          <w:w w:val="105"/>
          <w:sz w:val="17"/>
        </w:rPr>
        <w:t> </w:t>
      </w:r>
      <w:r>
        <w:rPr>
          <w:rFonts w:ascii="Times New Roman" w:hAnsi="Times New Roman"/>
          <w:w w:val="105"/>
          <w:sz w:val="17"/>
        </w:rPr>
        <w:t>Norma</w:t>
      </w:r>
      <w:r>
        <w:rPr>
          <w:rFonts w:ascii="Times New Roman" w:hAnsi="Times New Roman"/>
          <w:spacing w:val="-19"/>
          <w:w w:val="105"/>
          <w:sz w:val="17"/>
        </w:rPr>
        <w:t> </w:t>
      </w:r>
      <w:r>
        <w:rPr>
          <w:rFonts w:ascii="Times New Roman" w:hAnsi="Times New Roman"/>
          <w:w w:val="105"/>
          <w:sz w:val="17"/>
        </w:rPr>
        <w:t>Oficial</w:t>
      </w:r>
      <w:r>
        <w:rPr>
          <w:rFonts w:ascii="Times New Roman" w:hAnsi="Times New Roman"/>
          <w:spacing w:val="-18"/>
          <w:w w:val="105"/>
          <w:sz w:val="17"/>
        </w:rPr>
        <w:t> </w:t>
      </w:r>
      <w:r>
        <w:rPr>
          <w:rFonts w:ascii="Times New Roman" w:hAnsi="Times New Roman"/>
          <w:w w:val="105"/>
          <w:sz w:val="17"/>
        </w:rPr>
        <w:t>Mexicana</w:t>
      </w:r>
      <w:r>
        <w:rPr>
          <w:rFonts w:ascii="Times New Roman" w:hAnsi="Times New Roman"/>
          <w:spacing w:val="-19"/>
          <w:w w:val="105"/>
          <w:sz w:val="17"/>
        </w:rPr>
        <w:t> </w:t>
      </w:r>
      <w:r>
        <w:rPr>
          <w:rFonts w:ascii="Times New Roman" w:hAnsi="Times New Roman"/>
          <w:w w:val="105"/>
          <w:sz w:val="17"/>
        </w:rPr>
        <w:t>NOM-062-ZOO-1999,</w:t>
      </w:r>
      <w:r>
        <w:rPr>
          <w:rFonts w:ascii="Times New Roman" w:hAnsi="Times New Roman"/>
          <w:spacing w:val="-20"/>
          <w:w w:val="105"/>
          <w:sz w:val="17"/>
        </w:rPr>
        <w:t> </w:t>
      </w:r>
      <w:r>
        <w:rPr>
          <w:rFonts w:ascii="Times New Roman" w:hAnsi="Times New Roman"/>
          <w:w w:val="105"/>
          <w:sz w:val="17"/>
        </w:rPr>
        <w:t>Especificacion</w:t>
      </w:r>
      <w:r>
        <w:rPr>
          <w:rFonts w:ascii="Times New Roman" w:hAnsi="Times New Roman"/>
          <w:spacing w:val="-17"/>
          <w:w w:val="105"/>
          <w:sz w:val="17"/>
        </w:rPr>
        <w:t> </w:t>
      </w:r>
      <w:r>
        <w:rPr>
          <w:rFonts w:ascii="Times New Roman" w:hAnsi="Times New Roman"/>
          <w:w w:val="105"/>
          <w:sz w:val="17"/>
        </w:rPr>
        <w:t>estécnicasparala</w:t>
      </w:r>
      <w:r>
        <w:rPr>
          <w:rFonts w:ascii="Times New Roman" w:hAnsi="Times New Roman"/>
          <w:spacing w:val="-19"/>
          <w:w w:val="105"/>
          <w:sz w:val="17"/>
        </w:rPr>
        <w:t> </w:t>
      </w:r>
      <w:r>
        <w:rPr>
          <w:rFonts w:ascii="Times New Roman" w:hAnsi="Times New Roman"/>
          <w:w w:val="105"/>
          <w:sz w:val="17"/>
        </w:rPr>
        <w:t>producción,</w:t>
      </w:r>
      <w:r>
        <w:rPr>
          <w:rFonts w:ascii="Times New Roman" w:hAnsi="Times New Roman"/>
          <w:spacing w:val="-20"/>
          <w:w w:val="105"/>
          <w:sz w:val="17"/>
        </w:rPr>
        <w:t> </w:t>
      </w:r>
      <w:r>
        <w:rPr>
          <w:rFonts w:ascii="Times New Roman" w:hAnsi="Times New Roman"/>
          <w:w w:val="105"/>
          <w:sz w:val="17"/>
        </w:rPr>
        <w:t>cuidado y</w:t>
      </w:r>
      <w:r>
        <w:rPr>
          <w:rFonts w:ascii="Times New Roman" w:hAnsi="Times New Roman"/>
          <w:spacing w:val="-14"/>
          <w:w w:val="105"/>
          <w:sz w:val="17"/>
        </w:rPr>
        <w:t> </w:t>
      </w:r>
      <w:r>
        <w:rPr>
          <w:rFonts w:ascii="Times New Roman" w:hAnsi="Times New Roman"/>
          <w:w w:val="105"/>
          <w:sz w:val="17"/>
        </w:rPr>
        <w:t>uso</w:t>
      </w:r>
      <w:r>
        <w:rPr>
          <w:rFonts w:ascii="Times New Roman" w:hAnsi="Times New Roman"/>
          <w:spacing w:val="-11"/>
          <w:w w:val="105"/>
          <w:sz w:val="17"/>
        </w:rPr>
        <w:t> </w:t>
      </w:r>
      <w:r>
        <w:rPr>
          <w:rFonts w:ascii="Times New Roman" w:hAnsi="Times New Roman"/>
          <w:w w:val="105"/>
          <w:sz w:val="17"/>
        </w:rPr>
        <w:t>de</w:t>
      </w:r>
      <w:r>
        <w:rPr>
          <w:rFonts w:ascii="Times New Roman" w:hAnsi="Times New Roman"/>
          <w:spacing w:val="-12"/>
          <w:w w:val="105"/>
          <w:sz w:val="17"/>
        </w:rPr>
        <w:t> </w:t>
      </w:r>
      <w:r>
        <w:rPr>
          <w:rFonts w:ascii="Times New Roman" w:hAnsi="Times New Roman"/>
          <w:w w:val="105"/>
          <w:sz w:val="17"/>
        </w:rPr>
        <w:t>los</w:t>
      </w:r>
      <w:r>
        <w:rPr>
          <w:rFonts w:ascii="Times New Roman" w:hAnsi="Times New Roman"/>
          <w:spacing w:val="-10"/>
          <w:w w:val="105"/>
          <w:sz w:val="17"/>
        </w:rPr>
        <w:t> </w:t>
      </w:r>
      <w:r>
        <w:rPr>
          <w:rFonts w:ascii="Times New Roman" w:hAnsi="Times New Roman"/>
          <w:w w:val="105"/>
          <w:sz w:val="17"/>
        </w:rPr>
        <w:t>animales</w:t>
      </w:r>
      <w:r>
        <w:rPr>
          <w:rFonts w:ascii="Times New Roman" w:hAnsi="Times New Roman"/>
          <w:spacing w:val="-12"/>
          <w:w w:val="105"/>
          <w:sz w:val="17"/>
        </w:rPr>
        <w:t> </w:t>
      </w:r>
      <w:r>
        <w:rPr>
          <w:rFonts w:ascii="Times New Roman" w:hAnsi="Times New Roman"/>
          <w:w w:val="105"/>
          <w:sz w:val="17"/>
        </w:rPr>
        <w:t>de</w:t>
      </w:r>
      <w:r>
        <w:rPr>
          <w:rFonts w:ascii="Times New Roman" w:hAnsi="Times New Roman"/>
          <w:spacing w:val="-12"/>
          <w:w w:val="105"/>
          <w:sz w:val="17"/>
        </w:rPr>
        <w:t> </w:t>
      </w:r>
      <w:r>
        <w:rPr>
          <w:rFonts w:ascii="Times New Roman" w:hAnsi="Times New Roman"/>
          <w:w w:val="105"/>
          <w:sz w:val="17"/>
        </w:rPr>
        <w:t>laboratorio.</w:t>
      </w:r>
      <w:r>
        <w:rPr>
          <w:rFonts w:ascii="Times New Roman" w:hAnsi="Times New Roman"/>
          <w:spacing w:val="-11"/>
          <w:w w:val="105"/>
          <w:sz w:val="17"/>
        </w:rPr>
        <w:t> </w:t>
      </w:r>
      <w:r>
        <w:rPr>
          <w:rFonts w:ascii="Times New Roman" w:hAnsi="Times New Roman"/>
          <w:w w:val="105"/>
          <w:sz w:val="17"/>
        </w:rPr>
        <w:t>DiarioOficial</w:t>
      </w:r>
      <w:r>
        <w:rPr>
          <w:rFonts w:ascii="Times New Roman" w:hAnsi="Times New Roman"/>
          <w:spacing w:val="-11"/>
          <w:w w:val="105"/>
          <w:sz w:val="17"/>
        </w:rPr>
        <w:t> </w:t>
      </w:r>
      <w:r>
        <w:rPr>
          <w:rFonts w:ascii="Times New Roman" w:hAnsi="Times New Roman"/>
          <w:w w:val="105"/>
          <w:sz w:val="17"/>
        </w:rPr>
        <w:t>de</w:t>
      </w:r>
      <w:r>
        <w:rPr>
          <w:rFonts w:ascii="Times New Roman" w:hAnsi="Times New Roman"/>
          <w:spacing w:val="-14"/>
          <w:w w:val="105"/>
          <w:sz w:val="17"/>
        </w:rPr>
        <w:t> </w:t>
      </w:r>
      <w:r>
        <w:rPr>
          <w:rFonts w:ascii="Times New Roman" w:hAnsi="Times New Roman"/>
          <w:w w:val="105"/>
          <w:sz w:val="17"/>
        </w:rPr>
        <w:t>la</w:t>
      </w:r>
      <w:r>
        <w:rPr>
          <w:rFonts w:ascii="Times New Roman" w:hAnsi="Times New Roman"/>
          <w:spacing w:val="-12"/>
          <w:w w:val="105"/>
          <w:sz w:val="17"/>
        </w:rPr>
        <w:t> </w:t>
      </w:r>
      <w:r>
        <w:rPr>
          <w:rFonts w:ascii="Times New Roman" w:hAnsi="Times New Roman"/>
          <w:w w:val="105"/>
          <w:sz w:val="17"/>
        </w:rPr>
        <w:t>Federación.</w:t>
      </w:r>
    </w:p>
    <w:p>
      <w:pPr>
        <w:spacing w:line="285" w:lineRule="auto" w:before="54"/>
        <w:ind w:left="677" w:right="106" w:hanging="502"/>
        <w:jc w:val="both"/>
        <w:rPr>
          <w:rFonts w:ascii="Times New Roman"/>
          <w:sz w:val="17"/>
        </w:rPr>
      </w:pPr>
      <w:r>
        <w:rPr>
          <w:rFonts w:ascii="Times New Roman"/>
          <w:w w:val="105"/>
          <w:sz w:val="17"/>
        </w:rPr>
        <w:t>Salem,</w:t>
      </w:r>
      <w:r>
        <w:rPr>
          <w:rFonts w:ascii="Times New Roman"/>
          <w:spacing w:val="-10"/>
          <w:w w:val="105"/>
          <w:sz w:val="17"/>
        </w:rPr>
        <w:t> </w:t>
      </w:r>
      <w:r>
        <w:rPr>
          <w:rFonts w:ascii="Times New Roman"/>
          <w:w w:val="105"/>
          <w:sz w:val="17"/>
        </w:rPr>
        <w:t>A.Z.M.,</w:t>
      </w:r>
      <w:r>
        <w:rPr>
          <w:rFonts w:ascii="Times New Roman"/>
          <w:spacing w:val="-11"/>
          <w:w w:val="105"/>
          <w:sz w:val="17"/>
        </w:rPr>
        <w:t> </w:t>
      </w:r>
      <w:r>
        <w:rPr>
          <w:rFonts w:ascii="Times New Roman"/>
          <w:w w:val="105"/>
          <w:sz w:val="17"/>
        </w:rPr>
        <w:t>El-Adawy,</w:t>
      </w:r>
      <w:r>
        <w:rPr>
          <w:rFonts w:ascii="Times New Roman"/>
          <w:spacing w:val="-10"/>
          <w:w w:val="105"/>
          <w:sz w:val="17"/>
        </w:rPr>
        <w:t> </w:t>
      </w:r>
      <w:r>
        <w:rPr>
          <w:rFonts w:ascii="Times New Roman"/>
          <w:w w:val="105"/>
          <w:sz w:val="17"/>
        </w:rPr>
        <w:t>M.,</w:t>
      </w:r>
      <w:r>
        <w:rPr>
          <w:rFonts w:ascii="Times New Roman"/>
          <w:spacing w:val="-11"/>
          <w:w w:val="105"/>
          <w:sz w:val="17"/>
        </w:rPr>
        <w:t> </w:t>
      </w:r>
      <w:r>
        <w:rPr>
          <w:rFonts w:ascii="Times New Roman"/>
          <w:w w:val="105"/>
          <w:sz w:val="17"/>
        </w:rPr>
        <w:t>Gado,</w:t>
      </w:r>
      <w:r>
        <w:rPr>
          <w:rFonts w:ascii="Times New Roman"/>
          <w:spacing w:val="-11"/>
          <w:w w:val="105"/>
          <w:sz w:val="17"/>
        </w:rPr>
        <w:t> </w:t>
      </w:r>
      <w:r>
        <w:rPr>
          <w:rFonts w:ascii="Times New Roman"/>
          <w:w w:val="105"/>
          <w:sz w:val="17"/>
        </w:rPr>
        <w:t>H.,</w:t>
      </w:r>
      <w:r>
        <w:rPr>
          <w:rFonts w:ascii="Times New Roman"/>
          <w:spacing w:val="-11"/>
          <w:w w:val="105"/>
          <w:sz w:val="17"/>
        </w:rPr>
        <w:t> </w:t>
      </w:r>
      <w:r>
        <w:rPr>
          <w:rFonts w:ascii="Times New Roman"/>
          <w:w w:val="105"/>
          <w:sz w:val="17"/>
        </w:rPr>
        <w:t>Camacho,</w:t>
      </w:r>
      <w:r>
        <w:rPr>
          <w:rFonts w:ascii="Times New Roman"/>
          <w:spacing w:val="-11"/>
          <w:w w:val="105"/>
          <w:sz w:val="17"/>
        </w:rPr>
        <w:t> </w:t>
      </w:r>
      <w:r>
        <w:rPr>
          <w:rFonts w:ascii="Times New Roman"/>
          <w:w w:val="105"/>
          <w:sz w:val="17"/>
        </w:rPr>
        <w:t>L.M.,</w:t>
      </w:r>
      <w:r>
        <w:rPr>
          <w:rFonts w:ascii="Times New Roman"/>
          <w:spacing w:val="-11"/>
          <w:w w:val="105"/>
          <w:sz w:val="17"/>
        </w:rPr>
        <w:t> </w:t>
      </w:r>
      <w:r>
        <w:rPr>
          <w:rFonts w:ascii="Times New Roman"/>
          <w:w w:val="105"/>
          <w:sz w:val="17"/>
        </w:rPr>
        <w:t>Ronquillo,</w:t>
      </w:r>
      <w:r>
        <w:rPr>
          <w:rFonts w:ascii="Times New Roman"/>
          <w:spacing w:val="-11"/>
          <w:w w:val="105"/>
          <w:sz w:val="17"/>
        </w:rPr>
        <w:t> </w:t>
      </w:r>
      <w:r>
        <w:rPr>
          <w:rFonts w:ascii="Times New Roman"/>
          <w:w w:val="105"/>
          <w:sz w:val="17"/>
        </w:rPr>
        <w:t>M.,</w:t>
      </w:r>
      <w:r>
        <w:rPr>
          <w:rFonts w:ascii="Times New Roman"/>
          <w:spacing w:val="-11"/>
          <w:w w:val="105"/>
          <w:sz w:val="17"/>
        </w:rPr>
        <w:t> </w:t>
      </w:r>
      <w:r>
        <w:rPr>
          <w:rFonts w:ascii="Times New Roman"/>
          <w:w w:val="105"/>
          <w:sz w:val="17"/>
        </w:rPr>
        <w:t>Alsersy,</w:t>
      </w:r>
      <w:r>
        <w:rPr>
          <w:rFonts w:ascii="Times New Roman"/>
          <w:spacing w:val="-11"/>
          <w:w w:val="105"/>
          <w:sz w:val="17"/>
        </w:rPr>
        <w:t> </w:t>
      </w:r>
      <w:r>
        <w:rPr>
          <w:rFonts w:ascii="Times New Roman"/>
          <w:w w:val="105"/>
          <w:sz w:val="17"/>
        </w:rPr>
        <w:t>H.</w:t>
      </w:r>
      <w:r>
        <w:rPr>
          <w:rFonts w:ascii="Times New Roman"/>
          <w:spacing w:val="-11"/>
          <w:w w:val="105"/>
          <w:sz w:val="17"/>
        </w:rPr>
        <w:t> </w:t>
      </w:r>
      <w:r>
        <w:rPr>
          <w:rFonts w:ascii="Times New Roman"/>
          <w:w w:val="105"/>
          <w:sz w:val="17"/>
        </w:rPr>
        <w:t>and</w:t>
      </w:r>
      <w:r>
        <w:rPr>
          <w:rFonts w:ascii="Times New Roman"/>
          <w:spacing w:val="-8"/>
          <w:w w:val="105"/>
          <w:sz w:val="17"/>
        </w:rPr>
        <w:t> </w:t>
      </w:r>
      <w:r>
        <w:rPr>
          <w:rFonts w:ascii="Times New Roman"/>
          <w:w w:val="105"/>
          <w:sz w:val="17"/>
        </w:rPr>
        <w:t>Borhami,</w:t>
      </w:r>
      <w:r>
        <w:rPr>
          <w:rFonts w:ascii="Times New Roman"/>
          <w:spacing w:val="-10"/>
          <w:w w:val="105"/>
          <w:sz w:val="17"/>
        </w:rPr>
        <w:t> </w:t>
      </w:r>
      <w:r>
        <w:rPr>
          <w:rFonts w:ascii="Times New Roman"/>
          <w:w w:val="105"/>
          <w:sz w:val="17"/>
        </w:rPr>
        <w:t>B.</w:t>
      </w:r>
      <w:r>
        <w:rPr>
          <w:rFonts w:ascii="Times New Roman"/>
          <w:spacing w:val="-11"/>
          <w:w w:val="105"/>
          <w:sz w:val="17"/>
        </w:rPr>
        <w:t> </w:t>
      </w:r>
      <w:r>
        <w:rPr>
          <w:rFonts w:ascii="Times New Roman"/>
          <w:w w:val="105"/>
          <w:sz w:val="17"/>
        </w:rPr>
        <w:t>2011a.</w:t>
      </w:r>
      <w:r>
        <w:rPr>
          <w:rFonts w:ascii="Times New Roman"/>
          <w:spacing w:val="-10"/>
          <w:w w:val="105"/>
          <w:sz w:val="17"/>
        </w:rPr>
        <w:t> </w:t>
      </w:r>
      <w:r>
        <w:rPr>
          <w:rFonts w:ascii="Times New Roman"/>
          <w:w w:val="105"/>
          <w:sz w:val="17"/>
        </w:rPr>
        <w:t>Effects</w:t>
      </w:r>
      <w:r>
        <w:rPr>
          <w:rFonts w:ascii="Times New Roman"/>
          <w:spacing w:val="-12"/>
          <w:w w:val="105"/>
          <w:sz w:val="17"/>
        </w:rPr>
        <w:t> </w:t>
      </w:r>
      <w:r>
        <w:rPr>
          <w:rFonts w:ascii="Times New Roman"/>
          <w:w w:val="105"/>
          <w:sz w:val="17"/>
        </w:rPr>
        <w:t>of exogenous enzymes on nutrients digestibility and growth performance in sheep and goats. </w:t>
      </w:r>
      <w:r>
        <w:rPr>
          <w:rFonts w:ascii="Times New Roman"/>
          <w:i/>
          <w:w w:val="105"/>
          <w:sz w:val="17"/>
        </w:rPr>
        <w:t>Tropical and </w:t>
      </w:r>
      <w:r>
        <w:rPr>
          <w:rFonts w:ascii="Times New Roman"/>
          <w:i/>
          <w:w w:val="105"/>
          <w:sz w:val="17"/>
        </w:rPr>
        <w:t>Subtropical</w:t>
      </w:r>
      <w:r>
        <w:rPr>
          <w:rFonts w:ascii="Times New Roman"/>
          <w:i/>
          <w:spacing w:val="-16"/>
          <w:w w:val="105"/>
          <w:sz w:val="17"/>
        </w:rPr>
        <w:t> </w:t>
      </w:r>
      <w:r>
        <w:rPr>
          <w:rFonts w:ascii="Times New Roman"/>
          <w:i/>
          <w:w w:val="105"/>
          <w:sz w:val="17"/>
        </w:rPr>
        <w:t>Agroecosystems</w:t>
      </w:r>
      <w:r>
        <w:rPr>
          <w:rFonts w:ascii="Times New Roman"/>
          <w:w w:val="105"/>
          <w:sz w:val="17"/>
        </w:rPr>
        <w:t>,</w:t>
      </w:r>
      <w:r>
        <w:rPr>
          <w:rFonts w:ascii="Times New Roman"/>
          <w:spacing w:val="-16"/>
          <w:w w:val="105"/>
          <w:sz w:val="17"/>
        </w:rPr>
        <w:t> </w:t>
      </w:r>
      <w:r>
        <w:rPr>
          <w:rFonts w:ascii="Times New Roman"/>
          <w:w w:val="105"/>
          <w:sz w:val="17"/>
        </w:rPr>
        <w:t>14:</w:t>
      </w:r>
      <w:r>
        <w:rPr>
          <w:rFonts w:ascii="Times New Roman"/>
          <w:spacing w:val="-16"/>
          <w:w w:val="105"/>
          <w:sz w:val="17"/>
        </w:rPr>
        <w:t> </w:t>
      </w:r>
      <w:r>
        <w:rPr>
          <w:rFonts w:ascii="Times New Roman"/>
          <w:w w:val="105"/>
          <w:sz w:val="17"/>
        </w:rPr>
        <w:t>867-</w:t>
      </w:r>
      <w:r>
        <w:rPr>
          <w:rFonts w:ascii="Times New Roman"/>
          <w:spacing w:val="-16"/>
          <w:w w:val="105"/>
          <w:sz w:val="17"/>
        </w:rPr>
        <w:t> </w:t>
      </w:r>
      <w:r>
        <w:rPr>
          <w:rFonts w:ascii="Times New Roman"/>
          <w:w w:val="105"/>
          <w:sz w:val="17"/>
        </w:rPr>
        <w:t>874.</w:t>
      </w:r>
    </w:p>
    <w:p>
      <w:pPr>
        <w:spacing w:before="56"/>
        <w:ind w:left="175" w:right="-2" w:firstLine="0"/>
        <w:jc w:val="left"/>
        <w:rPr>
          <w:rFonts w:ascii="Times New Roman"/>
          <w:sz w:val="17"/>
        </w:rPr>
      </w:pPr>
      <w:r>
        <w:rPr>
          <w:rFonts w:ascii="Times New Roman"/>
          <w:w w:val="105"/>
          <w:sz w:val="17"/>
        </w:rPr>
        <w:t>Salem, A.Z.M., Olivares, M., Lopez, S., Gonzalez-Ronquillo, M., R. Rojo, Camacho, L.M., Cerrillo, S.M.A. and Mejia,</w:t>
      </w:r>
    </w:p>
    <w:p>
      <w:pPr>
        <w:spacing w:line="283" w:lineRule="auto" w:before="35"/>
        <w:ind w:left="677" w:right="102" w:firstLine="0"/>
        <w:jc w:val="left"/>
        <w:rPr>
          <w:rFonts w:ascii="Times New Roman"/>
          <w:sz w:val="17"/>
        </w:rPr>
      </w:pPr>
      <w:r>
        <w:rPr>
          <w:rFonts w:ascii="Times New Roman"/>
          <w:w w:val="105"/>
          <w:sz w:val="17"/>
        </w:rPr>
        <w:t>H.P. 2011b. Effect of natural extracts of </w:t>
      </w:r>
      <w:r>
        <w:rPr>
          <w:rFonts w:ascii="Times New Roman"/>
          <w:i/>
          <w:w w:val="105"/>
          <w:sz w:val="17"/>
        </w:rPr>
        <w:t>Salix babylonica </w:t>
      </w:r>
      <w:r>
        <w:rPr>
          <w:rFonts w:ascii="Times New Roman"/>
          <w:w w:val="105"/>
          <w:sz w:val="17"/>
        </w:rPr>
        <w:t>and </w:t>
      </w:r>
      <w:r>
        <w:rPr>
          <w:rFonts w:ascii="Times New Roman"/>
          <w:i/>
          <w:w w:val="105"/>
          <w:sz w:val="17"/>
        </w:rPr>
        <w:t>Leucaena leucocephala </w:t>
      </w:r>
      <w:r>
        <w:rPr>
          <w:rFonts w:ascii="Times New Roman"/>
          <w:w w:val="105"/>
          <w:sz w:val="17"/>
        </w:rPr>
        <w:t>on nutrient digestibility and growth performance of lambs. </w:t>
      </w:r>
      <w:r>
        <w:rPr>
          <w:rFonts w:ascii="Times New Roman"/>
          <w:i/>
          <w:w w:val="105"/>
          <w:sz w:val="17"/>
        </w:rPr>
        <w:t>Animal Feed Science and Technology, </w:t>
      </w:r>
      <w:r>
        <w:rPr>
          <w:rFonts w:ascii="Times New Roman"/>
          <w:w w:val="105"/>
          <w:sz w:val="17"/>
        </w:rPr>
        <w:t>170: 27- 34.</w:t>
      </w:r>
    </w:p>
    <w:p>
      <w:pPr>
        <w:spacing w:line="283" w:lineRule="auto" w:before="61"/>
        <w:ind w:left="677" w:right="104" w:hanging="502"/>
        <w:jc w:val="both"/>
        <w:rPr>
          <w:rFonts w:ascii="Times New Roman" w:hAnsi="Times New Roman"/>
          <w:sz w:val="17"/>
        </w:rPr>
      </w:pPr>
      <w:r>
        <w:rPr>
          <w:rFonts w:ascii="Times New Roman" w:hAnsi="Times New Roman"/>
          <w:w w:val="105"/>
          <w:sz w:val="17"/>
        </w:rPr>
        <w:t>Salem,</w:t>
      </w:r>
      <w:r>
        <w:rPr>
          <w:rFonts w:ascii="Times New Roman" w:hAnsi="Times New Roman"/>
          <w:spacing w:val="-5"/>
          <w:w w:val="105"/>
          <w:sz w:val="17"/>
        </w:rPr>
        <w:t> </w:t>
      </w:r>
      <w:r>
        <w:rPr>
          <w:rFonts w:ascii="Times New Roman" w:hAnsi="Times New Roman"/>
          <w:w w:val="105"/>
          <w:sz w:val="17"/>
        </w:rPr>
        <w:t>A.Z.M.,</w:t>
      </w:r>
      <w:r>
        <w:rPr>
          <w:rFonts w:ascii="Times New Roman" w:hAnsi="Times New Roman"/>
          <w:spacing w:val="-5"/>
          <w:w w:val="105"/>
          <w:sz w:val="17"/>
        </w:rPr>
        <w:t> </w:t>
      </w:r>
      <w:r>
        <w:rPr>
          <w:rFonts w:ascii="Times New Roman" w:hAnsi="Times New Roman"/>
          <w:w w:val="105"/>
          <w:sz w:val="17"/>
        </w:rPr>
        <w:t>Robinson,</w:t>
      </w:r>
      <w:r>
        <w:rPr>
          <w:rFonts w:ascii="Times New Roman" w:hAnsi="Times New Roman"/>
          <w:spacing w:val="-5"/>
          <w:w w:val="105"/>
          <w:sz w:val="17"/>
        </w:rPr>
        <w:t> </w:t>
      </w:r>
      <w:r>
        <w:rPr>
          <w:rFonts w:ascii="Times New Roman" w:hAnsi="Times New Roman"/>
          <w:w w:val="105"/>
          <w:sz w:val="17"/>
        </w:rPr>
        <w:t>P.H.,</w:t>
      </w:r>
      <w:r>
        <w:rPr>
          <w:rFonts w:ascii="Times New Roman" w:hAnsi="Times New Roman"/>
          <w:spacing w:val="-5"/>
          <w:w w:val="105"/>
          <w:sz w:val="17"/>
        </w:rPr>
        <w:t> </w:t>
      </w:r>
      <w:r>
        <w:rPr>
          <w:rFonts w:ascii="Times New Roman" w:hAnsi="Times New Roman"/>
          <w:w w:val="105"/>
          <w:sz w:val="17"/>
        </w:rPr>
        <w:t>López,</w:t>
      </w:r>
      <w:r>
        <w:rPr>
          <w:rFonts w:ascii="Times New Roman" w:hAnsi="Times New Roman"/>
          <w:spacing w:val="-5"/>
          <w:w w:val="105"/>
          <w:sz w:val="17"/>
        </w:rPr>
        <w:t> </w:t>
      </w:r>
      <w:r>
        <w:rPr>
          <w:rFonts w:ascii="Times New Roman" w:hAnsi="Times New Roman"/>
          <w:w w:val="105"/>
          <w:sz w:val="17"/>
        </w:rPr>
        <w:t>S.,</w:t>
      </w:r>
      <w:r>
        <w:rPr>
          <w:rFonts w:ascii="Times New Roman" w:hAnsi="Times New Roman"/>
          <w:spacing w:val="-5"/>
          <w:w w:val="105"/>
          <w:sz w:val="17"/>
        </w:rPr>
        <w:t> </w:t>
      </w:r>
      <w:r>
        <w:rPr>
          <w:rFonts w:ascii="Times New Roman" w:hAnsi="Times New Roman"/>
          <w:w w:val="105"/>
          <w:sz w:val="17"/>
        </w:rPr>
        <w:t>Gohar,</w:t>
      </w:r>
      <w:r>
        <w:rPr>
          <w:rFonts w:ascii="Times New Roman" w:hAnsi="Times New Roman"/>
          <w:spacing w:val="-5"/>
          <w:w w:val="105"/>
          <w:sz w:val="17"/>
        </w:rPr>
        <w:t> </w:t>
      </w:r>
      <w:r>
        <w:rPr>
          <w:rFonts w:ascii="Times New Roman" w:hAnsi="Times New Roman"/>
          <w:w w:val="105"/>
          <w:sz w:val="17"/>
        </w:rPr>
        <w:t>Y.M.,</w:t>
      </w:r>
      <w:r>
        <w:rPr>
          <w:rFonts w:ascii="Times New Roman" w:hAnsi="Times New Roman"/>
          <w:spacing w:val="-5"/>
          <w:w w:val="105"/>
          <w:sz w:val="17"/>
        </w:rPr>
        <w:t> </w:t>
      </w:r>
      <w:r>
        <w:rPr>
          <w:rFonts w:ascii="Times New Roman" w:hAnsi="Times New Roman"/>
          <w:w w:val="105"/>
          <w:sz w:val="17"/>
        </w:rPr>
        <w:t>Rojo,</w:t>
      </w:r>
      <w:r>
        <w:rPr>
          <w:rFonts w:ascii="Times New Roman" w:hAnsi="Times New Roman"/>
          <w:spacing w:val="-5"/>
          <w:w w:val="105"/>
          <w:sz w:val="17"/>
        </w:rPr>
        <w:t> </w:t>
      </w:r>
      <w:r>
        <w:rPr>
          <w:rFonts w:ascii="Times New Roman" w:hAnsi="Times New Roman"/>
          <w:w w:val="105"/>
          <w:sz w:val="17"/>
        </w:rPr>
        <w:t>R.</w:t>
      </w:r>
      <w:r>
        <w:rPr>
          <w:rFonts w:ascii="Times New Roman" w:hAnsi="Times New Roman"/>
          <w:spacing w:val="-3"/>
          <w:w w:val="105"/>
          <w:sz w:val="17"/>
        </w:rPr>
        <w:t> </w:t>
      </w:r>
      <w:r>
        <w:rPr>
          <w:rFonts w:ascii="Times New Roman" w:hAnsi="Times New Roman"/>
          <w:w w:val="105"/>
          <w:sz w:val="17"/>
        </w:rPr>
        <w:t>and</w:t>
      </w:r>
      <w:r>
        <w:rPr>
          <w:rFonts w:ascii="Times New Roman" w:hAnsi="Times New Roman"/>
          <w:spacing w:val="-2"/>
          <w:w w:val="105"/>
          <w:sz w:val="17"/>
        </w:rPr>
        <w:t> </w:t>
      </w:r>
      <w:r>
        <w:rPr>
          <w:rFonts w:ascii="Times New Roman" w:hAnsi="Times New Roman"/>
          <w:w w:val="105"/>
          <w:sz w:val="17"/>
        </w:rPr>
        <w:t>Tinoco,</w:t>
      </w:r>
      <w:r>
        <w:rPr>
          <w:rFonts w:ascii="Times New Roman" w:hAnsi="Times New Roman"/>
          <w:spacing w:val="-5"/>
          <w:w w:val="105"/>
          <w:sz w:val="17"/>
        </w:rPr>
        <w:t> </w:t>
      </w:r>
      <w:r>
        <w:rPr>
          <w:rFonts w:ascii="Times New Roman" w:hAnsi="Times New Roman"/>
          <w:w w:val="105"/>
          <w:sz w:val="17"/>
        </w:rPr>
        <w:t>J.L.</w:t>
      </w:r>
      <w:r>
        <w:rPr>
          <w:rFonts w:ascii="Times New Roman" w:hAnsi="Times New Roman"/>
          <w:spacing w:val="-5"/>
          <w:w w:val="105"/>
          <w:sz w:val="17"/>
        </w:rPr>
        <w:t> </w:t>
      </w:r>
      <w:r>
        <w:rPr>
          <w:rFonts w:ascii="Times New Roman" w:hAnsi="Times New Roman"/>
          <w:w w:val="105"/>
          <w:sz w:val="17"/>
        </w:rPr>
        <w:t>2010.</w:t>
      </w:r>
      <w:r>
        <w:rPr>
          <w:rFonts w:ascii="Times New Roman" w:hAnsi="Times New Roman"/>
          <w:spacing w:val="-7"/>
          <w:w w:val="105"/>
          <w:sz w:val="17"/>
        </w:rPr>
        <w:t> </w:t>
      </w:r>
      <w:r>
        <w:rPr>
          <w:rFonts w:ascii="Times New Roman" w:hAnsi="Times New Roman"/>
          <w:w w:val="105"/>
          <w:sz w:val="17"/>
        </w:rPr>
        <w:t>Sensitivity</w:t>
      </w:r>
      <w:r>
        <w:rPr>
          <w:rFonts w:ascii="Times New Roman" w:hAnsi="Times New Roman"/>
          <w:spacing w:val="-6"/>
          <w:w w:val="105"/>
          <w:sz w:val="17"/>
        </w:rPr>
        <w:t> </w:t>
      </w:r>
      <w:r>
        <w:rPr>
          <w:rFonts w:ascii="Times New Roman" w:hAnsi="Times New Roman"/>
          <w:w w:val="105"/>
          <w:sz w:val="17"/>
        </w:rPr>
        <w:t>of</w:t>
      </w:r>
      <w:r>
        <w:rPr>
          <w:rFonts w:ascii="Times New Roman" w:hAnsi="Times New Roman"/>
          <w:spacing w:val="-3"/>
          <w:w w:val="105"/>
          <w:sz w:val="17"/>
        </w:rPr>
        <w:t> </w:t>
      </w:r>
      <w:r>
        <w:rPr>
          <w:rFonts w:ascii="Times New Roman" w:hAnsi="Times New Roman"/>
          <w:w w:val="105"/>
          <w:sz w:val="17"/>
        </w:rPr>
        <w:t>sheep</w:t>
      </w:r>
      <w:r>
        <w:rPr>
          <w:rFonts w:ascii="Times New Roman" w:hAnsi="Times New Roman"/>
          <w:spacing w:val="-3"/>
          <w:w w:val="105"/>
          <w:sz w:val="17"/>
        </w:rPr>
        <w:t> </w:t>
      </w:r>
      <w:r>
        <w:rPr>
          <w:rFonts w:ascii="Times New Roman" w:hAnsi="Times New Roman"/>
          <w:w w:val="105"/>
          <w:sz w:val="17"/>
        </w:rPr>
        <w:t>intestinal lactic acid bacteria to secondary compounds extracted from </w:t>
      </w:r>
      <w:r>
        <w:rPr>
          <w:rFonts w:ascii="Times New Roman" w:hAnsi="Times New Roman"/>
          <w:i/>
          <w:w w:val="105"/>
          <w:sz w:val="17"/>
        </w:rPr>
        <w:t>Acacia saligna </w:t>
      </w:r>
      <w:r>
        <w:rPr>
          <w:rFonts w:ascii="Times New Roman" w:hAnsi="Times New Roman"/>
          <w:w w:val="105"/>
          <w:sz w:val="17"/>
        </w:rPr>
        <w:t>leaves. </w:t>
      </w:r>
      <w:r>
        <w:rPr>
          <w:rFonts w:ascii="Times New Roman" w:hAnsi="Times New Roman"/>
          <w:i/>
          <w:w w:val="105"/>
          <w:sz w:val="17"/>
        </w:rPr>
        <w:t>Animal Feed Science and </w:t>
      </w:r>
      <w:r>
        <w:rPr>
          <w:rFonts w:ascii="Times New Roman" w:hAnsi="Times New Roman"/>
          <w:i/>
          <w:w w:val="105"/>
          <w:sz w:val="17"/>
        </w:rPr>
        <w:t>Technology, </w:t>
      </w:r>
      <w:r>
        <w:rPr>
          <w:rFonts w:ascii="Times New Roman" w:hAnsi="Times New Roman"/>
          <w:w w:val="105"/>
          <w:sz w:val="17"/>
        </w:rPr>
        <w:t>161:</w:t>
      </w:r>
      <w:r>
        <w:rPr>
          <w:rFonts w:ascii="Times New Roman" w:hAnsi="Times New Roman"/>
          <w:spacing w:val="-34"/>
          <w:w w:val="105"/>
          <w:sz w:val="17"/>
        </w:rPr>
        <w:t> </w:t>
      </w:r>
      <w:r>
        <w:rPr>
          <w:rFonts w:ascii="Times New Roman" w:hAnsi="Times New Roman"/>
          <w:w w:val="105"/>
          <w:sz w:val="17"/>
        </w:rPr>
        <w:t>85-93.</w:t>
      </w:r>
    </w:p>
    <w:p>
      <w:pPr>
        <w:spacing w:line="324" w:lineRule="auto" w:before="58"/>
        <w:ind w:left="175" w:right="1936" w:firstLine="0"/>
        <w:jc w:val="left"/>
        <w:rPr>
          <w:rFonts w:ascii="Times New Roman" w:hAnsi="Times New Roman"/>
          <w:sz w:val="17"/>
        </w:rPr>
      </w:pPr>
      <w:r>
        <w:rPr>
          <w:rFonts w:ascii="Times New Roman" w:hAnsi="Times New Roman"/>
          <w:w w:val="105"/>
          <w:sz w:val="17"/>
        </w:rPr>
        <w:t>SAS. 2002. </w:t>
      </w:r>
      <w:r>
        <w:rPr>
          <w:rFonts w:ascii="Times New Roman" w:hAnsi="Times New Roman"/>
          <w:i/>
          <w:w w:val="105"/>
          <w:sz w:val="17"/>
        </w:rPr>
        <w:t>SAS User’s Guide: Statistics</w:t>
      </w:r>
      <w:r>
        <w:rPr>
          <w:rFonts w:ascii="Times New Roman" w:hAnsi="Times New Roman"/>
          <w:w w:val="105"/>
          <w:sz w:val="17"/>
        </w:rPr>
        <w:t>. Ver 9.0. SAS Institute, Cary, N.C. USA, p. 956 Van</w:t>
      </w:r>
      <w:r>
        <w:rPr>
          <w:rFonts w:ascii="Times New Roman" w:hAnsi="Times New Roman"/>
          <w:spacing w:val="-10"/>
          <w:w w:val="105"/>
          <w:sz w:val="17"/>
        </w:rPr>
        <w:t> </w:t>
      </w:r>
      <w:r>
        <w:rPr>
          <w:rFonts w:ascii="Times New Roman" w:hAnsi="Times New Roman"/>
          <w:w w:val="105"/>
          <w:sz w:val="17"/>
        </w:rPr>
        <w:t>Soest,</w:t>
      </w:r>
      <w:r>
        <w:rPr>
          <w:rFonts w:ascii="Times New Roman" w:hAnsi="Times New Roman"/>
          <w:spacing w:val="-11"/>
          <w:w w:val="105"/>
          <w:sz w:val="17"/>
        </w:rPr>
        <w:t> </w:t>
      </w:r>
      <w:r>
        <w:rPr>
          <w:rFonts w:ascii="Times New Roman" w:hAnsi="Times New Roman"/>
          <w:w w:val="105"/>
          <w:sz w:val="17"/>
        </w:rPr>
        <w:t>P.J.</w:t>
      </w:r>
      <w:r>
        <w:rPr>
          <w:rFonts w:ascii="Times New Roman" w:hAnsi="Times New Roman"/>
          <w:spacing w:val="-11"/>
          <w:w w:val="105"/>
          <w:sz w:val="17"/>
        </w:rPr>
        <w:t> </w:t>
      </w:r>
      <w:r>
        <w:rPr>
          <w:rFonts w:ascii="Times New Roman" w:hAnsi="Times New Roman"/>
          <w:w w:val="105"/>
          <w:sz w:val="17"/>
        </w:rPr>
        <w:t>1991.</w:t>
      </w:r>
      <w:r>
        <w:rPr>
          <w:rFonts w:ascii="Times New Roman" w:hAnsi="Times New Roman"/>
          <w:spacing w:val="-14"/>
          <w:w w:val="105"/>
          <w:sz w:val="17"/>
        </w:rPr>
        <w:t> </w:t>
      </w:r>
      <w:r>
        <w:rPr>
          <w:rFonts w:ascii="Times New Roman" w:hAnsi="Times New Roman"/>
          <w:i/>
          <w:w w:val="105"/>
          <w:sz w:val="17"/>
        </w:rPr>
        <w:t>Nutritional</w:t>
      </w:r>
      <w:r>
        <w:rPr>
          <w:rFonts w:ascii="Times New Roman" w:hAnsi="Times New Roman"/>
          <w:i/>
          <w:spacing w:val="-14"/>
          <w:w w:val="105"/>
          <w:sz w:val="17"/>
        </w:rPr>
        <w:t> </w:t>
      </w:r>
      <w:r>
        <w:rPr>
          <w:rFonts w:ascii="Times New Roman" w:hAnsi="Times New Roman"/>
          <w:i/>
          <w:w w:val="105"/>
          <w:sz w:val="17"/>
        </w:rPr>
        <w:t>Ecology</w:t>
      </w:r>
      <w:r>
        <w:rPr>
          <w:rFonts w:ascii="Times New Roman" w:hAnsi="Times New Roman"/>
          <w:i/>
          <w:spacing w:val="-14"/>
          <w:w w:val="105"/>
          <w:sz w:val="17"/>
        </w:rPr>
        <w:t> </w:t>
      </w:r>
      <w:r>
        <w:rPr>
          <w:rFonts w:ascii="Times New Roman" w:hAnsi="Times New Roman"/>
          <w:i/>
          <w:w w:val="105"/>
          <w:sz w:val="17"/>
        </w:rPr>
        <w:t>of</w:t>
      </w:r>
      <w:r>
        <w:rPr>
          <w:rFonts w:ascii="Times New Roman" w:hAnsi="Times New Roman"/>
          <w:i/>
          <w:spacing w:val="-11"/>
          <w:w w:val="105"/>
          <w:sz w:val="17"/>
        </w:rPr>
        <w:t> </w:t>
      </w:r>
      <w:r>
        <w:rPr>
          <w:rFonts w:ascii="Times New Roman" w:hAnsi="Times New Roman"/>
          <w:i/>
          <w:w w:val="105"/>
          <w:sz w:val="17"/>
        </w:rPr>
        <w:t>the</w:t>
      </w:r>
      <w:r>
        <w:rPr>
          <w:rFonts w:ascii="Times New Roman" w:hAnsi="Times New Roman"/>
          <w:i/>
          <w:spacing w:val="-14"/>
          <w:w w:val="105"/>
          <w:sz w:val="17"/>
        </w:rPr>
        <w:t> </w:t>
      </w:r>
      <w:r>
        <w:rPr>
          <w:rFonts w:ascii="Times New Roman" w:hAnsi="Times New Roman"/>
          <w:i/>
          <w:w w:val="105"/>
          <w:sz w:val="17"/>
        </w:rPr>
        <w:t>Ruminant</w:t>
      </w:r>
      <w:r>
        <w:rPr>
          <w:rFonts w:ascii="Times New Roman" w:hAnsi="Times New Roman"/>
          <w:w w:val="105"/>
          <w:sz w:val="17"/>
        </w:rPr>
        <w:t>,</w:t>
      </w:r>
      <w:r>
        <w:rPr>
          <w:rFonts w:ascii="Times New Roman" w:hAnsi="Times New Roman"/>
          <w:spacing w:val="-14"/>
          <w:w w:val="105"/>
          <w:sz w:val="17"/>
        </w:rPr>
        <w:t> </w:t>
      </w:r>
      <w:r>
        <w:rPr>
          <w:rFonts w:ascii="Times New Roman" w:hAnsi="Times New Roman"/>
          <w:w w:val="105"/>
          <w:sz w:val="17"/>
        </w:rPr>
        <w:t>2</w:t>
      </w:r>
      <w:r>
        <w:rPr>
          <w:rFonts w:ascii="Times New Roman" w:hAnsi="Times New Roman"/>
          <w:w w:val="105"/>
          <w:position w:val="8"/>
          <w:sz w:val="11"/>
        </w:rPr>
        <w:t>nd</w:t>
      </w:r>
      <w:r>
        <w:rPr>
          <w:rFonts w:ascii="Times New Roman" w:hAnsi="Times New Roman"/>
          <w:spacing w:val="6"/>
          <w:w w:val="105"/>
          <w:position w:val="8"/>
          <w:sz w:val="11"/>
        </w:rPr>
        <w:t> </w:t>
      </w:r>
      <w:r>
        <w:rPr>
          <w:rFonts w:ascii="Times New Roman" w:hAnsi="Times New Roman"/>
          <w:w w:val="105"/>
          <w:sz w:val="17"/>
        </w:rPr>
        <w:t>ed.</w:t>
      </w:r>
      <w:r>
        <w:rPr>
          <w:rFonts w:ascii="Times New Roman" w:hAnsi="Times New Roman"/>
          <w:spacing w:val="-10"/>
          <w:w w:val="105"/>
          <w:sz w:val="17"/>
        </w:rPr>
        <w:t> </w:t>
      </w:r>
      <w:r>
        <w:rPr>
          <w:rFonts w:ascii="Times New Roman" w:hAnsi="Times New Roman"/>
          <w:w w:val="105"/>
          <w:sz w:val="17"/>
        </w:rPr>
        <w:t>Cornell</w:t>
      </w:r>
      <w:r>
        <w:rPr>
          <w:rFonts w:ascii="Times New Roman" w:hAnsi="Times New Roman"/>
          <w:spacing w:val="-10"/>
          <w:w w:val="105"/>
          <w:sz w:val="17"/>
        </w:rPr>
        <w:t> </w:t>
      </w:r>
      <w:r>
        <w:rPr>
          <w:rFonts w:ascii="Times New Roman" w:hAnsi="Times New Roman"/>
          <w:w w:val="105"/>
          <w:sz w:val="17"/>
        </w:rPr>
        <w:t>University,</w:t>
      </w:r>
      <w:r>
        <w:rPr>
          <w:rFonts w:ascii="Times New Roman" w:hAnsi="Times New Roman"/>
          <w:spacing w:val="-11"/>
          <w:w w:val="105"/>
          <w:sz w:val="17"/>
        </w:rPr>
        <w:t> </w:t>
      </w:r>
      <w:r>
        <w:rPr>
          <w:rFonts w:ascii="Times New Roman" w:hAnsi="Times New Roman"/>
          <w:w w:val="105"/>
          <w:sz w:val="17"/>
        </w:rPr>
        <w:t>USA.</w:t>
      </w:r>
    </w:p>
    <w:p>
      <w:pPr>
        <w:spacing w:line="283" w:lineRule="auto" w:before="17"/>
        <w:ind w:left="677" w:right="102" w:hanging="502"/>
        <w:jc w:val="both"/>
        <w:rPr>
          <w:rFonts w:ascii="Times New Roman"/>
          <w:sz w:val="17"/>
        </w:rPr>
      </w:pPr>
      <w:r>
        <w:rPr>
          <w:rFonts w:ascii="Times New Roman"/>
          <w:w w:val="105"/>
          <w:sz w:val="17"/>
        </w:rPr>
        <w:t>Wintergerst,</w:t>
      </w:r>
      <w:r>
        <w:rPr>
          <w:rFonts w:ascii="Times New Roman"/>
          <w:spacing w:val="-5"/>
          <w:w w:val="105"/>
          <w:sz w:val="17"/>
        </w:rPr>
        <w:t> </w:t>
      </w:r>
      <w:r>
        <w:rPr>
          <w:rFonts w:ascii="Times New Roman"/>
          <w:w w:val="105"/>
          <w:sz w:val="17"/>
        </w:rPr>
        <w:t>E.S.,</w:t>
      </w:r>
      <w:r>
        <w:rPr>
          <w:rFonts w:ascii="Times New Roman"/>
          <w:spacing w:val="-8"/>
          <w:w w:val="105"/>
          <w:sz w:val="17"/>
        </w:rPr>
        <w:t> </w:t>
      </w:r>
      <w:r>
        <w:rPr>
          <w:rFonts w:ascii="Times New Roman"/>
          <w:w w:val="105"/>
          <w:sz w:val="17"/>
        </w:rPr>
        <w:t>Maggini,</w:t>
      </w:r>
      <w:r>
        <w:rPr>
          <w:rFonts w:ascii="Times New Roman"/>
          <w:spacing w:val="-5"/>
          <w:w w:val="105"/>
          <w:sz w:val="17"/>
        </w:rPr>
        <w:t> </w:t>
      </w:r>
      <w:r>
        <w:rPr>
          <w:rFonts w:ascii="Times New Roman"/>
          <w:w w:val="105"/>
          <w:sz w:val="17"/>
        </w:rPr>
        <w:t>S.</w:t>
      </w:r>
      <w:r>
        <w:rPr>
          <w:rFonts w:ascii="Times New Roman"/>
          <w:spacing w:val="-4"/>
          <w:w w:val="105"/>
          <w:sz w:val="17"/>
        </w:rPr>
        <w:t> </w:t>
      </w:r>
      <w:r>
        <w:rPr>
          <w:rFonts w:ascii="Times New Roman"/>
          <w:w w:val="105"/>
          <w:sz w:val="17"/>
        </w:rPr>
        <w:t>and</w:t>
      </w:r>
      <w:r>
        <w:rPr>
          <w:rFonts w:ascii="Times New Roman"/>
          <w:spacing w:val="-2"/>
          <w:w w:val="105"/>
          <w:sz w:val="17"/>
        </w:rPr>
        <w:t> </w:t>
      </w:r>
      <w:r>
        <w:rPr>
          <w:rFonts w:ascii="Times New Roman"/>
          <w:w w:val="105"/>
          <w:sz w:val="17"/>
        </w:rPr>
        <w:t>Hornig,</w:t>
      </w:r>
      <w:r>
        <w:rPr>
          <w:rFonts w:ascii="Times New Roman"/>
          <w:spacing w:val="-5"/>
          <w:w w:val="105"/>
          <w:sz w:val="17"/>
        </w:rPr>
        <w:t> </w:t>
      </w:r>
      <w:r>
        <w:rPr>
          <w:rFonts w:ascii="Times New Roman"/>
          <w:w w:val="105"/>
          <w:sz w:val="17"/>
        </w:rPr>
        <w:t>D.H.</w:t>
      </w:r>
      <w:r>
        <w:rPr>
          <w:rFonts w:ascii="Times New Roman"/>
          <w:spacing w:val="-5"/>
          <w:w w:val="105"/>
          <w:sz w:val="17"/>
        </w:rPr>
        <w:t> </w:t>
      </w:r>
      <w:r>
        <w:rPr>
          <w:rFonts w:ascii="Times New Roman"/>
          <w:w w:val="105"/>
          <w:sz w:val="17"/>
        </w:rPr>
        <w:t>2007.</w:t>
      </w:r>
      <w:r>
        <w:rPr>
          <w:rFonts w:ascii="Times New Roman"/>
          <w:spacing w:val="-5"/>
          <w:w w:val="105"/>
          <w:sz w:val="17"/>
        </w:rPr>
        <w:t> </w:t>
      </w:r>
      <w:r>
        <w:rPr>
          <w:rFonts w:ascii="Times New Roman"/>
          <w:w w:val="105"/>
          <w:sz w:val="17"/>
        </w:rPr>
        <w:t>Contribution</w:t>
      </w:r>
      <w:r>
        <w:rPr>
          <w:rFonts w:ascii="Times New Roman"/>
          <w:spacing w:val="-2"/>
          <w:w w:val="105"/>
          <w:sz w:val="17"/>
        </w:rPr>
        <w:t> </w:t>
      </w:r>
      <w:r>
        <w:rPr>
          <w:rFonts w:ascii="Times New Roman"/>
          <w:w w:val="105"/>
          <w:sz w:val="17"/>
        </w:rPr>
        <w:t>of</w:t>
      </w:r>
      <w:r>
        <w:rPr>
          <w:rFonts w:ascii="Times New Roman"/>
          <w:spacing w:val="-4"/>
          <w:w w:val="105"/>
          <w:sz w:val="17"/>
        </w:rPr>
        <w:t> </w:t>
      </w:r>
      <w:r>
        <w:rPr>
          <w:rFonts w:ascii="Times New Roman"/>
          <w:w w:val="105"/>
          <w:sz w:val="17"/>
        </w:rPr>
        <w:t>selected</w:t>
      </w:r>
      <w:r>
        <w:rPr>
          <w:rFonts w:ascii="Times New Roman"/>
          <w:spacing w:val="-4"/>
          <w:w w:val="105"/>
          <w:sz w:val="17"/>
        </w:rPr>
        <w:t> </w:t>
      </w:r>
      <w:r>
        <w:rPr>
          <w:rFonts w:ascii="Times New Roman"/>
          <w:w w:val="105"/>
          <w:sz w:val="17"/>
        </w:rPr>
        <w:t>vitamins</w:t>
      </w:r>
      <w:r>
        <w:rPr>
          <w:rFonts w:ascii="Times New Roman"/>
          <w:spacing w:val="-4"/>
          <w:w w:val="105"/>
          <w:sz w:val="17"/>
        </w:rPr>
        <w:t> </w:t>
      </w:r>
      <w:r>
        <w:rPr>
          <w:rFonts w:ascii="Times New Roman"/>
          <w:w w:val="105"/>
          <w:sz w:val="17"/>
        </w:rPr>
        <w:t>and</w:t>
      </w:r>
      <w:r>
        <w:rPr>
          <w:rFonts w:ascii="Times New Roman"/>
          <w:spacing w:val="-2"/>
          <w:w w:val="105"/>
          <w:sz w:val="17"/>
        </w:rPr>
        <w:t> </w:t>
      </w:r>
      <w:r>
        <w:rPr>
          <w:rFonts w:ascii="Times New Roman"/>
          <w:w w:val="105"/>
          <w:sz w:val="17"/>
        </w:rPr>
        <w:t>trace</w:t>
      </w:r>
      <w:r>
        <w:rPr>
          <w:rFonts w:ascii="Times New Roman"/>
          <w:spacing w:val="-4"/>
          <w:w w:val="105"/>
          <w:sz w:val="17"/>
        </w:rPr>
        <w:t> </w:t>
      </w:r>
      <w:r>
        <w:rPr>
          <w:rFonts w:ascii="Times New Roman"/>
          <w:w w:val="105"/>
          <w:sz w:val="17"/>
        </w:rPr>
        <w:t>elements</w:t>
      </w:r>
      <w:r>
        <w:rPr>
          <w:rFonts w:ascii="Times New Roman"/>
          <w:spacing w:val="-5"/>
          <w:w w:val="105"/>
          <w:sz w:val="17"/>
        </w:rPr>
        <w:t> </w:t>
      </w:r>
      <w:r>
        <w:rPr>
          <w:rFonts w:ascii="Times New Roman"/>
          <w:w w:val="105"/>
          <w:sz w:val="17"/>
        </w:rPr>
        <w:t>to</w:t>
      </w:r>
      <w:r>
        <w:rPr>
          <w:rFonts w:ascii="Times New Roman"/>
          <w:spacing w:val="-6"/>
          <w:w w:val="105"/>
          <w:sz w:val="17"/>
        </w:rPr>
        <w:t> </w:t>
      </w:r>
      <w:r>
        <w:rPr>
          <w:rFonts w:ascii="Times New Roman"/>
          <w:w w:val="105"/>
          <w:sz w:val="17"/>
        </w:rPr>
        <w:t>immune function.</w:t>
      </w:r>
      <w:r>
        <w:rPr>
          <w:rFonts w:ascii="Times New Roman"/>
          <w:i/>
          <w:w w:val="105"/>
          <w:sz w:val="17"/>
        </w:rPr>
        <w:t>Annals</w:t>
      </w:r>
      <w:r>
        <w:rPr>
          <w:rFonts w:ascii="Times New Roman"/>
          <w:i/>
          <w:spacing w:val="-18"/>
          <w:w w:val="105"/>
          <w:sz w:val="17"/>
        </w:rPr>
        <w:t> </w:t>
      </w:r>
      <w:r>
        <w:rPr>
          <w:rFonts w:ascii="Times New Roman"/>
          <w:i/>
          <w:w w:val="105"/>
          <w:sz w:val="17"/>
        </w:rPr>
        <w:t>of</w:t>
      </w:r>
      <w:r>
        <w:rPr>
          <w:rFonts w:ascii="Times New Roman"/>
          <w:i/>
          <w:spacing w:val="-16"/>
          <w:w w:val="105"/>
          <w:sz w:val="17"/>
        </w:rPr>
        <w:t> </w:t>
      </w:r>
      <w:r>
        <w:rPr>
          <w:rFonts w:ascii="Times New Roman"/>
          <w:i/>
          <w:w w:val="105"/>
          <w:sz w:val="17"/>
        </w:rPr>
        <w:t>Nutrition</w:t>
      </w:r>
      <w:r>
        <w:rPr>
          <w:rFonts w:ascii="Times New Roman"/>
          <w:i/>
          <w:spacing w:val="-15"/>
          <w:w w:val="105"/>
          <w:sz w:val="17"/>
        </w:rPr>
        <w:t> </w:t>
      </w:r>
      <w:r>
        <w:rPr>
          <w:rFonts w:ascii="Times New Roman"/>
          <w:i/>
          <w:w w:val="105"/>
          <w:sz w:val="17"/>
        </w:rPr>
        <w:t>and</w:t>
      </w:r>
      <w:r>
        <w:rPr>
          <w:rFonts w:ascii="Times New Roman"/>
          <w:i/>
          <w:spacing w:val="-17"/>
          <w:w w:val="105"/>
          <w:sz w:val="17"/>
        </w:rPr>
        <w:t> </w:t>
      </w:r>
      <w:r>
        <w:rPr>
          <w:rFonts w:ascii="Times New Roman"/>
          <w:i/>
          <w:w w:val="105"/>
          <w:sz w:val="17"/>
        </w:rPr>
        <w:t>Metabolism</w:t>
      </w:r>
      <w:r>
        <w:rPr>
          <w:rFonts w:ascii="Times New Roman"/>
          <w:w w:val="105"/>
          <w:sz w:val="17"/>
        </w:rPr>
        <w:t>,</w:t>
      </w:r>
      <w:r>
        <w:rPr>
          <w:rFonts w:ascii="Times New Roman"/>
          <w:spacing w:val="-18"/>
          <w:w w:val="105"/>
          <w:sz w:val="17"/>
        </w:rPr>
        <w:t> </w:t>
      </w:r>
      <w:r>
        <w:rPr>
          <w:rFonts w:ascii="Times New Roman"/>
          <w:w w:val="105"/>
          <w:sz w:val="17"/>
        </w:rPr>
        <w:t>51:</w:t>
      </w:r>
      <w:r>
        <w:rPr>
          <w:rFonts w:ascii="Times New Roman"/>
          <w:spacing w:val="-16"/>
          <w:w w:val="105"/>
          <w:sz w:val="17"/>
        </w:rPr>
        <w:t> </w:t>
      </w:r>
      <w:r>
        <w:rPr>
          <w:rFonts w:ascii="Times New Roman"/>
          <w:w w:val="105"/>
          <w:sz w:val="17"/>
        </w:rPr>
        <w:t>301-323.</w:t>
      </w:r>
    </w:p>
    <w:p>
      <w:pPr>
        <w:spacing w:after="0" w:line="283" w:lineRule="auto"/>
        <w:jc w:val="both"/>
        <w:rPr>
          <w:rFonts w:ascii="Times New Roman"/>
          <w:sz w:val="17"/>
        </w:rPr>
        <w:sectPr>
          <w:pgSz w:w="11900" w:h="16840"/>
          <w:pgMar w:header="0" w:footer="1679" w:top="1600" w:bottom="1860" w:left="1540" w:right="1600"/>
        </w:sectPr>
      </w:pPr>
    </w:p>
    <w:p>
      <w:pPr>
        <w:pStyle w:val="BodyText"/>
        <w:rPr>
          <w:rFonts w:ascii="Times New Roman"/>
          <w:sz w:val="20"/>
        </w:rPr>
      </w:pPr>
    </w:p>
    <w:p>
      <w:pPr>
        <w:pStyle w:val="BodyText"/>
        <w:spacing w:before="9"/>
        <w:rPr>
          <w:rFonts w:ascii="Times New Roman"/>
          <w:sz w:val="28"/>
        </w:rPr>
      </w:pPr>
    </w:p>
    <w:p>
      <w:pPr>
        <w:pStyle w:val="Heading1"/>
        <w:spacing w:line="283" w:lineRule="auto" w:before="73"/>
        <w:ind w:right="99"/>
      </w:pPr>
      <w:bookmarkStart w:name="_TOC_250004" w:id="36"/>
      <w:r>
        <w:rPr/>
        <w:t>7. 3. Articulo Biochemical blood parameters in lambs fed diet in presence of mixed </w:t>
      </w:r>
      <w:r>
        <w:rPr>
          <w:i/>
        </w:rPr>
        <w:t>Salix babylonica </w:t>
      </w:r>
      <w:bookmarkEnd w:id="36"/>
      <w:r>
        <w:rPr/>
        <w:t>extract and exogenous enzyme as feed additives in subtropical environments of Mexico.</w:t>
      </w:r>
    </w:p>
    <w:p>
      <w:pPr>
        <w:pStyle w:val="BodyText"/>
        <w:rPr>
          <w:b/>
          <w:sz w:val="22"/>
        </w:rPr>
      </w:pPr>
    </w:p>
    <w:p>
      <w:pPr>
        <w:pStyle w:val="BodyText"/>
        <w:rPr>
          <w:b/>
          <w:sz w:val="22"/>
        </w:rPr>
      </w:pPr>
    </w:p>
    <w:p>
      <w:pPr>
        <w:pStyle w:val="BodyText"/>
        <w:rPr>
          <w:b/>
          <w:sz w:val="22"/>
        </w:rPr>
      </w:pPr>
    </w:p>
    <w:p>
      <w:pPr>
        <w:pStyle w:val="BodyText"/>
        <w:spacing w:before="4"/>
        <w:rPr>
          <w:b/>
          <w:sz w:val="21"/>
        </w:rPr>
      </w:pPr>
    </w:p>
    <w:p>
      <w:pPr>
        <w:pStyle w:val="BodyText"/>
        <w:ind w:left="115"/>
      </w:pPr>
      <w:r>
        <w:rPr/>
        <w:t>On Tuesday, 8 October 2013, 0:22, Tropical Animal Health and  Production</w:t>
      </w:r>
    </w:p>
    <w:p>
      <w:pPr>
        <w:pStyle w:val="BodyText"/>
        <w:spacing w:line="244" w:lineRule="auto" w:before="4"/>
        <w:ind w:left="115" w:right="4400"/>
      </w:pPr>
      <w:r>
        <w:rPr/>
        <w:t>&lt;</w:t>
      </w:r>
      <w:hyperlink r:id="rId210">
        <w:r>
          <w:rPr/>
          <w:t>ethel.dionela@springer.com</w:t>
        </w:r>
      </w:hyperlink>
      <w:r>
        <w:rPr/>
        <w:t>&gt; wrote: Dear Dr. A. Z.M. Salem:</w:t>
      </w:r>
    </w:p>
    <w:p>
      <w:pPr>
        <w:pStyle w:val="BodyText"/>
        <w:spacing w:before="3"/>
      </w:pPr>
    </w:p>
    <w:p>
      <w:pPr>
        <w:pStyle w:val="BodyText"/>
        <w:spacing w:line="244" w:lineRule="auto"/>
        <w:ind w:left="115" w:right="241"/>
      </w:pPr>
      <w:r>
        <w:rPr/>
        <w:t>I am writing to acknowledge the receipt of your manuscript entitled "Biochemical blood parameters in lambs fed diet in presence of mixed Salix babylonica extract and exogenous enzyme as feed additives in subtropical environments of  Mexico".</w:t>
      </w:r>
    </w:p>
    <w:p>
      <w:pPr>
        <w:pStyle w:val="BodyText"/>
        <w:spacing w:before="3"/>
      </w:pPr>
    </w:p>
    <w:p>
      <w:pPr>
        <w:pStyle w:val="BodyText"/>
        <w:ind w:left="115"/>
      </w:pPr>
      <w:r>
        <w:rPr/>
        <w:t>Thank you for submitting this paper to Tropical Animal Health and  Production.</w:t>
      </w:r>
    </w:p>
    <w:p>
      <w:pPr>
        <w:pStyle w:val="BodyText"/>
        <w:spacing w:before="6"/>
      </w:pPr>
    </w:p>
    <w:p>
      <w:pPr>
        <w:pStyle w:val="BodyText"/>
        <w:spacing w:line="244" w:lineRule="auto"/>
        <w:ind w:left="115"/>
      </w:pPr>
      <w:r>
        <w:rPr/>
        <w:t>During the review process, you can keep track of the status of your manuscript by accessing the following web site:</w:t>
      </w:r>
    </w:p>
    <w:p>
      <w:pPr>
        <w:pStyle w:val="BodyText"/>
        <w:spacing w:before="3"/>
      </w:pPr>
    </w:p>
    <w:p>
      <w:pPr>
        <w:pStyle w:val="BodyText"/>
        <w:ind w:left="115"/>
      </w:pPr>
      <w:hyperlink r:id="rId211">
        <w:r>
          <w:rPr>
            <w:color w:val="0071C6"/>
          </w:rPr>
          <w:t>http://trop.edmgr.com/</w:t>
        </w:r>
      </w:hyperlink>
    </w:p>
    <w:p>
      <w:pPr>
        <w:pStyle w:val="BodyText"/>
        <w:rPr>
          <w:sz w:val="22"/>
        </w:rPr>
      </w:pPr>
    </w:p>
    <w:p>
      <w:pPr>
        <w:pStyle w:val="BodyText"/>
        <w:spacing w:before="1"/>
        <w:rPr>
          <w:sz w:val="25"/>
        </w:rPr>
      </w:pPr>
    </w:p>
    <w:p>
      <w:pPr>
        <w:pStyle w:val="BodyText"/>
        <w:ind w:left="115"/>
      </w:pPr>
      <w:r>
        <w:rPr/>
        <w:t>Yours sincerely,</w:t>
      </w:r>
    </w:p>
    <w:p>
      <w:pPr>
        <w:pStyle w:val="BodyText"/>
        <w:spacing w:before="8"/>
      </w:pPr>
    </w:p>
    <w:p>
      <w:pPr>
        <w:pStyle w:val="BodyText"/>
        <w:ind w:left="115"/>
      </w:pPr>
      <w:r>
        <w:rPr/>
        <w:t>Leslie JS Harrison PhD</w:t>
      </w:r>
    </w:p>
    <w:p>
      <w:pPr>
        <w:pStyle w:val="BodyText"/>
        <w:spacing w:before="6"/>
        <w:ind w:left="115"/>
      </w:pPr>
      <w:r>
        <w:rPr/>
        <w:t>Tropical Animal Health and Production</w:t>
      </w:r>
    </w:p>
    <w:p>
      <w:pPr>
        <w:spacing w:after="0"/>
        <w:sectPr>
          <w:pgSz w:w="11900" w:h="16840"/>
          <w:pgMar w:header="0" w:footer="1679" w:top="1600" w:bottom="1860" w:left="1540" w:right="1540"/>
        </w:sectPr>
      </w:pPr>
    </w:p>
    <w:p>
      <w:pPr>
        <w:pStyle w:val="BodyText"/>
        <w:rPr>
          <w:sz w:val="20"/>
        </w:rPr>
      </w:pPr>
    </w:p>
    <w:p>
      <w:pPr>
        <w:pStyle w:val="BodyText"/>
        <w:spacing w:before="5"/>
        <w:rPr>
          <w:sz w:val="16"/>
        </w:rPr>
      </w:pPr>
    </w:p>
    <w:p>
      <w:pPr>
        <w:pStyle w:val="Heading1"/>
        <w:spacing w:line="364" w:lineRule="auto" w:before="74"/>
        <w:ind w:left="307" w:right="291"/>
        <w:jc w:val="center"/>
      </w:pPr>
      <w:r>
        <w:rPr/>
        <w:t>Biochemical blood parameters in lambs fed diet in presence of mixed </w:t>
      </w:r>
      <w:r>
        <w:rPr>
          <w:i/>
        </w:rPr>
        <w:t>Salix </w:t>
      </w:r>
      <w:r>
        <w:rPr>
          <w:i/>
        </w:rPr>
        <w:t>babylonica </w:t>
      </w:r>
      <w:r>
        <w:rPr/>
        <w:t>extract and exogenous enzyme as feed additives in subtropical environments of Mexico</w:t>
      </w:r>
    </w:p>
    <w:p>
      <w:pPr>
        <w:pStyle w:val="BodyText"/>
        <w:spacing w:before="5"/>
        <w:rPr>
          <w:b/>
          <w:sz w:val="32"/>
        </w:rPr>
      </w:pPr>
    </w:p>
    <w:p>
      <w:pPr>
        <w:pStyle w:val="BodyText"/>
        <w:spacing w:line="336" w:lineRule="auto"/>
        <w:ind w:left="306" w:right="291"/>
        <w:jc w:val="center"/>
        <w:rPr>
          <w:sz w:val="15"/>
        </w:rPr>
      </w:pPr>
      <w:r>
        <w:rPr/>
        <w:t>Nallely Rivero</w:t>
      </w:r>
      <w:r>
        <w:rPr>
          <w:position w:val="11"/>
          <w:sz w:val="15"/>
        </w:rPr>
        <w:t>1</w:t>
      </w:r>
      <w:r>
        <w:rPr/>
        <w:t>, Abdelfattah Z.M. Salem*</w:t>
      </w:r>
      <w:r>
        <w:rPr>
          <w:position w:val="11"/>
          <w:sz w:val="15"/>
        </w:rPr>
        <w:t>1,3</w:t>
      </w:r>
      <w:r>
        <w:rPr/>
        <w:t>, Manuel G. Ronquillo</w:t>
      </w:r>
      <w:r>
        <w:rPr>
          <w:position w:val="11"/>
          <w:sz w:val="15"/>
        </w:rPr>
        <w:t>1</w:t>
      </w:r>
      <w:r>
        <w:rPr/>
        <w:t>, Ahmed E. Kholif</w:t>
      </w:r>
      <w:r>
        <w:rPr>
          <w:position w:val="11"/>
          <w:sz w:val="15"/>
        </w:rPr>
        <w:t>2</w:t>
      </w:r>
      <w:r>
        <w:rPr/>
        <w:t>, Alberto. B. Pliego</w:t>
      </w:r>
      <w:r>
        <w:rPr>
          <w:position w:val="11"/>
          <w:sz w:val="15"/>
        </w:rPr>
        <w:t>1</w:t>
      </w:r>
      <w:r>
        <w:rPr/>
        <w:t>, Claudia G.</w:t>
      </w:r>
      <w:r>
        <w:rPr>
          <w:spacing w:val="61"/>
        </w:rPr>
        <w:t> </w:t>
      </w:r>
      <w:r>
        <w:rPr/>
        <w:t>Peñuelas</w:t>
      </w:r>
      <w:r>
        <w:rPr>
          <w:position w:val="11"/>
          <w:sz w:val="15"/>
        </w:rPr>
        <w:t>1</w:t>
      </w:r>
    </w:p>
    <w:p>
      <w:pPr>
        <w:pStyle w:val="BodyText"/>
        <w:spacing w:before="7"/>
        <w:rPr>
          <w:sz w:val="33"/>
        </w:rPr>
      </w:pPr>
    </w:p>
    <w:p>
      <w:pPr>
        <w:spacing w:line="364" w:lineRule="auto" w:before="0"/>
        <w:ind w:left="115" w:right="99" w:firstLine="0"/>
        <w:jc w:val="both"/>
        <w:rPr>
          <w:i/>
          <w:sz w:val="23"/>
        </w:rPr>
      </w:pPr>
      <w:r>
        <w:rPr>
          <w:i/>
          <w:position w:val="11"/>
          <w:sz w:val="15"/>
        </w:rPr>
        <w:t>1</w:t>
      </w:r>
      <w:r>
        <w:rPr>
          <w:i/>
          <w:sz w:val="23"/>
        </w:rPr>
        <w:t>Facultad de MedicinaVeterinaria y Zootecnia, Universidad Autónomadel Estado    </w:t>
      </w:r>
      <w:r>
        <w:rPr>
          <w:i/>
          <w:sz w:val="23"/>
        </w:rPr>
        <w:t>de México, Toluca, 50200,</w:t>
      </w:r>
      <w:r>
        <w:rPr>
          <w:i/>
          <w:spacing w:val="36"/>
          <w:sz w:val="23"/>
        </w:rPr>
        <w:t> </w:t>
      </w:r>
      <w:r>
        <w:rPr>
          <w:i/>
          <w:sz w:val="23"/>
        </w:rPr>
        <w:t>México.</w:t>
      </w:r>
    </w:p>
    <w:p>
      <w:pPr>
        <w:spacing w:line="270" w:lineRule="exact" w:before="0"/>
        <w:ind w:left="115" w:right="0" w:firstLine="0"/>
        <w:jc w:val="both"/>
        <w:rPr>
          <w:i/>
          <w:sz w:val="23"/>
        </w:rPr>
      </w:pPr>
      <w:r>
        <w:rPr>
          <w:i/>
          <w:position w:val="11"/>
          <w:sz w:val="15"/>
        </w:rPr>
        <w:t>2</w:t>
      </w:r>
      <w:r>
        <w:rPr>
          <w:i/>
          <w:sz w:val="23"/>
        </w:rPr>
        <w:t>Dairy</w:t>
      </w:r>
      <w:r>
        <w:rPr>
          <w:i/>
          <w:spacing w:val="50"/>
          <w:sz w:val="23"/>
        </w:rPr>
        <w:t> </w:t>
      </w:r>
      <w:r>
        <w:rPr>
          <w:i/>
          <w:sz w:val="23"/>
        </w:rPr>
        <w:t>Science Department, National</w:t>
      </w:r>
      <w:r>
        <w:rPr>
          <w:i/>
          <w:spacing w:val="50"/>
          <w:sz w:val="23"/>
        </w:rPr>
        <w:t> </w:t>
      </w:r>
      <w:r>
        <w:rPr>
          <w:i/>
          <w:sz w:val="23"/>
        </w:rPr>
        <w:t>Research Centre, El</w:t>
      </w:r>
      <w:r>
        <w:rPr>
          <w:i/>
          <w:spacing w:val="50"/>
          <w:sz w:val="23"/>
        </w:rPr>
        <w:t> </w:t>
      </w:r>
      <w:r>
        <w:rPr>
          <w:i/>
          <w:sz w:val="23"/>
        </w:rPr>
        <w:t>Buhoth Street, Dokki,</w:t>
      </w:r>
    </w:p>
    <w:p>
      <w:pPr>
        <w:spacing w:before="138"/>
        <w:ind w:left="115" w:right="0" w:firstLine="0"/>
        <w:jc w:val="both"/>
        <w:rPr>
          <w:i/>
          <w:sz w:val="23"/>
        </w:rPr>
      </w:pPr>
      <w:r>
        <w:rPr>
          <w:i/>
          <w:sz w:val="23"/>
        </w:rPr>
        <w:t>Cairo, Egypt</w:t>
      </w:r>
    </w:p>
    <w:p>
      <w:pPr>
        <w:spacing w:before="103"/>
        <w:ind w:left="115" w:right="0" w:firstLine="0"/>
        <w:jc w:val="both"/>
        <w:rPr>
          <w:i/>
          <w:sz w:val="23"/>
        </w:rPr>
      </w:pPr>
      <w:r>
        <w:rPr>
          <w:i/>
          <w:position w:val="11"/>
          <w:sz w:val="15"/>
        </w:rPr>
        <w:t>3</w:t>
      </w:r>
      <w:r>
        <w:rPr>
          <w:i/>
          <w:sz w:val="23"/>
        </w:rPr>
        <w:t>Faculty of Agriculture (El-Shatby), Alexandria University,  Egypt</w:t>
      </w:r>
    </w:p>
    <w:p>
      <w:pPr>
        <w:pStyle w:val="BodyText"/>
        <w:rPr>
          <w:i/>
          <w:sz w:val="28"/>
        </w:rPr>
      </w:pPr>
    </w:p>
    <w:p>
      <w:pPr>
        <w:pStyle w:val="BodyText"/>
        <w:spacing w:line="364" w:lineRule="auto" w:before="222"/>
        <w:ind w:left="116" w:right="99"/>
        <w:jc w:val="both"/>
      </w:pPr>
      <w:r>
        <w:rPr/>
        <w:t>*Corresponding author: Dr. Abdelfattah Z.M. Salem, Facultad de Veterinaria y Zootecnia, Universidad Autónoma del Estado de México, México. </w:t>
      </w:r>
      <w:r>
        <w:rPr>
          <w:i/>
        </w:rPr>
        <w:t>Tel. </w:t>
      </w:r>
      <w:r>
        <w:rPr/>
        <w:t>00521-722- 296-55-42; </w:t>
      </w:r>
      <w:r>
        <w:rPr>
          <w:i/>
        </w:rPr>
        <w:t>Fax.</w:t>
      </w:r>
      <w:r>
        <w:rPr/>
        <w:t>00521-722-180-61-94, E-mail  </w:t>
      </w:r>
      <w:hyperlink r:id="rId18">
        <w:r>
          <w:rPr/>
          <w:t>address:asalem70@yahoo.com</w:t>
        </w:r>
      </w:hyperlink>
    </w:p>
    <w:p>
      <w:pPr>
        <w:pStyle w:val="BodyText"/>
        <w:rPr>
          <w:sz w:val="22"/>
        </w:rPr>
      </w:pPr>
    </w:p>
    <w:p>
      <w:pPr>
        <w:spacing w:before="155"/>
        <w:ind w:left="116" w:right="0" w:firstLine="0"/>
        <w:jc w:val="both"/>
        <w:rPr>
          <w:sz w:val="23"/>
        </w:rPr>
      </w:pPr>
      <w:r>
        <w:rPr>
          <w:sz w:val="23"/>
        </w:rPr>
        <w:t>Title head: </w:t>
      </w:r>
      <w:r>
        <w:rPr>
          <w:i/>
          <w:sz w:val="23"/>
        </w:rPr>
        <w:t>Salix babylonica </w:t>
      </w:r>
      <w:r>
        <w:rPr>
          <w:sz w:val="23"/>
        </w:rPr>
        <w:t>extract and exogenous enzyme as feed  additives</w:t>
      </w:r>
    </w:p>
    <w:p>
      <w:pPr>
        <w:spacing w:after="0"/>
        <w:jc w:val="both"/>
        <w:rPr>
          <w:sz w:val="23"/>
        </w:rPr>
        <w:sectPr>
          <w:pgSz w:w="11900" w:h="16840"/>
          <w:pgMar w:header="0" w:footer="1679" w:top="1600" w:bottom="1860" w:left="1540" w:right="1540"/>
        </w:sectPr>
      </w:pPr>
    </w:p>
    <w:p>
      <w:pPr>
        <w:pStyle w:val="BodyText"/>
        <w:rPr>
          <w:sz w:val="20"/>
        </w:rPr>
      </w:pPr>
    </w:p>
    <w:p>
      <w:pPr>
        <w:pStyle w:val="BodyText"/>
        <w:spacing w:before="5"/>
        <w:rPr>
          <w:sz w:val="16"/>
        </w:rPr>
      </w:pPr>
    </w:p>
    <w:p>
      <w:pPr>
        <w:pStyle w:val="Heading1"/>
        <w:spacing w:before="74"/>
      </w:pPr>
      <w:r>
        <w:rPr/>
        <w:t>Abstract</w:t>
      </w:r>
    </w:p>
    <w:p>
      <w:pPr>
        <w:pStyle w:val="BodyText"/>
        <w:rPr>
          <w:b/>
          <w:sz w:val="22"/>
        </w:rPr>
      </w:pPr>
    </w:p>
    <w:p>
      <w:pPr>
        <w:pStyle w:val="BodyText"/>
        <w:spacing w:before="1"/>
        <w:rPr>
          <w:b/>
          <w:sz w:val="25"/>
        </w:rPr>
      </w:pPr>
    </w:p>
    <w:p>
      <w:pPr>
        <w:pStyle w:val="BodyText"/>
        <w:spacing w:line="364" w:lineRule="auto"/>
        <w:ind w:left="115" w:right="116"/>
        <w:jc w:val="both"/>
      </w:pPr>
      <w:r>
        <w:rPr/>
        <w:t>The aim of this study was to evaluate the interaction impacts of </w:t>
      </w:r>
      <w:r>
        <w:rPr>
          <w:i/>
        </w:rPr>
        <w:t>Salix babylonica </w:t>
      </w:r>
      <w:r>
        <w:rPr/>
        <w:t>L. (SB) extract with exogenous enzyme (EZ) as feed additives on some serum biochemistry parameters in lambs in subtropical conditions of Mexico. Twenty Suffolk lambs (24±0.3 kg live weight and 6-8 months of age) were used during 60 days. The lambs were distributed in individual cages of 1.5×1.5 m cages into 4 treatments of 5 lambs each of completely randomized design. All animals were fed  a basal diet (BD) of 70% maize silage and 30% commercial concentrate.  Treatments</w:t>
      </w:r>
      <w:r>
        <w:rPr>
          <w:spacing w:val="21"/>
        </w:rPr>
        <w:t> </w:t>
      </w:r>
      <w:r>
        <w:rPr/>
        <w:t>were:</w:t>
      </w:r>
      <w:r>
        <w:rPr>
          <w:spacing w:val="17"/>
        </w:rPr>
        <w:t> </w:t>
      </w:r>
      <w:r>
        <w:rPr/>
        <w:t>(i)</w:t>
      </w:r>
      <w:r>
        <w:rPr>
          <w:spacing w:val="16"/>
        </w:rPr>
        <w:t> </w:t>
      </w:r>
      <w:r>
        <w:rPr/>
        <w:t>Control;</w:t>
      </w:r>
      <w:r>
        <w:rPr>
          <w:spacing w:val="17"/>
        </w:rPr>
        <w:t> </w:t>
      </w:r>
      <w:r>
        <w:rPr/>
        <w:t>PD</w:t>
      </w:r>
      <w:r>
        <w:rPr>
          <w:spacing w:val="17"/>
        </w:rPr>
        <w:t> </w:t>
      </w:r>
      <w:r>
        <w:rPr/>
        <w:t>without</w:t>
      </w:r>
      <w:r>
        <w:rPr>
          <w:spacing w:val="17"/>
        </w:rPr>
        <w:t> </w:t>
      </w:r>
      <w:r>
        <w:rPr/>
        <w:t>any</w:t>
      </w:r>
      <w:r>
        <w:rPr>
          <w:spacing w:val="18"/>
        </w:rPr>
        <w:t> </w:t>
      </w:r>
      <w:r>
        <w:rPr/>
        <w:t>additives;</w:t>
      </w:r>
      <w:r>
        <w:rPr>
          <w:spacing w:val="20"/>
        </w:rPr>
        <w:t> </w:t>
      </w:r>
      <w:r>
        <w:rPr/>
        <w:t>(ii)</w:t>
      </w:r>
      <w:r>
        <w:rPr>
          <w:spacing w:val="16"/>
        </w:rPr>
        <w:t> </w:t>
      </w:r>
      <w:r>
        <w:rPr/>
        <w:t>EZ;</w:t>
      </w:r>
      <w:r>
        <w:rPr>
          <w:spacing w:val="20"/>
        </w:rPr>
        <w:t> </w:t>
      </w:r>
      <w:r>
        <w:rPr/>
        <w:t>PD</w:t>
      </w:r>
      <w:r>
        <w:rPr>
          <w:spacing w:val="14"/>
        </w:rPr>
        <w:t> </w:t>
      </w:r>
      <w:r>
        <w:rPr/>
        <w:t>plus</w:t>
      </w:r>
      <w:r>
        <w:rPr>
          <w:spacing w:val="18"/>
        </w:rPr>
        <w:t> </w:t>
      </w:r>
      <w:r>
        <w:rPr/>
        <w:t>10g</w:t>
      </w:r>
      <w:r>
        <w:rPr>
          <w:spacing w:val="17"/>
        </w:rPr>
        <w:t> </w:t>
      </w:r>
      <w:r>
        <w:rPr/>
        <w:t>of</w:t>
      </w:r>
      <w:r>
        <w:rPr>
          <w:spacing w:val="20"/>
        </w:rPr>
        <w:t> </w:t>
      </w:r>
      <w:r>
        <w:rPr/>
        <w:t>EZ;</w:t>
      </w:r>
    </w:p>
    <w:p>
      <w:pPr>
        <w:pStyle w:val="BodyText"/>
        <w:spacing w:line="364" w:lineRule="auto" w:before="2"/>
        <w:ind w:left="115" w:right="117"/>
        <w:jc w:val="both"/>
      </w:pPr>
      <w:r>
        <w:rPr/>
        <w:t>(iii) SB; BD plus 30 ml of </w:t>
      </w:r>
      <w:r>
        <w:rPr>
          <w:i/>
        </w:rPr>
        <w:t>S. babylonica </w:t>
      </w:r>
      <w:r>
        <w:rPr/>
        <w:t>(SB) extract; and (iv) EZSB; BD plus 10g    EZ and 30 ml of SB extract. Blood samples were collected on days 0, 15, 30, 45  and 60 and analyzed for total proteins, glucose, creatinine, blood urea N (BUN), alanin aminotransferase (ALT), aspartate aminotransferase (AST), alkaline phosphatase (ALP), calcium, phosphorus and magnesium. Interactions between treatment×time were occurred in creatinine (P=0.040), BUN (P=0.004) and magnesium (P=0.013). The highest values of total proteins were obtained with Control and SB animals </w:t>
      </w:r>
      <w:r>
        <w:rPr>
          <w:i/>
        </w:rPr>
        <w:t>versus </w:t>
      </w:r>
      <w:r>
        <w:rPr/>
        <w:t>EZ or EZSB. The SB treatment tended to increased (P=0.057) the levels of creatinine </w:t>
      </w:r>
      <w:r>
        <w:rPr>
          <w:i/>
        </w:rPr>
        <w:t>versus </w:t>
      </w:r>
      <w:r>
        <w:rPr/>
        <w:t>other treatments. The ALP level  was highest (P=0.043) in SB animals. In conclusion, supplementation  with  </w:t>
      </w:r>
      <w:r>
        <w:rPr>
          <w:i/>
        </w:rPr>
        <w:t>S.  </w:t>
      </w:r>
      <w:r>
        <w:rPr>
          <w:i/>
        </w:rPr>
        <w:t>babylonica </w:t>
      </w:r>
      <w:r>
        <w:rPr/>
        <w:t>extract, exogenous enzymes and/or their combination did not cause   any major health disorders in lambs within 60 days of experiment under the subtropical conditions of</w:t>
      </w:r>
      <w:r>
        <w:rPr>
          <w:spacing w:val="35"/>
        </w:rPr>
        <w:t> </w:t>
      </w:r>
      <w:r>
        <w:rPr/>
        <w:t>Mexico.</w:t>
      </w:r>
    </w:p>
    <w:p>
      <w:pPr>
        <w:pStyle w:val="BodyText"/>
        <w:rPr>
          <w:sz w:val="22"/>
        </w:rPr>
      </w:pPr>
    </w:p>
    <w:p>
      <w:pPr>
        <w:spacing w:line="369" w:lineRule="auto" w:before="150"/>
        <w:ind w:left="115" w:right="119" w:firstLine="0"/>
        <w:jc w:val="both"/>
        <w:rPr>
          <w:sz w:val="23"/>
        </w:rPr>
      </w:pPr>
      <w:r>
        <w:rPr>
          <w:b/>
          <w:sz w:val="23"/>
        </w:rPr>
        <w:t>Key words</w:t>
      </w:r>
      <w:r>
        <w:rPr>
          <w:sz w:val="23"/>
        </w:rPr>
        <w:t>: </w:t>
      </w:r>
      <w:r>
        <w:rPr>
          <w:i/>
          <w:sz w:val="23"/>
        </w:rPr>
        <w:t>Salix babylonica </w:t>
      </w:r>
      <w:r>
        <w:rPr>
          <w:sz w:val="23"/>
        </w:rPr>
        <w:t>extract; exogenous enzyme; biochemical parameters; lambs.</w:t>
      </w:r>
    </w:p>
    <w:p>
      <w:pPr>
        <w:spacing w:after="0" w:line="369" w:lineRule="auto"/>
        <w:jc w:val="both"/>
        <w:rPr>
          <w:sz w:val="23"/>
        </w:rPr>
        <w:sectPr>
          <w:pgSz w:w="11900" w:h="16840"/>
          <w:pgMar w:header="0" w:footer="1679" w:top="1600" w:bottom="1860" w:left="1540" w:right="1520"/>
        </w:sectPr>
      </w:pPr>
    </w:p>
    <w:p>
      <w:pPr>
        <w:pStyle w:val="BodyText"/>
        <w:rPr>
          <w:sz w:val="20"/>
        </w:rPr>
      </w:pPr>
    </w:p>
    <w:p>
      <w:pPr>
        <w:pStyle w:val="BodyText"/>
        <w:rPr>
          <w:sz w:val="20"/>
        </w:rPr>
      </w:pPr>
    </w:p>
    <w:p>
      <w:pPr>
        <w:pStyle w:val="BodyText"/>
        <w:spacing w:before="9"/>
        <w:rPr>
          <w:sz w:val="28"/>
        </w:rPr>
      </w:pPr>
    </w:p>
    <w:p>
      <w:pPr>
        <w:pStyle w:val="Heading1"/>
        <w:spacing w:before="74"/>
      </w:pPr>
      <w:r>
        <w:rPr/>
        <w:t>Introduction</w:t>
      </w:r>
    </w:p>
    <w:p>
      <w:pPr>
        <w:pStyle w:val="BodyText"/>
        <w:rPr>
          <w:b/>
          <w:sz w:val="22"/>
        </w:rPr>
      </w:pPr>
    </w:p>
    <w:p>
      <w:pPr>
        <w:pStyle w:val="BodyText"/>
        <w:spacing w:before="10"/>
        <w:rPr>
          <w:b/>
          <w:sz w:val="24"/>
        </w:rPr>
      </w:pPr>
    </w:p>
    <w:p>
      <w:pPr>
        <w:pStyle w:val="BodyText"/>
        <w:spacing w:line="364" w:lineRule="auto"/>
        <w:ind w:left="115" w:right="116"/>
        <w:jc w:val="both"/>
      </w:pPr>
      <w:r>
        <w:rPr/>
        <w:t>The concept of clean green and ethical’ animal production has been promoted to address societal demands for agricultural products which are produced with fewer chemical inputs (‘clean’), less negative impacts on the environment (‘green’) and greater care of the animals (‘ethical’), these concepts had modified the livestock production systems (Durmic and Blache, 2012).This situation compiled nutritionists to search for natural strategies of low cost and easy to apply; plants and plant extracts are the best solution for alternatives to synthetic drugs based on their  potent properties and complex bioactivity (Lu, 2011; Durmic and  Blache, 2012).  The use of plants or its extracts in herbivores is restricted by its secondary compounds content (simple phenolic compounds  or condensed tannins,  saponins or essential oils rich in terpene) as there are inverse relationships between secondary compounds level in forage and palatability, voluntary intake, digestibility and N retention. Although it can cause damage in liver, kidney and digestive tract, these secondary compounds may benefit animal health and production when they are fed in the correct form and dose (Silanikove </w:t>
      </w:r>
      <w:r>
        <w:rPr>
          <w:i/>
        </w:rPr>
        <w:t>et al</w:t>
      </w:r>
      <w:r>
        <w:rPr/>
        <w:t>., 1996;  Acamovic  and  Brooker, 2005; Valizadeh </w:t>
      </w:r>
      <w:r>
        <w:rPr>
          <w:i/>
        </w:rPr>
        <w:t>et al</w:t>
      </w:r>
      <w:r>
        <w:rPr/>
        <w:t>., 2010;  Lu, 2011; Vasta and Luciano, 2011; Salem  </w:t>
      </w:r>
      <w:r>
        <w:rPr>
          <w:i/>
        </w:rPr>
        <w:t>et al</w:t>
      </w:r>
      <w:r>
        <w:rPr/>
        <w:t>., 2011b; Durmic and Blache, 2012). If the animals were fed some plants containing high levels of antinutritional compounds for  extended  periods, detrimental effects on animal health and reduced ability  to  withstand  been  reported (Mahgoub </w:t>
      </w:r>
      <w:r>
        <w:rPr>
          <w:i/>
        </w:rPr>
        <w:t>et al</w:t>
      </w:r>
      <w:r>
        <w:rPr/>
        <w:t>., 2008a; Olafadehan,</w:t>
      </w:r>
      <w:r>
        <w:rPr>
          <w:spacing w:val="58"/>
        </w:rPr>
        <w:t> </w:t>
      </w:r>
      <w:r>
        <w:rPr/>
        <w:t>2011).</w:t>
      </w:r>
    </w:p>
    <w:p>
      <w:pPr>
        <w:pStyle w:val="BodyText"/>
        <w:rPr>
          <w:sz w:val="22"/>
        </w:rPr>
      </w:pPr>
    </w:p>
    <w:p>
      <w:pPr>
        <w:pStyle w:val="BodyText"/>
        <w:spacing w:line="362" w:lineRule="auto" w:before="157"/>
        <w:ind w:left="115" w:right="117"/>
        <w:jc w:val="both"/>
      </w:pPr>
      <w:r>
        <w:rPr/>
        <w:t>The use to exogenous enzymes extracted from ruminal  microorganisms  in  ruminant feeds as by-products, forage, low quality fibrous feeds with  a  poor  nutritive value, reduced the use of antibiotics in the diets and may decrease the pollution of atmosphere because decrease the CH</w:t>
      </w:r>
      <w:r>
        <w:rPr>
          <w:position w:val="-2"/>
          <w:sz w:val="15"/>
        </w:rPr>
        <w:t>4 </w:t>
      </w:r>
      <w:r>
        <w:rPr/>
        <w:t>production (Arriola </w:t>
      </w:r>
      <w:r>
        <w:rPr>
          <w:i/>
        </w:rPr>
        <w:t>et al</w:t>
      </w:r>
      <w:r>
        <w:rPr/>
        <w:t>., 2011; Bedford and Cowieson,</w:t>
      </w:r>
      <w:r>
        <w:rPr>
          <w:spacing w:val="33"/>
        </w:rPr>
        <w:t> </w:t>
      </w:r>
      <w:r>
        <w:rPr/>
        <w:t>2012).</w:t>
      </w:r>
    </w:p>
    <w:p>
      <w:pPr>
        <w:spacing w:after="0" w:line="362"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19"/>
        <w:jc w:val="both"/>
      </w:pPr>
      <w:r>
        <w:rPr/>
        <w:t>On the other hand, the use of exogenous enzymes has positive relation with palatability, feed intake, rumen microbial N synthesis, digestibility, and improve animal performance as milk production, live weight gain, feed efficiency and immunity (Arriola </w:t>
      </w:r>
      <w:r>
        <w:rPr>
          <w:i/>
        </w:rPr>
        <w:t>et al</w:t>
      </w:r>
      <w:r>
        <w:rPr/>
        <w:t>., 2011; Gado </w:t>
      </w:r>
      <w:r>
        <w:rPr>
          <w:i/>
        </w:rPr>
        <w:t>etal</w:t>
      </w:r>
      <w:r>
        <w:rPr/>
        <w:t>., 2011; Salem </w:t>
      </w:r>
      <w:r>
        <w:rPr>
          <w:i/>
        </w:rPr>
        <w:t>et al</w:t>
      </w:r>
      <w:r>
        <w:rPr/>
        <w:t>., 2011a; Bedford and Cowieson, 2012).</w:t>
      </w:r>
    </w:p>
    <w:p>
      <w:pPr>
        <w:pStyle w:val="BodyText"/>
        <w:rPr>
          <w:sz w:val="22"/>
        </w:rPr>
      </w:pPr>
    </w:p>
    <w:p>
      <w:pPr>
        <w:pStyle w:val="BodyText"/>
        <w:spacing w:line="364" w:lineRule="auto" w:before="155"/>
        <w:ind w:left="116" w:right="116"/>
        <w:jc w:val="both"/>
      </w:pPr>
      <w:r>
        <w:rPr/>
        <w:t>It's well known that normal physiological processes are affected long before the death of an organism; hence there is a need to check physiological  and  biochemical indicators of health. One of the fastest means of ascertaining toxicity    of ingested feed in animals is by the assessment of their blood. Blood contains diagnostically relevant parameters which act as a pathological reflector  of  the  status of animals exposed to toxicants (Olafadehan, 2011). The objective of this study was to evaluate the effects of </w:t>
      </w:r>
      <w:r>
        <w:rPr>
          <w:i/>
        </w:rPr>
        <w:t>Salix babylonica </w:t>
      </w:r>
      <w:r>
        <w:rPr/>
        <w:t>L. (SB) extract, exogenous enzyme (EZ) and their combination on some serum biochemistry parameters in sheep.</w:t>
      </w:r>
    </w:p>
    <w:p>
      <w:pPr>
        <w:pStyle w:val="BodyText"/>
        <w:spacing w:before="6"/>
        <w:rPr>
          <w:sz w:val="32"/>
        </w:rPr>
      </w:pPr>
    </w:p>
    <w:p>
      <w:pPr>
        <w:spacing w:before="0"/>
        <w:ind w:left="115" w:right="0" w:firstLine="0"/>
        <w:jc w:val="both"/>
        <w:rPr>
          <w:b/>
          <w:sz w:val="21"/>
        </w:rPr>
      </w:pPr>
      <w:r>
        <w:rPr>
          <w:b/>
          <w:sz w:val="21"/>
        </w:rPr>
        <w:t>Material and methods</w:t>
      </w:r>
    </w:p>
    <w:p>
      <w:pPr>
        <w:pStyle w:val="BodyText"/>
        <w:rPr>
          <w:b/>
          <w:sz w:val="20"/>
        </w:rPr>
      </w:pPr>
    </w:p>
    <w:p>
      <w:pPr>
        <w:pStyle w:val="BodyText"/>
        <w:spacing w:before="3"/>
        <w:rPr>
          <w:b/>
        </w:rPr>
      </w:pPr>
    </w:p>
    <w:p>
      <w:pPr>
        <w:spacing w:line="367" w:lineRule="auto" w:before="0"/>
        <w:ind w:left="115" w:right="118" w:firstLine="0"/>
        <w:jc w:val="both"/>
        <w:rPr>
          <w:sz w:val="21"/>
        </w:rPr>
      </w:pPr>
      <w:r>
        <w:rPr>
          <w:sz w:val="21"/>
        </w:rPr>
        <w:t>This study was conducted at the experimental farm of  the Faculty of  Veterinary Medicine and livestock of the Autonomous University of Mexico State. The handling of animals was done according to international bioethical standards and NOM-062 -   ZOO-1999.</w:t>
      </w:r>
    </w:p>
    <w:p>
      <w:pPr>
        <w:pStyle w:val="BodyText"/>
        <w:rPr>
          <w:sz w:val="20"/>
        </w:rPr>
      </w:pPr>
    </w:p>
    <w:p>
      <w:pPr>
        <w:spacing w:before="177"/>
        <w:ind w:left="115" w:right="0" w:firstLine="0"/>
        <w:jc w:val="both"/>
        <w:rPr>
          <w:sz w:val="21"/>
        </w:rPr>
      </w:pPr>
      <w:r>
        <w:rPr>
          <w:sz w:val="21"/>
        </w:rPr>
        <w:t>Animals and treatments</w:t>
      </w:r>
    </w:p>
    <w:p>
      <w:pPr>
        <w:pStyle w:val="BodyText"/>
        <w:rPr>
          <w:sz w:val="20"/>
        </w:rPr>
      </w:pPr>
    </w:p>
    <w:p>
      <w:pPr>
        <w:pStyle w:val="BodyText"/>
        <w:spacing w:line="400" w:lineRule="atLeast" w:before="164"/>
        <w:ind w:left="115" w:right="117"/>
        <w:jc w:val="both"/>
      </w:pPr>
      <w:r>
        <w:rPr/>
        <w:t>Twenty Suffolk lambs of 6 to 8-months-old and 24±0.3 kg body weight (BW) were used in this study. The lambs were housed in individual cages (1.5×1.5 m) in a completely randomized design for 60 days. After 2 weeks  of  adaptation  to  the basal diet (BD) of 70% maize silage and 30% commercial concentrate (Purina</w:t>
      </w:r>
      <w:r>
        <w:rPr>
          <w:position w:val="11"/>
          <w:sz w:val="15"/>
        </w:rPr>
        <w:t>®</w:t>
      </w:r>
      <w:r>
        <w:rPr/>
        <w:t>, Cuautitlan, Mexico) formulated according to NRC (2007) nutrient requirements; the lambs were weighed and randomly distributed into 4 groups of 5 animals each.  The</w:t>
      </w:r>
    </w:p>
    <w:p>
      <w:pPr>
        <w:pStyle w:val="BodyText"/>
        <w:spacing w:line="331" w:lineRule="auto" w:before="138"/>
        <w:ind w:left="116" w:right="117"/>
        <w:jc w:val="both"/>
      </w:pPr>
      <w:r>
        <w:rPr/>
        <w:t>treatments were: (i) Control; BD only without any additive; (ii) EZ; BD plus 10g of   EZ</w:t>
      </w:r>
      <w:r>
        <w:rPr>
          <w:spacing w:val="25"/>
        </w:rPr>
        <w:t> </w:t>
      </w:r>
      <w:r>
        <w:rPr/>
        <w:t>(ZADO</w:t>
      </w:r>
      <w:r>
        <w:rPr>
          <w:position w:val="11"/>
          <w:sz w:val="15"/>
        </w:rPr>
        <w:t>®  </w:t>
      </w:r>
      <w:r>
        <w:rPr/>
        <w:t>Cairo,</w:t>
      </w:r>
      <w:r>
        <w:rPr>
          <w:spacing w:val="22"/>
        </w:rPr>
        <w:t> </w:t>
      </w:r>
      <w:r>
        <w:rPr/>
        <w:t>Egypt);</w:t>
      </w:r>
      <w:r>
        <w:rPr>
          <w:spacing w:val="22"/>
        </w:rPr>
        <w:t> </w:t>
      </w:r>
      <w:r>
        <w:rPr/>
        <w:t>(iii)</w:t>
      </w:r>
      <w:r>
        <w:rPr>
          <w:spacing w:val="21"/>
        </w:rPr>
        <w:t> </w:t>
      </w:r>
      <w:r>
        <w:rPr/>
        <w:t>SB;</w:t>
      </w:r>
      <w:r>
        <w:rPr>
          <w:spacing w:val="20"/>
        </w:rPr>
        <w:t> </w:t>
      </w:r>
      <w:r>
        <w:rPr/>
        <w:t>BD</w:t>
      </w:r>
      <w:r>
        <w:rPr>
          <w:spacing w:val="22"/>
        </w:rPr>
        <w:t> </w:t>
      </w:r>
      <w:r>
        <w:rPr/>
        <w:t>plus</w:t>
      </w:r>
      <w:r>
        <w:rPr>
          <w:spacing w:val="23"/>
        </w:rPr>
        <w:t> </w:t>
      </w:r>
      <w:r>
        <w:rPr/>
        <w:t>30ml</w:t>
      </w:r>
      <w:r>
        <w:rPr>
          <w:spacing w:val="27"/>
        </w:rPr>
        <w:t> </w:t>
      </w:r>
      <w:r>
        <w:rPr/>
        <w:t>of</w:t>
      </w:r>
      <w:r>
        <w:rPr>
          <w:spacing w:val="28"/>
        </w:rPr>
        <w:t> </w:t>
      </w:r>
      <w:r>
        <w:rPr>
          <w:i/>
        </w:rPr>
        <w:t>S.</w:t>
      </w:r>
      <w:r>
        <w:rPr>
          <w:i/>
          <w:spacing w:val="22"/>
        </w:rPr>
        <w:t> </w:t>
      </w:r>
      <w:r>
        <w:rPr>
          <w:i/>
        </w:rPr>
        <w:t>babylonica</w:t>
      </w:r>
      <w:r>
        <w:rPr>
          <w:i/>
          <w:spacing w:val="22"/>
        </w:rPr>
        <w:t> </w:t>
      </w:r>
      <w:r>
        <w:rPr/>
        <w:t>extract,</w:t>
      </w:r>
      <w:r>
        <w:rPr>
          <w:spacing w:val="22"/>
        </w:rPr>
        <w:t> </w:t>
      </w:r>
      <w:r>
        <w:rPr/>
        <w:t>and</w:t>
      </w:r>
      <w:r>
        <w:rPr>
          <w:spacing w:val="22"/>
        </w:rPr>
        <w:t> </w:t>
      </w:r>
      <w:r>
        <w:rPr/>
        <w:t>(iv)</w:t>
      </w:r>
    </w:p>
    <w:p>
      <w:pPr>
        <w:spacing w:after="0" w:line="331"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18"/>
        <w:jc w:val="both"/>
      </w:pPr>
      <w:r>
        <w:rPr/>
        <w:t>EZSB; BD plus 10g EZ and 30 ml of SB extract. The daily dose of SB extract was given orally before the morning feeding; the EZ was mixed with a 200g of concentrate and offered 1h before of provide the rest to  corn  silage  and concentrate the rest of the day. The chemical composition of the basal diets is presented in Table 1.</w:t>
      </w:r>
    </w:p>
    <w:p>
      <w:pPr>
        <w:pStyle w:val="BodyText"/>
        <w:spacing w:before="5"/>
        <w:rPr>
          <w:sz w:val="32"/>
        </w:rPr>
      </w:pPr>
    </w:p>
    <w:p>
      <w:pPr>
        <w:pStyle w:val="BodyText"/>
        <w:spacing w:line="364" w:lineRule="auto"/>
        <w:ind w:left="115" w:right="119"/>
        <w:jc w:val="both"/>
      </w:pPr>
      <w:r>
        <w:rPr/>
        <w:t>ZADO</w:t>
      </w:r>
      <w:r>
        <w:rPr>
          <w:position w:val="11"/>
          <w:sz w:val="15"/>
        </w:rPr>
        <w:t>® </w:t>
      </w:r>
      <w:r>
        <w:rPr/>
        <w:t>is a powdered multi-enzyme commercially available feed additive product produced from </w:t>
      </w:r>
      <w:r>
        <w:rPr>
          <w:i/>
        </w:rPr>
        <w:t>Ruminococcus flavefaciens </w:t>
      </w:r>
      <w:r>
        <w:rPr/>
        <w:t>by the Academy of Scientific Research and Technology in Egypt (Patent No. 22155, Cairo, Egypt). Prior to this work, the enzyme mixture was assayed for several enzymatic activities, and it was found to contain (per gram of enzyme preparation) 7.1 unit of endoglucanase, 2.3 unit of xylanase, 61.5 unit of α-amylase and 29.2 unit of protease  activity.</w:t>
      </w:r>
    </w:p>
    <w:p>
      <w:pPr>
        <w:pStyle w:val="BodyText"/>
        <w:spacing w:before="4"/>
        <w:rPr>
          <w:sz w:val="32"/>
        </w:rPr>
      </w:pPr>
    </w:p>
    <w:p>
      <w:pPr>
        <w:pStyle w:val="BodyText"/>
        <w:ind w:left="115"/>
        <w:jc w:val="both"/>
      </w:pPr>
      <w:r>
        <w:rPr/>
        <w:t>Preparation of silage</w:t>
      </w:r>
    </w:p>
    <w:p>
      <w:pPr>
        <w:pStyle w:val="BodyText"/>
        <w:rPr>
          <w:sz w:val="22"/>
        </w:rPr>
      </w:pPr>
    </w:p>
    <w:p>
      <w:pPr>
        <w:pStyle w:val="BodyText"/>
        <w:spacing w:before="1"/>
        <w:rPr>
          <w:sz w:val="25"/>
        </w:rPr>
      </w:pPr>
    </w:p>
    <w:p>
      <w:pPr>
        <w:pStyle w:val="BodyText"/>
        <w:spacing w:line="364" w:lineRule="auto"/>
        <w:ind w:left="115" w:right="118"/>
        <w:jc w:val="both"/>
      </w:pPr>
      <w:r>
        <w:rPr/>
        <w:t>Whole maize plants (at medium stage with about 70% moisture content were chopped into 1-2 cm lengths using a forage chopper. Chopped maize was immediately filled in a flat 10-ton silo. After two months, experimental animals were initiated to be fed the silage as well as the other animals of the experimental farm   of the</w:t>
      </w:r>
      <w:r>
        <w:rPr>
          <w:spacing w:val="11"/>
        </w:rPr>
        <w:t> </w:t>
      </w:r>
      <w:r>
        <w:rPr/>
        <w:t>faculty.</w:t>
      </w:r>
    </w:p>
    <w:p>
      <w:pPr>
        <w:pStyle w:val="BodyText"/>
        <w:rPr>
          <w:sz w:val="22"/>
        </w:rPr>
      </w:pPr>
    </w:p>
    <w:p>
      <w:pPr>
        <w:spacing w:before="155"/>
        <w:ind w:left="115" w:right="0" w:firstLine="0"/>
        <w:jc w:val="both"/>
        <w:rPr>
          <w:sz w:val="21"/>
        </w:rPr>
      </w:pPr>
      <w:r>
        <w:rPr>
          <w:sz w:val="21"/>
        </w:rPr>
        <w:t>Preparation of extract</w:t>
      </w:r>
    </w:p>
    <w:p>
      <w:pPr>
        <w:pStyle w:val="BodyText"/>
        <w:rPr>
          <w:sz w:val="20"/>
        </w:rPr>
      </w:pPr>
    </w:p>
    <w:p>
      <w:pPr>
        <w:pStyle w:val="BodyText"/>
        <w:rPr>
          <w:sz w:val="26"/>
        </w:rPr>
      </w:pPr>
    </w:p>
    <w:p>
      <w:pPr>
        <w:pStyle w:val="BodyText"/>
        <w:spacing w:line="364" w:lineRule="auto"/>
        <w:ind w:left="115" w:right="117"/>
        <w:jc w:val="both"/>
      </w:pPr>
      <w:r>
        <w:rPr/>
        <w:t>The </w:t>
      </w:r>
      <w:r>
        <w:rPr>
          <w:i/>
        </w:rPr>
        <w:t>S. babylonica </w:t>
      </w:r>
      <w:r>
        <w:rPr/>
        <w:t>extract was prepared as described by Salem et al. (2011b). Briefly, fresh leaves of </w:t>
      </w:r>
      <w:r>
        <w:rPr>
          <w:i/>
        </w:rPr>
        <w:t>S. babylonica </w:t>
      </w:r>
      <w:r>
        <w:rPr/>
        <w:t>were collected randomly from several young and mature trees (minimum 5 different trees) in autumn  and were chopped (1-2  cm) and immediately extracted in the proportion of 1g leaf per 8ml of  solvent mixture. The mixture of solvents contained 10ml methanol, 10 ethanol ml and 80    ml distilled water. Leaves were soaked and incubated in solvent in the laboratory at </w:t>
      </w:r>
      <w:r>
        <w:rPr>
          <w:spacing w:val="-8"/>
        </w:rPr>
        <w:t>25-30°C </w:t>
      </w:r>
      <w:r>
        <w:rPr/>
        <w:t>for 48-72 h in closed flasks. After incubat ion, all flasks were incubated in </w:t>
      </w:r>
      <w:r>
        <w:rPr>
          <w:spacing w:val="55"/>
        </w:rPr>
        <w:t> </w:t>
      </w:r>
      <w:r>
        <w:rPr/>
        <w:t>a</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19"/>
        <w:jc w:val="both"/>
      </w:pPr>
      <w:r>
        <w:rPr/>
        <w:t>water bath at 39°C for one h and then immediately f iltered, and the filtrate collected and stored at 4°C  for further use.</w:t>
      </w:r>
    </w:p>
    <w:p>
      <w:pPr>
        <w:pStyle w:val="BodyText"/>
        <w:spacing w:before="4"/>
        <w:rPr>
          <w:sz w:val="32"/>
        </w:rPr>
      </w:pPr>
    </w:p>
    <w:p>
      <w:pPr>
        <w:pStyle w:val="BodyText"/>
        <w:ind w:left="115"/>
        <w:jc w:val="both"/>
      </w:pPr>
      <w:r>
        <w:rPr/>
        <w:t>Sampling and measurements</w:t>
      </w:r>
    </w:p>
    <w:p>
      <w:pPr>
        <w:pStyle w:val="BodyText"/>
        <w:rPr>
          <w:sz w:val="22"/>
        </w:rPr>
      </w:pPr>
    </w:p>
    <w:p>
      <w:pPr>
        <w:pStyle w:val="BodyText"/>
        <w:spacing w:before="1"/>
        <w:rPr>
          <w:sz w:val="25"/>
        </w:rPr>
      </w:pPr>
    </w:p>
    <w:p>
      <w:pPr>
        <w:pStyle w:val="BodyText"/>
        <w:spacing w:line="357" w:lineRule="auto"/>
        <w:ind w:left="115" w:right="119"/>
        <w:jc w:val="both"/>
      </w:pPr>
      <w:r>
        <w:rPr/>
        <w:t>Five mL of peripheral blood was collected from each lamb by jugular venipuncture  in red vacutainer tubes (BD tube, Monterrey, Mexico) on days 0, 15, 30, 45 and 60 of the experiment. The samples were conserved at room temperature until processing, after were centrifuged at 1500 rpm for 10 min for serum extraction  which was stored in 1.5 ml eppendorf tubes at-20</w:t>
      </w:r>
      <w:r>
        <w:rPr>
          <w:position w:val="11"/>
          <w:sz w:val="15"/>
        </w:rPr>
        <w:t>o</w:t>
      </w:r>
      <w:r>
        <w:rPr/>
        <w:t>C according to groups for  </w:t>
      </w:r>
      <w:r>
        <w:rPr>
          <w:spacing w:val="32"/>
        </w:rPr>
        <w:t> </w:t>
      </w:r>
      <w:r>
        <w:rPr/>
        <w:t>further</w:t>
      </w:r>
    </w:p>
    <w:p>
      <w:pPr>
        <w:pStyle w:val="BodyText"/>
        <w:spacing w:line="259" w:lineRule="exact"/>
        <w:ind w:left="116"/>
        <w:jc w:val="both"/>
      </w:pPr>
      <w:r>
        <w:rPr/>
        <w:t>biochemical analysis.</w:t>
      </w:r>
    </w:p>
    <w:p>
      <w:pPr>
        <w:pStyle w:val="BodyText"/>
        <w:rPr>
          <w:sz w:val="22"/>
        </w:rPr>
      </w:pPr>
    </w:p>
    <w:p>
      <w:pPr>
        <w:pStyle w:val="BodyText"/>
        <w:spacing w:before="1"/>
        <w:rPr>
          <w:sz w:val="25"/>
        </w:rPr>
      </w:pPr>
    </w:p>
    <w:p>
      <w:pPr>
        <w:pStyle w:val="BodyText"/>
        <w:spacing w:line="364" w:lineRule="auto"/>
        <w:ind w:left="116" w:right="119"/>
        <w:jc w:val="both"/>
      </w:pPr>
      <w:r>
        <w:rPr/>
        <w:t>Samples of both concentrate and silage were also collected during  the  experimental period and stored at -20 C for later chemical </w:t>
      </w:r>
      <w:r>
        <w:rPr>
          <w:spacing w:val="17"/>
        </w:rPr>
        <w:t> </w:t>
      </w:r>
      <w:r>
        <w:rPr/>
        <w:t>analysis.</w:t>
      </w:r>
    </w:p>
    <w:p>
      <w:pPr>
        <w:pStyle w:val="BodyText"/>
        <w:rPr>
          <w:sz w:val="22"/>
        </w:rPr>
      </w:pPr>
    </w:p>
    <w:p>
      <w:pPr>
        <w:pStyle w:val="BodyText"/>
        <w:spacing w:line="364" w:lineRule="auto" w:before="155"/>
        <w:ind w:left="116" w:right="116"/>
        <w:jc w:val="both"/>
      </w:pPr>
      <w:r>
        <w:rPr/>
        <w:t>Two samples of the concentrate, silage and SB extract were  collected  weekly during the 60 days of experiment. Each sample type (</w:t>
      </w:r>
      <w:r>
        <w:rPr>
          <w:i/>
        </w:rPr>
        <w:t>i.e., </w:t>
      </w:r>
      <w:r>
        <w:rPr/>
        <w:t>concentrate, silage or extract) were pooled and stored for further</w:t>
      </w:r>
      <w:r>
        <w:rPr>
          <w:spacing w:val="55"/>
        </w:rPr>
        <w:t> </w:t>
      </w:r>
      <w:r>
        <w:rPr/>
        <w:t>analysis.</w:t>
      </w:r>
    </w:p>
    <w:p>
      <w:pPr>
        <w:pStyle w:val="BodyText"/>
        <w:rPr>
          <w:sz w:val="22"/>
        </w:rPr>
      </w:pPr>
    </w:p>
    <w:p>
      <w:pPr>
        <w:pStyle w:val="BodyText"/>
        <w:spacing w:before="4"/>
        <w:rPr>
          <w:sz w:val="19"/>
        </w:rPr>
      </w:pPr>
    </w:p>
    <w:p>
      <w:pPr>
        <w:pStyle w:val="BodyText"/>
        <w:ind w:left="115"/>
        <w:jc w:val="both"/>
      </w:pPr>
      <w:r>
        <w:rPr/>
        <w:t>Sample analysis</w:t>
      </w:r>
    </w:p>
    <w:p>
      <w:pPr>
        <w:pStyle w:val="BodyText"/>
        <w:rPr>
          <w:sz w:val="22"/>
        </w:rPr>
      </w:pPr>
    </w:p>
    <w:p>
      <w:pPr>
        <w:pStyle w:val="BodyText"/>
        <w:spacing w:before="1"/>
        <w:rPr>
          <w:sz w:val="25"/>
        </w:rPr>
      </w:pPr>
    </w:p>
    <w:p>
      <w:pPr>
        <w:pStyle w:val="BodyText"/>
        <w:spacing w:line="355" w:lineRule="auto"/>
        <w:ind w:left="115" w:right="118"/>
        <w:jc w:val="both"/>
      </w:pPr>
      <w:r>
        <w:rPr/>
        <w:t>The choice of biochemical measurements is that conventionally  used  for  diagnosing human and domestic animal hepatic and kidney damage, and general metabolic disorders (Silanikove et al., 1996). The serum samples were analyzed using  specific   kits   of  IL  </w:t>
      </w:r>
      <w:r>
        <w:rPr>
          <w:position w:val="11"/>
          <w:sz w:val="15"/>
        </w:rPr>
        <w:t>TM    </w:t>
      </w:r>
      <w:r>
        <w:rPr/>
        <w:t>tests   for  total   proteins   (#0018481300),  </w:t>
      </w:r>
      <w:r>
        <w:rPr>
          <w:spacing w:val="48"/>
        </w:rPr>
        <w:t> </w:t>
      </w:r>
      <w:r>
        <w:rPr/>
        <w:t>glucose</w:t>
      </w:r>
    </w:p>
    <w:p>
      <w:pPr>
        <w:pStyle w:val="BodyText"/>
        <w:spacing w:line="262" w:lineRule="exact"/>
        <w:ind w:left="115"/>
        <w:jc w:val="both"/>
      </w:pPr>
      <w:r>
        <w:rPr/>
        <w:t>(#0018480000),   creatinine  (#0018480900),   blood   urea  N  (BUN;#0018480400),</w:t>
      </w:r>
    </w:p>
    <w:p>
      <w:pPr>
        <w:pStyle w:val="BodyText"/>
        <w:spacing w:before="138"/>
        <w:ind w:left="115"/>
        <w:jc w:val="both"/>
      </w:pPr>
      <w:r>
        <w:rPr/>
        <w:t>alanine    aminotransferase    or    glutamic    pyruvate    transaminase     (ALT/GPT;</w:t>
      </w:r>
    </w:p>
    <w:p>
      <w:pPr>
        <w:pStyle w:val="BodyText"/>
        <w:spacing w:line="364" w:lineRule="auto" w:before="138"/>
        <w:ind w:left="115" w:right="119"/>
        <w:jc w:val="both"/>
      </w:pPr>
      <w:r>
        <w:rPr/>
        <w:t>#0018480700), aspartate aminotransferase or glutamic oxalacetic transaminase (AST/GOT) (#0018480800), alkaline phosphatase (ALP) (#0018480600), calcium (#0018258840), phosphorus (#0018481900) and magnesium (cat.  #0018481600).</w:t>
      </w:r>
    </w:p>
    <w:p>
      <w:pPr>
        <w:spacing w:after="0" w:line="364" w:lineRule="auto"/>
        <w:jc w:val="both"/>
        <w:sectPr>
          <w:footerReference w:type="default" r:id="rId212"/>
          <w:pgSz w:w="11900" w:h="16840"/>
          <w:pgMar w:footer="1679" w:header="0" w:top="1600" w:bottom="1860" w:left="1540" w:right="1520"/>
          <w:pgNumType w:start="70"/>
        </w:sectPr>
      </w:pPr>
    </w:p>
    <w:p>
      <w:pPr>
        <w:pStyle w:val="BodyText"/>
        <w:rPr>
          <w:sz w:val="20"/>
        </w:rPr>
      </w:pPr>
    </w:p>
    <w:p>
      <w:pPr>
        <w:pStyle w:val="BodyText"/>
        <w:spacing w:before="7"/>
        <w:rPr>
          <w:sz w:val="16"/>
        </w:rPr>
      </w:pPr>
    </w:p>
    <w:p>
      <w:pPr>
        <w:pStyle w:val="BodyText"/>
        <w:spacing w:line="364" w:lineRule="auto" w:before="74"/>
        <w:ind w:left="115" w:right="120"/>
        <w:jc w:val="both"/>
      </w:pPr>
      <w:r>
        <w:rPr/>
        <w:t>All metabolites were determined using spectrophotometry analysis using a BTS   350 Chemistry System analyzer (Instrumentation Laboratory, </w:t>
      </w:r>
      <w:r>
        <w:rPr>
          <w:spacing w:val="17"/>
        </w:rPr>
        <w:t> </w:t>
      </w:r>
      <w:r>
        <w:rPr/>
        <w:t>Mexico).</w:t>
      </w:r>
    </w:p>
    <w:p>
      <w:pPr>
        <w:pStyle w:val="BodyText"/>
        <w:spacing w:line="364" w:lineRule="auto" w:before="5"/>
        <w:ind w:left="115" w:right="117"/>
        <w:jc w:val="both"/>
      </w:pPr>
      <w:r>
        <w:rPr/>
        <w:t>Samples of concentrate and silage were analyzed for DM  (#934.01),  ash  (#942.05), N (#954.01), and ether extract (EE; #920.39)) according to  AOAC  (1997). The neutral detergent fiber (NDF; Van Soest </w:t>
      </w:r>
      <w:r>
        <w:rPr>
          <w:i/>
        </w:rPr>
        <w:t>et al</w:t>
      </w:r>
      <w:r>
        <w:rPr/>
        <w:t>., 1991), acid detergent fiber (ADF) and lignin (AOAC,  1997;  #973.18) were analyzed using an ANKOM  200 FibreAnalyser Unit (ANKOM Technology Corporation, Macedon, NY,  USA).  The NDF was assayed without use of α-amylase but with sodium sulphite in the NDF. Both NDF and ADF are expressed without residual </w:t>
      </w:r>
      <w:r>
        <w:rPr>
          <w:spacing w:val="4"/>
        </w:rPr>
        <w:t> </w:t>
      </w:r>
      <w:r>
        <w:rPr/>
        <w:t>ash.</w:t>
      </w:r>
    </w:p>
    <w:p>
      <w:pPr>
        <w:pStyle w:val="BodyText"/>
        <w:spacing w:before="6"/>
        <w:rPr>
          <w:sz w:val="32"/>
        </w:rPr>
      </w:pPr>
    </w:p>
    <w:p>
      <w:pPr>
        <w:pStyle w:val="BodyText"/>
        <w:spacing w:line="352" w:lineRule="auto"/>
        <w:ind w:left="115" w:right="117"/>
        <w:jc w:val="both"/>
      </w:pPr>
      <w:r>
        <w:rPr/>
        <w:t>Plant secondary metabolites of extract were determined using 10 mL of extract  liquor and fractionated by funnel separation with a double volume of ethyl acetate (99.7/100, analytical grade, Fermont</w:t>
      </w:r>
      <w:r>
        <w:rPr>
          <w:position w:val="11"/>
          <w:sz w:val="15"/>
        </w:rPr>
        <w:t>®</w:t>
      </w:r>
      <w:r>
        <w:rPr/>
        <w:t>, Monterrey, Mexico) to determine total phenolics by drying and to quantify the total phenolics layer in the funnel. After total phenolics separation, a double volume of n-butanol (99.9/100, analytical grade, Fermont</w:t>
      </w:r>
      <w:r>
        <w:rPr>
          <w:position w:val="11"/>
          <w:sz w:val="15"/>
        </w:rPr>
        <w:t>®</w:t>
      </w:r>
      <w:r>
        <w:rPr/>
        <w:t>, Monterrey,  Mexico)  was  added to  fractionate saponins (Ahmed  </w:t>
      </w:r>
      <w:r>
        <w:rPr>
          <w:i/>
        </w:rPr>
        <w:t>et  </w:t>
      </w:r>
      <w:r>
        <w:rPr>
          <w:i/>
          <w:spacing w:val="3"/>
        </w:rPr>
        <w:t> </w:t>
      </w:r>
      <w:r>
        <w:rPr>
          <w:i/>
        </w:rPr>
        <w:t>al</w:t>
      </w:r>
      <w:r>
        <w:rPr/>
        <w:t>.,</w:t>
      </w:r>
    </w:p>
    <w:p>
      <w:pPr>
        <w:pStyle w:val="BodyText"/>
        <w:spacing w:line="364" w:lineRule="auto" w:before="5"/>
        <w:ind w:left="115" w:right="119"/>
        <w:jc w:val="both"/>
      </w:pPr>
      <w:r>
        <w:rPr/>
        <w:t>1990). The remaining solution was considered to be the aqueous fraction which contains the other secondary metabolites lectins, polypeptides and starch (Cowan, 1999) Table 1.</w:t>
      </w:r>
    </w:p>
    <w:p>
      <w:pPr>
        <w:pStyle w:val="BodyText"/>
        <w:rPr>
          <w:sz w:val="22"/>
        </w:rPr>
      </w:pPr>
    </w:p>
    <w:p>
      <w:pPr>
        <w:pStyle w:val="BodyText"/>
        <w:spacing w:line="364" w:lineRule="auto" w:before="155"/>
        <w:ind w:left="115" w:right="119"/>
        <w:jc w:val="both"/>
      </w:pPr>
      <w:r>
        <w:rPr/>
        <w:t>Endoglucanase activity was assayed by liberating glucose from carboxymethyl cellulose, which was determined calorimetrically using alkaline copper reagent as described by Robyt and Whelan (1972). One unit of endoglucanase catalyzes theliberation of 1 mmol </w:t>
      </w:r>
      <w:r>
        <w:rPr>
          <w:spacing w:val="-3"/>
        </w:rPr>
        <w:t>of </w:t>
      </w:r>
      <w:r>
        <w:rPr/>
        <w:t>glucose per min from sodium carboxymethyl celluloseat </w:t>
      </w:r>
      <w:r>
        <w:rPr>
          <w:spacing w:val="-13"/>
        </w:rPr>
        <w:t>40°C </w:t>
      </w:r>
      <w:r>
        <w:rPr/>
        <w:t>and pH 4.5. Furthermore, α-amylase was assayed by its ability toproduce reducing groups from starch, which were measured by the reductionof 3,5- dinitrosalicylic acid (Bernfeld, 1955). One unit </w:t>
      </w:r>
      <w:r>
        <w:rPr>
          <w:spacing w:val="-3"/>
        </w:rPr>
        <w:t>of </w:t>
      </w:r>
      <w:r>
        <w:rPr/>
        <w:t>α-amylase catalyzesthe liberation  of 1 mmol of reducing groups per min from soluble starch at </w:t>
      </w:r>
      <w:r>
        <w:rPr>
          <w:spacing w:val="-13"/>
        </w:rPr>
        <w:t>25°C </w:t>
      </w:r>
      <w:r>
        <w:rPr/>
        <w:t>and pH 6.0, calculated as maltose equivalents. Protease activity wasdetermined by  the hydrolysis of dimethyl casein (DMC) and the liberatedamino acids were determined using 2,4,6-trinitrobenzene sulphonic acid (Lin </w:t>
      </w:r>
      <w:r>
        <w:rPr>
          <w:i/>
        </w:rPr>
        <w:t>et al</w:t>
      </w:r>
      <w:r>
        <w:rPr/>
        <w:t>., 1969). One DMC-U  </w:t>
      </w:r>
      <w:r>
        <w:rPr>
          <w:spacing w:val="44"/>
        </w:rPr>
        <w:t> </w:t>
      </w:r>
      <w:r>
        <w:rPr/>
        <w:t>catalyzes</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17"/>
        <w:jc w:val="both"/>
      </w:pPr>
      <w:r>
        <w:rPr/>
        <w:t>the cleavage of 1 mmol of peptide bondper min from DMC at </w:t>
      </w:r>
      <w:r>
        <w:rPr>
          <w:spacing w:val="-12"/>
        </w:rPr>
        <w:t>25°C </w:t>
      </w:r>
      <w:r>
        <w:rPr/>
        <w:t>and pH 7.0 expressed in terms of newly formedterminal amino groups. Xylanase catalyzes the hydrolysis of xylan fromoat spelt, and the reducing groups liberated  were determined using alkaline copper reagent (Robyt and Whelan, 1972). One unit catalyzes the liberation of1 mmol reducing groups per h from xylan at </w:t>
      </w:r>
      <w:r>
        <w:rPr>
          <w:spacing w:val="-13"/>
        </w:rPr>
        <w:t>37°C </w:t>
      </w:r>
      <w:r>
        <w:rPr/>
        <w:t>and pH 5.5, expressed as</w:t>
      </w:r>
      <w:r>
        <w:rPr>
          <w:spacing w:val="40"/>
        </w:rPr>
        <w:t> </w:t>
      </w:r>
      <w:r>
        <w:rPr/>
        <w:t>xyloseequivalents.</w:t>
      </w:r>
    </w:p>
    <w:p>
      <w:pPr>
        <w:pStyle w:val="BodyText"/>
        <w:rPr>
          <w:sz w:val="22"/>
        </w:rPr>
      </w:pPr>
    </w:p>
    <w:p>
      <w:pPr>
        <w:pStyle w:val="BodyText"/>
        <w:spacing w:before="155"/>
        <w:ind w:left="115"/>
        <w:jc w:val="both"/>
      </w:pPr>
      <w:r>
        <w:rPr/>
        <w:t>Statistical analyses</w:t>
      </w:r>
    </w:p>
    <w:p>
      <w:pPr>
        <w:pStyle w:val="BodyText"/>
        <w:rPr>
          <w:sz w:val="22"/>
        </w:rPr>
      </w:pPr>
    </w:p>
    <w:p>
      <w:pPr>
        <w:pStyle w:val="BodyText"/>
        <w:spacing w:before="10"/>
        <w:rPr>
          <w:sz w:val="24"/>
        </w:rPr>
      </w:pPr>
    </w:p>
    <w:p>
      <w:pPr>
        <w:pStyle w:val="BodyText"/>
        <w:spacing w:line="364" w:lineRule="auto"/>
        <w:ind w:left="115" w:right="117"/>
        <w:jc w:val="both"/>
      </w:pPr>
      <w:r>
        <w:rPr/>
        <w:t>Data were analyzed using the MIXED procedure of SAS (2002) with repeated measures (Littell </w:t>
      </w:r>
      <w:r>
        <w:rPr>
          <w:i/>
        </w:rPr>
        <w:t>et al</w:t>
      </w:r>
      <w:r>
        <w:rPr/>
        <w:t>., 1998). Terms in the model were diet (</w:t>
      </w:r>
      <w:r>
        <w:rPr>
          <w:i/>
        </w:rPr>
        <w:t>i.e., </w:t>
      </w:r>
      <w:r>
        <w:rPr/>
        <w:t>control, SB, EZ, EZSB), days of sampling (</w:t>
      </w:r>
      <w:r>
        <w:rPr>
          <w:i/>
        </w:rPr>
        <w:t>i.e., </w:t>
      </w:r>
      <w:r>
        <w:rPr/>
        <w:t>0, 15, 30, 45 and 60 d of the experiment). Results reported in tables and in text with their corresponding standard errors of the mean. Tests of simple effects were used to partition (slice) interaction effects by treatment in order to test effects of period separately for each diet and the interaction  treatment × time (SAS, 2002). The significant differences between treatment  means, time and interaction treatment × time were determined with a value to significance of</w:t>
      </w:r>
      <w:r>
        <w:rPr>
          <w:spacing w:val="23"/>
        </w:rPr>
        <w:t> </w:t>
      </w:r>
      <w:r>
        <w:rPr>
          <w:i/>
        </w:rPr>
        <w:t>P</w:t>
      </w:r>
      <w:r>
        <w:rPr/>
        <w:t>&lt;0.05.</w:t>
      </w:r>
    </w:p>
    <w:p>
      <w:pPr>
        <w:pStyle w:val="BodyText"/>
        <w:rPr>
          <w:sz w:val="22"/>
        </w:rPr>
      </w:pPr>
    </w:p>
    <w:p>
      <w:pPr>
        <w:pStyle w:val="Heading1"/>
        <w:spacing w:before="153"/>
      </w:pPr>
      <w:r>
        <w:rPr/>
        <w:t>Results</w:t>
      </w:r>
    </w:p>
    <w:p>
      <w:pPr>
        <w:pStyle w:val="BodyText"/>
        <w:rPr>
          <w:b/>
          <w:sz w:val="22"/>
        </w:rPr>
      </w:pPr>
    </w:p>
    <w:p>
      <w:pPr>
        <w:pStyle w:val="BodyText"/>
        <w:spacing w:before="3"/>
        <w:rPr>
          <w:b/>
          <w:sz w:val="25"/>
        </w:rPr>
      </w:pPr>
    </w:p>
    <w:p>
      <w:pPr>
        <w:pStyle w:val="BodyText"/>
        <w:spacing w:line="364" w:lineRule="auto" w:before="1"/>
        <w:ind w:left="115" w:right="117"/>
        <w:jc w:val="both"/>
      </w:pPr>
      <w:r>
        <w:rPr/>
        <w:t>Interactions between treatment × time were occurred on the levels of creatinine    (P= 0.0396), BUN (P= 0.004) and magnesium (</w:t>
      </w:r>
      <w:r>
        <w:rPr>
          <w:i/>
        </w:rPr>
        <w:t>P</w:t>
      </w:r>
      <w:r>
        <w:rPr/>
        <w:t>= 0.013). No interactions were observed for the other measured parameters. Treatments of  SB, EZ, and SBEZ  had not affected blood glucose, creatinine, BUN, AST, ALP, and phosphorus content, while the levels of total proteins were modified. The highest values total proteins were obtained with control and SB animals The SB treatment tended to increased (P=0.057) the levels of creatinine </w:t>
      </w:r>
      <w:r>
        <w:rPr>
          <w:i/>
        </w:rPr>
        <w:t>versus </w:t>
      </w:r>
      <w:r>
        <w:rPr/>
        <w:t>other treatments. For ALT, the highest (P=0.043) value was observed in SB animals. Control and SB  had  increased (P=0.007) blood calcium content, while EZ treatment  increased  (P=0.023) the level of magnesium </w:t>
      </w:r>
      <w:r>
        <w:rPr>
          <w:i/>
        </w:rPr>
        <w:t>versus </w:t>
      </w:r>
      <w:r>
        <w:rPr/>
        <w:t>other</w:t>
      </w:r>
      <w:r>
        <w:rPr>
          <w:spacing w:val="60"/>
        </w:rPr>
        <w:t> </w:t>
      </w:r>
      <w:r>
        <w:rPr/>
        <w:t>groups.</w:t>
      </w:r>
    </w:p>
    <w:p>
      <w:pPr>
        <w:spacing w:after="0" w:line="364" w:lineRule="auto"/>
        <w:jc w:val="both"/>
        <w:sectPr>
          <w:pgSz w:w="11900" w:h="16840"/>
          <w:pgMar w:header="0" w:footer="1679" w:top="1600" w:bottom="1860" w:left="1540" w:right="1520"/>
        </w:sectPr>
      </w:pPr>
    </w:p>
    <w:p>
      <w:pPr>
        <w:pStyle w:val="BodyText"/>
        <w:rPr>
          <w:sz w:val="20"/>
        </w:rPr>
      </w:pPr>
    </w:p>
    <w:p>
      <w:pPr>
        <w:pStyle w:val="BodyText"/>
        <w:rPr>
          <w:sz w:val="20"/>
        </w:rPr>
      </w:pPr>
    </w:p>
    <w:p>
      <w:pPr>
        <w:pStyle w:val="BodyText"/>
        <w:rPr>
          <w:sz w:val="20"/>
        </w:rPr>
      </w:pPr>
    </w:p>
    <w:p>
      <w:pPr>
        <w:pStyle w:val="BodyText"/>
        <w:spacing w:before="1"/>
        <w:rPr>
          <w:sz w:val="18"/>
        </w:rPr>
      </w:pPr>
    </w:p>
    <w:p>
      <w:pPr>
        <w:pStyle w:val="BodyText"/>
        <w:spacing w:line="364" w:lineRule="auto"/>
        <w:ind w:left="115" w:right="117"/>
        <w:jc w:val="both"/>
      </w:pPr>
      <w:r>
        <w:rPr/>
        <w:t>The sampling time produced significant differences in all measured parameters. At day 0, the lowest concentrations of glucose, ALT, AST, ALP, calcium, phosphorus and magnesium were observed in control animals </w:t>
      </w:r>
      <w:r>
        <w:rPr>
          <w:i/>
        </w:rPr>
        <w:t>versus </w:t>
      </w:r>
      <w:r>
        <w:rPr/>
        <w:t>other group. The same results were observed with total proteins, ALT, and calcium for SB groups; BUN,  and ALT for EZ group; ALP for SBEZ group. Total  proteins, glucose,  Creatinine  and urea had the highest concentrations in days 0 and 15 (P=0.018), 15 and 30 (P=0.001), 30 and 45 (P=0.001), 30 and 60 (P=0.001). Enzymes of kidney and     liver functions were also had the highest values in 30 and 60 (ALT); 0  and 30  (AST); 30 and 45 (ALP). Serum calcium, phosphorus and magnesium were highest in days 60; 45 and 60; 30 and 60,</w:t>
      </w:r>
      <w:r>
        <w:rPr>
          <w:spacing w:val="51"/>
        </w:rPr>
        <w:t> </w:t>
      </w:r>
      <w:r>
        <w:rPr/>
        <w:t>respectively.</w:t>
      </w:r>
    </w:p>
    <w:p>
      <w:pPr>
        <w:pStyle w:val="BodyText"/>
        <w:rPr>
          <w:sz w:val="22"/>
        </w:rPr>
      </w:pPr>
    </w:p>
    <w:p>
      <w:pPr>
        <w:pStyle w:val="Heading1"/>
        <w:spacing w:before="153"/>
      </w:pPr>
      <w:r>
        <w:rPr/>
        <w:t>Discussion</w:t>
      </w:r>
    </w:p>
    <w:p>
      <w:pPr>
        <w:pStyle w:val="BodyText"/>
        <w:rPr>
          <w:b/>
          <w:sz w:val="22"/>
        </w:rPr>
      </w:pPr>
    </w:p>
    <w:p>
      <w:pPr>
        <w:pStyle w:val="BodyText"/>
        <w:spacing w:before="10"/>
        <w:rPr>
          <w:b/>
          <w:sz w:val="24"/>
        </w:rPr>
      </w:pPr>
    </w:p>
    <w:p>
      <w:pPr>
        <w:pStyle w:val="BodyText"/>
        <w:spacing w:line="357" w:lineRule="auto"/>
        <w:ind w:left="115" w:right="120"/>
        <w:jc w:val="both"/>
      </w:pPr>
      <w:r>
        <w:rPr/>
        <w:t>The objective of our study was analyzed the effect of </w:t>
      </w:r>
      <w:r>
        <w:rPr>
          <w:i/>
        </w:rPr>
        <w:t>S. babylonica </w:t>
      </w:r>
      <w:r>
        <w:rPr/>
        <w:t>extract, exogenous enzymes preparation (ZADO</w:t>
      </w:r>
      <w:r>
        <w:rPr>
          <w:position w:val="11"/>
          <w:sz w:val="15"/>
        </w:rPr>
        <w:t>®</w:t>
      </w:r>
      <w:r>
        <w:rPr/>
        <w:t>) and their combination on some serum parameters, and that all experiment the animals were in good conditions and had   no signs of ill health. Serological data were used as an indication of health status of the experimental</w:t>
      </w:r>
      <w:r>
        <w:rPr>
          <w:spacing w:val="28"/>
        </w:rPr>
        <w:t> </w:t>
      </w:r>
      <w:r>
        <w:rPr/>
        <w:t>animals.</w:t>
      </w:r>
    </w:p>
    <w:p>
      <w:pPr>
        <w:pStyle w:val="BodyText"/>
        <w:rPr>
          <w:sz w:val="22"/>
        </w:rPr>
      </w:pPr>
    </w:p>
    <w:p>
      <w:pPr>
        <w:pStyle w:val="BodyText"/>
        <w:spacing w:line="364" w:lineRule="auto" w:before="163"/>
        <w:ind w:left="115" w:right="117"/>
        <w:jc w:val="both"/>
      </w:pPr>
      <w:r>
        <w:rPr/>
        <w:t>For total proteins, the reference values are between 60- 75 g/L a hypoproteinemia was observed in all treatments. Values lower than reference range is dangerous because the role of protein in numerous physiologic process as integrity of body tissues, enzymes, hormones, carriers for others plasma constituents, etc. (Smith, 2007), there are reports to indicate that total proteins and albumin can be lowered   in the case of infection by blood-spoiling parasites, such  as  </w:t>
      </w:r>
      <w:r>
        <w:rPr>
          <w:i/>
        </w:rPr>
        <w:t>Haemonchus  </w:t>
      </w:r>
      <w:r>
        <w:rPr>
          <w:i/>
        </w:rPr>
        <w:t>contortus</w:t>
      </w:r>
      <w:r>
        <w:rPr/>
        <w:t>, but in this case the values decreasing until 15g/L (Braun </w:t>
      </w:r>
      <w:r>
        <w:rPr>
          <w:i/>
        </w:rPr>
        <w:t>et al</w:t>
      </w:r>
      <w:r>
        <w:rPr/>
        <w:t>., 2010)   and our values no were lower to about 50 g/L. Serum total proteins reflect the nutritional status of the animal, and it has a positive correlation with dietary protein (Kumar </w:t>
      </w:r>
      <w:r>
        <w:rPr>
          <w:i/>
        </w:rPr>
        <w:t>et al</w:t>
      </w:r>
      <w:r>
        <w:rPr/>
        <w:t>., 1980). So, the observed decreased blood total proteins may be due   to</w:t>
      </w:r>
      <w:r>
        <w:rPr>
          <w:spacing w:val="18"/>
        </w:rPr>
        <w:t> </w:t>
      </w:r>
      <w:r>
        <w:rPr/>
        <w:t>the</w:t>
      </w:r>
      <w:r>
        <w:rPr>
          <w:spacing w:val="16"/>
        </w:rPr>
        <w:t> </w:t>
      </w:r>
      <w:r>
        <w:rPr/>
        <w:t>decreased</w:t>
      </w:r>
      <w:r>
        <w:rPr>
          <w:spacing w:val="18"/>
        </w:rPr>
        <w:t> </w:t>
      </w:r>
      <w:r>
        <w:rPr/>
        <w:t>protein</w:t>
      </w:r>
      <w:r>
        <w:rPr>
          <w:spacing w:val="18"/>
        </w:rPr>
        <w:t> </w:t>
      </w:r>
      <w:r>
        <w:rPr/>
        <w:t>intake</w:t>
      </w:r>
      <w:r>
        <w:rPr>
          <w:spacing w:val="18"/>
        </w:rPr>
        <w:t> </w:t>
      </w:r>
      <w:r>
        <w:rPr/>
        <w:t>as</w:t>
      </w:r>
      <w:r>
        <w:rPr>
          <w:spacing w:val="17"/>
        </w:rPr>
        <w:t> </w:t>
      </w:r>
      <w:r>
        <w:rPr/>
        <w:t>the</w:t>
      </w:r>
      <w:r>
        <w:rPr>
          <w:spacing w:val="18"/>
        </w:rPr>
        <w:t> </w:t>
      </w:r>
      <w:r>
        <w:rPr/>
        <w:t>dietary</w:t>
      </w:r>
      <w:r>
        <w:rPr>
          <w:spacing w:val="19"/>
        </w:rPr>
        <w:t> </w:t>
      </w:r>
      <w:r>
        <w:rPr/>
        <w:t>protein</w:t>
      </w:r>
      <w:r>
        <w:rPr>
          <w:spacing w:val="18"/>
        </w:rPr>
        <w:t> </w:t>
      </w:r>
      <w:r>
        <w:rPr/>
        <w:t>affected</w:t>
      </w:r>
      <w:r>
        <w:rPr>
          <w:spacing w:val="18"/>
        </w:rPr>
        <w:t> </w:t>
      </w:r>
      <w:r>
        <w:rPr/>
        <w:t>the</w:t>
      </w:r>
      <w:r>
        <w:rPr>
          <w:spacing w:val="18"/>
        </w:rPr>
        <w:t> </w:t>
      </w:r>
      <w:r>
        <w:rPr/>
        <w:t>concentration</w:t>
      </w:r>
      <w:r>
        <w:rPr>
          <w:spacing w:val="18"/>
        </w:rPr>
        <w:t> </w:t>
      </w:r>
      <w:r>
        <w:rPr/>
        <w:t>of</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5"/>
        <w:rPr>
          <w:sz w:val="16"/>
        </w:rPr>
      </w:pPr>
    </w:p>
    <w:p>
      <w:pPr>
        <w:pStyle w:val="BodyText"/>
        <w:spacing w:line="367" w:lineRule="auto" w:before="74"/>
        <w:ind w:left="116" w:right="119"/>
        <w:jc w:val="both"/>
      </w:pPr>
      <w:r>
        <w:rPr/>
        <w:t>plasma protein especially when animals were fed low protein diets (Allam </w:t>
      </w:r>
      <w:r>
        <w:rPr>
          <w:i/>
        </w:rPr>
        <w:t>et al</w:t>
      </w:r>
      <w:r>
        <w:rPr/>
        <w:t>., 2009; Rowlands, 1980).</w:t>
      </w:r>
    </w:p>
    <w:p>
      <w:pPr>
        <w:pStyle w:val="BodyText"/>
        <w:rPr>
          <w:sz w:val="22"/>
        </w:rPr>
      </w:pPr>
    </w:p>
    <w:p>
      <w:pPr>
        <w:pStyle w:val="BodyText"/>
        <w:spacing w:line="364" w:lineRule="auto" w:before="152"/>
        <w:ind w:left="116" w:right="118"/>
        <w:jc w:val="both"/>
      </w:pPr>
      <w:r>
        <w:rPr/>
        <w:t>The level of total proteins is the highest in the group SB this results indicate that tannins presents in the extract has a protector effect on protein. Tannins have an ability of to form strong insoluble complexes with proteins that are resistant to stomach pH, where tannins have a large number of free phenolic hydroxyl groups that form strong hydrogen bonds with proteins and carbohydrates. When animals  fed on tannin-rich forages, tannin-protein complexes can reduce the digestion of forage protein (Imik </w:t>
      </w:r>
      <w:r>
        <w:rPr>
          <w:i/>
          <w:spacing w:val="-3"/>
        </w:rPr>
        <w:t>et </w:t>
      </w:r>
      <w:r>
        <w:rPr>
          <w:i/>
        </w:rPr>
        <w:t>al</w:t>
      </w:r>
      <w:r>
        <w:rPr/>
        <w:t>., 2008; Mahgoub </w:t>
      </w:r>
      <w:r>
        <w:rPr>
          <w:i/>
        </w:rPr>
        <w:t>et al</w:t>
      </w:r>
      <w:r>
        <w:rPr/>
        <w:t>., 2008b; Lu, 2011; Durmic and Blache,</w:t>
      </w:r>
      <w:r>
        <w:rPr>
          <w:spacing w:val="15"/>
        </w:rPr>
        <w:t> </w:t>
      </w:r>
      <w:r>
        <w:rPr/>
        <w:t>2012).</w:t>
      </w:r>
    </w:p>
    <w:p>
      <w:pPr>
        <w:pStyle w:val="BodyText"/>
        <w:rPr>
          <w:sz w:val="22"/>
        </w:rPr>
      </w:pPr>
    </w:p>
    <w:p>
      <w:pPr>
        <w:pStyle w:val="BodyText"/>
        <w:spacing w:line="355" w:lineRule="auto" w:before="155"/>
        <w:ind w:left="116" w:right="119"/>
        <w:jc w:val="both"/>
      </w:pPr>
      <w:r>
        <w:rPr/>
        <w:t>In the others two groups of EZ and SBEZ, the levels of serum total proteins were statistically lower. ZADO</w:t>
      </w:r>
      <w:r>
        <w:rPr>
          <w:position w:val="11"/>
          <w:sz w:val="15"/>
        </w:rPr>
        <w:t>® </w:t>
      </w:r>
      <w:r>
        <w:rPr/>
        <w:t>contained about 29.2 unit/g to proteases (Gado </w:t>
      </w:r>
      <w:r>
        <w:rPr>
          <w:i/>
        </w:rPr>
        <w:t>et al</w:t>
      </w:r>
      <w:r>
        <w:rPr/>
        <w:t>., 2011, Salem </w:t>
      </w:r>
      <w:r>
        <w:rPr>
          <w:i/>
        </w:rPr>
        <w:t>et al</w:t>
      </w:r>
      <w:r>
        <w:rPr/>
        <w:t>., 2011a) that was not sufficient to increase the quantity of crude protein ingested by the lambs of this group as the quantity of protein in the diet is</w:t>
      </w:r>
    </w:p>
    <w:p>
      <w:pPr>
        <w:pStyle w:val="BodyText"/>
        <w:spacing w:line="355" w:lineRule="auto" w:before="13"/>
        <w:ind w:left="116" w:right="116"/>
        <w:jc w:val="both"/>
      </w:pPr>
      <w:r>
        <w:rPr/>
        <w:t>relation with the plasma protein concentration (Smith, 2007) we didn’t  observed  any increase in this parameter. However, in the group SBEZ the lowered value of serum total proteins may be due to the antagonist effect between exogenous enzyme and secondary compounds, because the  enzyme  decreasing  the  activity of secondary compounds as shown the study of Gado </w:t>
      </w:r>
      <w:r>
        <w:rPr>
          <w:i/>
        </w:rPr>
        <w:t>et al</w:t>
      </w:r>
      <w:r>
        <w:rPr/>
        <w:t>. (2011) in which all secondary metabolites in the orange pulp were reduced with the addition of ZADO</w:t>
      </w:r>
      <w:r>
        <w:rPr>
          <w:position w:val="11"/>
          <w:sz w:val="15"/>
        </w:rPr>
        <w:t>® </w:t>
      </w:r>
      <w:r>
        <w:rPr/>
        <w:t>during its ensiling. Salem </w:t>
      </w:r>
      <w:r>
        <w:rPr>
          <w:i/>
        </w:rPr>
        <w:t>et al</w:t>
      </w:r>
      <w:r>
        <w:rPr/>
        <w:t>. (2011) add 10 g of ZADO</w:t>
      </w:r>
      <w:r>
        <w:rPr>
          <w:position w:val="11"/>
          <w:sz w:val="15"/>
        </w:rPr>
        <w:t>®</w:t>
      </w:r>
      <w:r>
        <w:rPr/>
        <w:t>/animal/day to the diet  </w:t>
      </w:r>
      <w:r>
        <w:rPr>
          <w:spacing w:val="51"/>
        </w:rPr>
        <w:t> </w:t>
      </w:r>
      <w:r>
        <w:rPr/>
        <w:t>of</w:t>
      </w:r>
    </w:p>
    <w:p>
      <w:pPr>
        <w:pStyle w:val="BodyText"/>
        <w:spacing w:line="364" w:lineRule="auto"/>
        <w:ind w:left="115" w:right="119"/>
        <w:jc w:val="both"/>
      </w:pPr>
      <w:r>
        <w:rPr/>
        <w:t>lambs as a feed additives and observed an  increased diet  crude  protein content but did not determined the total proteins concentration in serum (Salem </w:t>
      </w:r>
      <w:r>
        <w:rPr>
          <w:i/>
        </w:rPr>
        <w:t>et al</w:t>
      </w:r>
      <w:r>
        <w:rPr/>
        <w:t>., 2011a).</w:t>
      </w:r>
    </w:p>
    <w:p>
      <w:pPr>
        <w:pStyle w:val="BodyText"/>
        <w:rPr>
          <w:sz w:val="22"/>
        </w:rPr>
      </w:pPr>
    </w:p>
    <w:p>
      <w:pPr>
        <w:pStyle w:val="BodyText"/>
        <w:spacing w:line="364" w:lineRule="auto" w:before="155"/>
        <w:ind w:left="115" w:right="117" w:firstLine="64"/>
        <w:jc w:val="both"/>
      </w:pPr>
      <w:r>
        <w:rPr/>
        <w:t>Results of serum total proteins levels were different to other studies in which the effect of secondary compounds had been evaluated, and in the which the authors didn’t observed any increase in this parameter when sheep or goats were feed with diets  with high levels of  secondary compounds  or  when the animals     ingest  this</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5"/>
        <w:rPr>
          <w:sz w:val="16"/>
        </w:rPr>
      </w:pPr>
    </w:p>
    <w:p>
      <w:pPr>
        <w:pStyle w:val="BodyText"/>
        <w:spacing w:line="364" w:lineRule="auto" w:before="74"/>
        <w:ind w:left="115" w:right="118"/>
        <w:jc w:val="both"/>
      </w:pPr>
      <w:r>
        <w:rPr/>
        <w:t>compounds as a feed additives (Silanikove </w:t>
      </w:r>
      <w:r>
        <w:rPr>
          <w:i/>
        </w:rPr>
        <w:t>et al</w:t>
      </w:r>
      <w:r>
        <w:rPr/>
        <w:t>., 1996; Imik </w:t>
      </w:r>
      <w:r>
        <w:rPr>
          <w:i/>
        </w:rPr>
        <w:t>et al</w:t>
      </w:r>
      <w:r>
        <w:rPr/>
        <w:t>., 2008; Mahgoub et al., 2008a; Valizadeh </w:t>
      </w:r>
      <w:r>
        <w:rPr>
          <w:i/>
        </w:rPr>
        <w:t>et al</w:t>
      </w:r>
      <w:r>
        <w:rPr/>
        <w:t>., 2010; Olafadehan, 2011). It may be due to the kind   of forage used, concentration of secondary compounds, age of the animals and adaptation time, etc. Ramirez- Restrepo (2010a,b) conducted an experiment with </w:t>
      </w:r>
      <w:r>
        <w:rPr>
          <w:i/>
        </w:rPr>
        <w:t>Salix </w:t>
      </w:r>
      <w:r>
        <w:rPr/>
        <w:t>spp. as a fodder blocks in sheep and didn’t observed changes in the levels of serum total proteins but he demonstrated the stimulate effect of condensed tannins in this forage on cell-mediated immune</w:t>
      </w:r>
      <w:r>
        <w:rPr>
          <w:spacing w:val="55"/>
        </w:rPr>
        <w:t> </w:t>
      </w:r>
      <w:r>
        <w:rPr/>
        <w:t>response.</w:t>
      </w:r>
    </w:p>
    <w:p>
      <w:pPr>
        <w:pStyle w:val="BodyText"/>
        <w:rPr>
          <w:sz w:val="22"/>
        </w:rPr>
      </w:pPr>
    </w:p>
    <w:p>
      <w:pPr>
        <w:pStyle w:val="BodyText"/>
        <w:spacing w:line="364" w:lineRule="auto" w:before="155"/>
        <w:ind w:left="115" w:right="116"/>
        <w:jc w:val="both"/>
      </w:pPr>
      <w:r>
        <w:rPr/>
        <w:t>The serum creatinine is no conditioner by the diet. Its concentration in serum provides a measure of glomerular filtration rate in ruminants. This parameter is an indicator of renal failure; small increases in creatinine may be  see  with progressively compromised renal function (Turner </w:t>
      </w:r>
      <w:r>
        <w:rPr>
          <w:i/>
        </w:rPr>
        <w:t>et al</w:t>
      </w:r>
      <w:r>
        <w:rPr/>
        <w:t>., 2005; Ford and  Mazzaferro, 2007; Smith, 2007). In the present study, the levels of creatinine were within the normal range (76-176.8 µmol/L) reported for healthy sheep (Ford and Mazzaferro, 2007; Smith, 2007), but were higher in SB group which indicate that secondary compounds (phenols and condensed tannins) presents in the extract were negatively affected glomerular filtration, causing renal damage  (Silanikove </w:t>
      </w:r>
      <w:r>
        <w:rPr>
          <w:i/>
        </w:rPr>
        <w:t>etal</w:t>
      </w:r>
      <w:r>
        <w:rPr/>
        <w:t>., 1996, Mahgoub </w:t>
      </w:r>
      <w:r>
        <w:rPr>
          <w:i/>
        </w:rPr>
        <w:t>et al</w:t>
      </w:r>
      <w:r>
        <w:rPr/>
        <w:t>., 2008b, Olafadehan, 2011, Durmic and Blache, 2012). Increasing in protein intake had no effect on plasma creatinine concentration but it can be positively related to the turnover of the protein pool in ruminants (Turner </w:t>
      </w:r>
      <w:r>
        <w:rPr>
          <w:i/>
        </w:rPr>
        <w:t>et </w:t>
      </w:r>
      <w:r>
        <w:rPr>
          <w:i/>
        </w:rPr>
        <w:t>al</w:t>
      </w:r>
      <w:r>
        <w:rPr/>
        <w:t>., 2005). Mahgoub </w:t>
      </w:r>
      <w:r>
        <w:rPr>
          <w:i/>
        </w:rPr>
        <w:t>et al</w:t>
      </w:r>
      <w:r>
        <w:rPr/>
        <w:t>. (2011) didn’t observed any changes in this parameter when provided feeds that contained phenols and condensed tannins to sheep, but they observed a decrease in blood urea nitrogen. Thisis associated with  liver  failure. The same author observed a damage functional and structural in gut, liver and kidney of sheep fed non- conventional feeds containing phenols  and  condensed tannins (Mahgoub </w:t>
      </w:r>
      <w:r>
        <w:rPr>
          <w:i/>
        </w:rPr>
        <w:t>et al</w:t>
      </w:r>
      <w:r>
        <w:rPr/>
        <w:t>., 2008a; Mahgoub </w:t>
      </w:r>
      <w:r>
        <w:rPr>
          <w:i/>
        </w:rPr>
        <w:t>et al</w:t>
      </w:r>
      <w:r>
        <w:rPr/>
        <w:t>., </w:t>
      </w:r>
      <w:r>
        <w:rPr>
          <w:spacing w:val="15"/>
        </w:rPr>
        <w:t> </w:t>
      </w:r>
      <w:r>
        <w:rPr/>
        <w:t>2008b).</w:t>
      </w:r>
    </w:p>
    <w:p>
      <w:pPr>
        <w:pStyle w:val="BodyText"/>
        <w:rPr>
          <w:sz w:val="22"/>
        </w:rPr>
      </w:pPr>
    </w:p>
    <w:p>
      <w:pPr>
        <w:pStyle w:val="BodyText"/>
        <w:spacing w:line="364" w:lineRule="auto" w:before="157"/>
        <w:ind w:left="115" w:right="119"/>
        <w:jc w:val="both"/>
      </w:pPr>
      <w:r>
        <w:rPr/>
        <w:t>In our experiment, BUN was not modified with the treatments. It may be reduced slightly in animals given anabolic steroids or fed diets with low protein content but adequate caloric content. Changes in both BUN and creatinine can be associate to renal failure  (Smith, 2007; Mahgoub </w:t>
      </w:r>
      <w:r>
        <w:rPr>
          <w:i/>
        </w:rPr>
        <w:t>et  al</w:t>
      </w:r>
      <w:r>
        <w:rPr/>
        <w:t>., 2008a;  Braun </w:t>
      </w:r>
      <w:r>
        <w:rPr>
          <w:i/>
        </w:rPr>
        <w:t>et  al</w:t>
      </w:r>
      <w:r>
        <w:rPr/>
        <w:t>., 2010).     Although</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19"/>
        <w:jc w:val="both"/>
      </w:pPr>
      <w:r>
        <w:rPr/>
        <w:t>generally BUN tends to be decreased in ruminants fed diets with low  protein  content or with severe liver disease (Mahgoub </w:t>
      </w:r>
      <w:r>
        <w:rPr>
          <w:i/>
        </w:rPr>
        <w:t>et al</w:t>
      </w:r>
      <w:r>
        <w:rPr/>
        <w:t>.,  2008a).</w:t>
      </w:r>
    </w:p>
    <w:p>
      <w:pPr>
        <w:pStyle w:val="BodyText"/>
        <w:rPr>
          <w:sz w:val="22"/>
        </w:rPr>
      </w:pPr>
    </w:p>
    <w:p>
      <w:pPr>
        <w:pStyle w:val="BodyText"/>
        <w:spacing w:line="364" w:lineRule="auto" w:before="155"/>
        <w:ind w:left="115" w:right="117"/>
        <w:jc w:val="both"/>
      </w:pPr>
      <w:r>
        <w:rPr/>
        <w:t>Liver ALT enzyme are used to assess liver damage (Mahgoub </w:t>
      </w:r>
      <w:r>
        <w:rPr>
          <w:i/>
        </w:rPr>
        <w:t>et al</w:t>
      </w:r>
      <w:r>
        <w:rPr/>
        <w:t>., 2008a). In the present study, its levels were in normal range (15-40 u/L) as reported by Ford and Mazzaferro (2007) and Smith (2007).The higher levels of ALT in SB  group  indicating that secondary compound presented in SB caused moderate damage in liver since high values in serum indicate hepatocytein juryandintracellular enzymes output (Ford and Mazzaferro, 2007; Mahgoub </w:t>
      </w:r>
      <w:r>
        <w:rPr>
          <w:i/>
        </w:rPr>
        <w:t>et al</w:t>
      </w:r>
      <w:r>
        <w:rPr/>
        <w:t>., 2008a,b; Olafadehan, 2011).  It’s possible that this negative effect can be caused by the ethanol and methanol in the extract (Lieber,</w:t>
      </w:r>
      <w:r>
        <w:rPr>
          <w:spacing w:val="27"/>
        </w:rPr>
        <w:t> </w:t>
      </w:r>
      <w:r>
        <w:rPr/>
        <w:t>1990).</w:t>
      </w:r>
    </w:p>
    <w:p>
      <w:pPr>
        <w:pStyle w:val="BodyText"/>
        <w:rPr>
          <w:sz w:val="22"/>
        </w:rPr>
      </w:pPr>
    </w:p>
    <w:p>
      <w:pPr>
        <w:pStyle w:val="BodyText"/>
        <w:spacing w:line="364" w:lineRule="auto" w:before="155"/>
        <w:ind w:left="115" w:right="117"/>
        <w:jc w:val="both"/>
      </w:pPr>
      <w:r>
        <w:rPr/>
        <w:t>For mineral as calcium, phosphorus and magnesium, there are a little investigates   in sheep. In our experiment, calcium values were in the normal range (2.3- 2.9mmol/L) for healthy sheep. This electrolyte maintain neuromuscular excitability, permeability of cells membranes, conduction of nerve impulses muscle contraction and blood clotting (Ford and Mazzaferro, 2007; Smith, 2007). Renal excretion, intestinal absorption, mobilization form large bones and  its concentration in  the diet, allregulate its concentration in serum (Ford and Mazzaferro,  2007;  Smith, 2007; Braun </w:t>
      </w:r>
      <w:r>
        <w:rPr>
          <w:i/>
        </w:rPr>
        <w:t>et al</w:t>
      </w:r>
      <w:r>
        <w:rPr/>
        <w:t>., 2010). In the present study, calcium was higher in Control group with no significant differences with SB group. It is a good results as secondary compounds in the extract did not  produced  negative  effects  on  calcium metabolism as occur in the experiment of Olafadehan (2011) who reported a decreased calcium in serum when the goats were fed with </w:t>
      </w:r>
      <w:r>
        <w:rPr>
          <w:i/>
        </w:rPr>
        <w:t>Pterocarpus erinaceus </w:t>
      </w:r>
      <w:r>
        <w:rPr/>
        <w:t>rich in</w:t>
      </w:r>
      <w:r>
        <w:rPr>
          <w:spacing w:val="13"/>
        </w:rPr>
        <w:t> </w:t>
      </w:r>
      <w:r>
        <w:rPr/>
        <w:t>tannins.</w:t>
      </w:r>
    </w:p>
    <w:p>
      <w:pPr>
        <w:pStyle w:val="BodyText"/>
        <w:rPr>
          <w:sz w:val="22"/>
        </w:rPr>
      </w:pPr>
    </w:p>
    <w:p>
      <w:pPr>
        <w:pStyle w:val="BodyText"/>
        <w:spacing w:line="364" w:lineRule="auto" w:before="155"/>
        <w:ind w:left="115" w:right="117"/>
        <w:jc w:val="both"/>
      </w:pPr>
      <w:r>
        <w:rPr/>
        <w:t>In the case of magnesium, its known that its concentration in serum are influenced by food supply (Ford and Mazzaferro, 2007; Smith, 2007). The reported that the normal range is about 0.8 – 1.15 mmol/L. In the present study, its levels in blood were higher compared with the normal range in the treatment EZ but not in the treatments of  Control,  SB  and  SBEZ.  These results are appositive  to results   </w:t>
      </w:r>
      <w:r>
        <w:rPr>
          <w:spacing w:val="36"/>
        </w:rPr>
        <w:t> </w:t>
      </w:r>
      <w:r>
        <w:rPr/>
        <w:t>of</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20"/>
        <w:jc w:val="both"/>
      </w:pPr>
      <w:r>
        <w:rPr/>
        <w:t>Olafadehan (2011), who observed an increase in serum concentration of magnesium in goats fed on </w:t>
      </w:r>
      <w:r>
        <w:rPr>
          <w:i/>
        </w:rPr>
        <w:t>Pterocarpus erinaceus</w:t>
      </w:r>
      <w:r>
        <w:rPr/>
        <w:t>. In our study SB did not  produced a significant increase or decrease in serum magnesium </w:t>
      </w:r>
      <w:r>
        <w:rPr>
          <w:spacing w:val="24"/>
        </w:rPr>
        <w:t> </w:t>
      </w:r>
      <w:r>
        <w:rPr/>
        <w:t>concentration.</w:t>
      </w:r>
    </w:p>
    <w:p>
      <w:pPr>
        <w:pStyle w:val="BodyText"/>
        <w:spacing w:before="5"/>
        <w:ind w:left="115"/>
        <w:jc w:val="both"/>
      </w:pPr>
      <w:r>
        <w:rPr/>
        <w:t>Our results of serum Ca and magnesium content confirm that tannins presents in</w:t>
      </w:r>
    </w:p>
    <w:p>
      <w:pPr>
        <w:pStyle w:val="BodyText"/>
        <w:spacing w:line="364" w:lineRule="auto" w:before="134"/>
        <w:ind w:left="116" w:right="117"/>
        <w:jc w:val="both"/>
      </w:pPr>
      <w:r>
        <w:rPr>
          <w:i/>
        </w:rPr>
        <w:t>S. babylonica </w:t>
      </w:r>
      <w:r>
        <w:rPr/>
        <w:t>extract did not produced any changes in absorption of Ca and magnesium from the gastrointestinal tract with no signs of mineral depletion (Silanikove </w:t>
      </w:r>
      <w:r>
        <w:rPr>
          <w:i/>
        </w:rPr>
        <w:t>et al</w:t>
      </w:r>
      <w:r>
        <w:rPr/>
        <w:t>., 1996; Mahgoub </w:t>
      </w:r>
      <w:r>
        <w:rPr>
          <w:i/>
        </w:rPr>
        <w:t>et al</w:t>
      </w:r>
      <w:r>
        <w:rPr/>
        <w:t>.,  2008b;  Olafadehan,  2011).  The differences between our results and results of other studies fed diets rich in secondary compounds for serum concentration of Ca and Mg maybe due to kind of plant used, concentration of  secondary compound, age of animals, etc (Mahgoub  </w:t>
      </w:r>
      <w:r>
        <w:rPr>
          <w:i/>
        </w:rPr>
        <w:t>et al</w:t>
      </w:r>
      <w:r>
        <w:rPr/>
        <w:t>.,</w:t>
      </w:r>
      <w:r>
        <w:rPr>
          <w:spacing w:val="13"/>
        </w:rPr>
        <w:t> </w:t>
      </w:r>
      <w:r>
        <w:rPr/>
        <w:t>2008b).</w:t>
      </w:r>
    </w:p>
    <w:p>
      <w:pPr>
        <w:pStyle w:val="BodyText"/>
        <w:rPr>
          <w:sz w:val="22"/>
        </w:rPr>
      </w:pPr>
    </w:p>
    <w:p>
      <w:pPr>
        <w:pStyle w:val="BodyText"/>
        <w:spacing w:line="364" w:lineRule="auto" w:before="157"/>
        <w:ind w:left="116" w:right="118"/>
        <w:jc w:val="both"/>
      </w:pPr>
      <w:r>
        <w:rPr/>
        <w:t>The time produced significant differences in all measured parameters for all treatments; but there are no studies in which the time had been consider. It’s possible that these differences can be associated with the time of adaptation required for ruminant microorganism and cells for detoxifying, metabolizing and  using the diet compounds and drugs (Durmic and Blache, </w:t>
      </w:r>
      <w:r>
        <w:rPr>
          <w:spacing w:val="11"/>
        </w:rPr>
        <w:t> </w:t>
      </w:r>
      <w:r>
        <w:rPr/>
        <w:t>2012).</w:t>
      </w:r>
    </w:p>
    <w:p>
      <w:pPr>
        <w:pStyle w:val="BodyText"/>
        <w:rPr>
          <w:sz w:val="22"/>
        </w:rPr>
      </w:pPr>
    </w:p>
    <w:p>
      <w:pPr>
        <w:pStyle w:val="BodyText"/>
        <w:spacing w:line="364" w:lineRule="auto" w:before="155"/>
        <w:ind w:left="116" w:right="119"/>
        <w:jc w:val="both"/>
      </w:pPr>
      <w:r>
        <w:rPr/>
        <w:t>There were interaction between time and treatment for creatinine, BUN and magnesium.These differences indicated that treatments can cause a  damaged renal if used for long time. Damage of kidney would most likely lead to renal failure and to changes in serum urea and creatinine  and  minerals  concentration(Silanikove </w:t>
      </w:r>
      <w:r>
        <w:rPr>
          <w:i/>
        </w:rPr>
        <w:t>et al</w:t>
      </w:r>
      <w:r>
        <w:rPr/>
        <w:t>., 1996; Olafadehan,</w:t>
      </w:r>
      <w:r>
        <w:rPr>
          <w:spacing w:val="59"/>
        </w:rPr>
        <w:t> </w:t>
      </w:r>
      <w:r>
        <w:rPr/>
        <w:t>2011).</w:t>
      </w:r>
    </w:p>
    <w:p>
      <w:pPr>
        <w:pStyle w:val="BodyText"/>
        <w:rPr>
          <w:sz w:val="22"/>
        </w:rPr>
      </w:pPr>
    </w:p>
    <w:p>
      <w:pPr>
        <w:pStyle w:val="Heading1"/>
        <w:spacing w:before="153"/>
        <w:ind w:left="116"/>
      </w:pPr>
      <w:r>
        <w:rPr/>
        <w:t>Conclusions</w:t>
      </w:r>
    </w:p>
    <w:p>
      <w:pPr>
        <w:pStyle w:val="BodyText"/>
        <w:rPr>
          <w:b/>
          <w:sz w:val="22"/>
        </w:rPr>
      </w:pPr>
    </w:p>
    <w:p>
      <w:pPr>
        <w:pStyle w:val="BodyText"/>
        <w:spacing w:before="3"/>
        <w:rPr>
          <w:b/>
          <w:sz w:val="25"/>
        </w:rPr>
      </w:pPr>
    </w:p>
    <w:p>
      <w:pPr>
        <w:pStyle w:val="BodyText"/>
        <w:spacing w:line="364" w:lineRule="auto" w:before="1"/>
        <w:ind w:left="116" w:right="116"/>
        <w:jc w:val="both"/>
      </w:pPr>
      <w:r>
        <w:rPr/>
        <w:t>The absence of clinical signs of ill health,  toxicity  symptoms  suggest  that secondary compounds presented in </w:t>
      </w:r>
      <w:r>
        <w:rPr>
          <w:i/>
        </w:rPr>
        <w:t>Salix babylonica </w:t>
      </w:r>
      <w:r>
        <w:rPr/>
        <w:t>extract were well tolerated by the sheep. The results indicated than exogenous enzyme had no negative effects  on serum parameters. Although, </w:t>
      </w:r>
      <w:r>
        <w:rPr>
          <w:i/>
        </w:rPr>
        <w:t>Salix babylonica </w:t>
      </w:r>
      <w:r>
        <w:rPr/>
        <w:t>extract  produced  some  significant</w:t>
      </w:r>
      <w:r>
        <w:rPr>
          <w:spacing w:val="40"/>
        </w:rPr>
        <w:t> </w:t>
      </w:r>
      <w:r>
        <w:rPr/>
        <w:t>negative</w:t>
      </w:r>
      <w:r>
        <w:rPr>
          <w:spacing w:val="37"/>
        </w:rPr>
        <w:t> </w:t>
      </w:r>
      <w:r>
        <w:rPr/>
        <w:t>effects,</w:t>
      </w:r>
      <w:r>
        <w:rPr>
          <w:spacing w:val="40"/>
        </w:rPr>
        <w:t> </w:t>
      </w:r>
      <w:r>
        <w:rPr/>
        <w:t>the</w:t>
      </w:r>
      <w:r>
        <w:rPr>
          <w:spacing w:val="39"/>
        </w:rPr>
        <w:t> </w:t>
      </w:r>
      <w:r>
        <w:rPr/>
        <w:t>parameters</w:t>
      </w:r>
      <w:r>
        <w:rPr>
          <w:spacing w:val="41"/>
        </w:rPr>
        <w:t> </w:t>
      </w:r>
      <w:r>
        <w:rPr/>
        <w:t>in</w:t>
      </w:r>
      <w:r>
        <w:rPr>
          <w:spacing w:val="42"/>
        </w:rPr>
        <w:t> </w:t>
      </w:r>
      <w:r>
        <w:rPr/>
        <w:t>which</w:t>
      </w:r>
      <w:r>
        <w:rPr>
          <w:spacing w:val="39"/>
        </w:rPr>
        <w:t> </w:t>
      </w:r>
      <w:r>
        <w:rPr/>
        <w:t>significantly</w:t>
      </w:r>
      <w:r>
        <w:rPr>
          <w:spacing w:val="38"/>
        </w:rPr>
        <w:t> </w:t>
      </w:r>
      <w:r>
        <w:rPr/>
        <w:t>differed</w:t>
      </w:r>
      <w:r>
        <w:rPr>
          <w:spacing w:val="42"/>
        </w:rPr>
        <w:t> </w:t>
      </w:r>
      <w:r>
        <w:rPr/>
        <w:t>were</w:t>
      </w:r>
      <w:r>
        <w:rPr>
          <w:spacing w:val="39"/>
        </w:rPr>
        <w:t> </w:t>
      </w:r>
      <w:r>
        <w:rPr/>
        <w:t>in</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5"/>
        <w:rPr>
          <w:sz w:val="16"/>
        </w:rPr>
      </w:pPr>
    </w:p>
    <w:p>
      <w:pPr>
        <w:pStyle w:val="BodyText"/>
        <w:spacing w:line="367" w:lineRule="auto" w:before="74"/>
        <w:ind w:left="115" w:right="118"/>
        <w:jc w:val="both"/>
      </w:pPr>
      <w:r>
        <w:rPr/>
        <w:t>normal range. It was thus concluded that  the  supplementation  with  </w:t>
      </w:r>
      <w:r>
        <w:rPr>
          <w:i/>
        </w:rPr>
        <w:t>Salix </w:t>
      </w:r>
      <w:r>
        <w:rPr>
          <w:i/>
        </w:rPr>
        <w:t>babylonica </w:t>
      </w:r>
      <w:r>
        <w:rPr/>
        <w:t>extract, exogenous enzymes and their mix did not cause any major health disorders when these fed for more than 60 days in lambs under the hot environment of</w:t>
      </w:r>
      <w:r>
        <w:rPr>
          <w:spacing w:val="26"/>
        </w:rPr>
        <w:t> </w:t>
      </w:r>
      <w:r>
        <w:rPr/>
        <w:t>Mexico.</w:t>
      </w:r>
    </w:p>
    <w:p>
      <w:pPr>
        <w:pStyle w:val="BodyText"/>
        <w:rPr>
          <w:sz w:val="22"/>
        </w:rPr>
      </w:pPr>
    </w:p>
    <w:p>
      <w:pPr>
        <w:pStyle w:val="Heading1"/>
        <w:spacing w:before="150"/>
        <w:ind w:right="224"/>
        <w:jc w:val="left"/>
      </w:pPr>
      <w:r>
        <w:rPr/>
        <w:t>Acknowledgment</w:t>
      </w:r>
    </w:p>
    <w:p>
      <w:pPr>
        <w:pStyle w:val="BodyText"/>
        <w:rPr>
          <w:b/>
          <w:sz w:val="22"/>
        </w:rPr>
      </w:pPr>
    </w:p>
    <w:p>
      <w:pPr>
        <w:pStyle w:val="BodyText"/>
        <w:spacing w:before="3"/>
        <w:rPr>
          <w:b/>
          <w:sz w:val="25"/>
        </w:rPr>
      </w:pPr>
    </w:p>
    <w:p>
      <w:pPr>
        <w:pStyle w:val="BodyText"/>
        <w:spacing w:line="364" w:lineRule="auto" w:before="1"/>
        <w:ind w:left="115" w:right="119"/>
        <w:jc w:val="both"/>
      </w:pPr>
      <w:r>
        <w:rPr/>
        <w:t>The authors acknowledge the financial support from the IAEA, Vienna, Austria. Research Contract number MEX16307 within the D3.10.27 Coordinated Research Project. First author wish also to thank the National Council for Science and Technology (CONACYT, Mexico) for the scholarship for her PhD of Science from  the Universidad Autónoma del Estado de</w:t>
      </w:r>
      <w:r>
        <w:rPr>
          <w:spacing w:val="55"/>
        </w:rPr>
        <w:t> </w:t>
      </w:r>
      <w:r>
        <w:rPr/>
        <w:t>México.</w:t>
      </w:r>
    </w:p>
    <w:p>
      <w:pPr>
        <w:pStyle w:val="BodyText"/>
        <w:rPr>
          <w:sz w:val="22"/>
        </w:rPr>
      </w:pPr>
    </w:p>
    <w:p>
      <w:pPr>
        <w:pStyle w:val="Heading1"/>
        <w:spacing w:before="153"/>
        <w:ind w:right="224"/>
        <w:jc w:val="left"/>
      </w:pPr>
      <w:r>
        <w:rPr/>
        <w:t>References</w:t>
      </w:r>
    </w:p>
    <w:p>
      <w:pPr>
        <w:pStyle w:val="BodyText"/>
        <w:rPr>
          <w:b/>
          <w:sz w:val="22"/>
        </w:rPr>
      </w:pPr>
    </w:p>
    <w:p>
      <w:pPr>
        <w:pStyle w:val="BodyText"/>
        <w:spacing w:before="3"/>
        <w:rPr>
          <w:b/>
          <w:sz w:val="25"/>
        </w:rPr>
      </w:pPr>
    </w:p>
    <w:p>
      <w:pPr>
        <w:pStyle w:val="BodyText"/>
        <w:spacing w:line="364" w:lineRule="auto" w:before="1"/>
        <w:ind w:left="804" w:right="122" w:hanging="689"/>
        <w:jc w:val="both"/>
      </w:pPr>
      <w:r>
        <w:rPr/>
        <w:t>Acamovic, T., Brooker, J.D., 2005.Biochemistry of plant secondary metabolites and their effects in animals. Proceedings of the Nutrition Society 64:  403-412.</w:t>
      </w:r>
    </w:p>
    <w:p>
      <w:pPr>
        <w:pStyle w:val="BodyText"/>
        <w:spacing w:line="364" w:lineRule="auto" w:before="7"/>
        <w:ind w:left="804" w:right="120" w:hanging="689"/>
        <w:jc w:val="both"/>
      </w:pPr>
      <w:r>
        <w:rPr/>
        <w:t>Ahmed, V.U., perveen, S., Bano, S., 1990. Saponin from the leaves of Guaiacum officinale. Phytochemistry 29: 3287-3290.</w:t>
      </w:r>
    </w:p>
    <w:p>
      <w:pPr>
        <w:pStyle w:val="BodyText"/>
        <w:spacing w:line="364" w:lineRule="auto" w:before="5"/>
        <w:ind w:left="804" w:right="120" w:hanging="689"/>
        <w:jc w:val="both"/>
      </w:pPr>
      <w:r>
        <w:rPr/>
        <w:t>Allam, S.M., El-Shaer, H.M., Yuossef, K.M., Ali, M.A., Bakr, S.Y.A., 2009.Impact of feeding biologically treated wheat straw on the production performance of goats in North Sinai. World Journal of Agricultural Sciences 5:  535-543.</w:t>
      </w:r>
    </w:p>
    <w:p>
      <w:pPr>
        <w:pStyle w:val="BodyText"/>
        <w:spacing w:before="2"/>
        <w:ind w:left="115" w:right="224"/>
      </w:pPr>
      <w:r>
        <w:rPr/>
        <w:t>AOAC., 1997.Official Methods of Analysis</w:t>
      </w:r>
      <w:r>
        <w:rPr>
          <w:i/>
        </w:rPr>
        <w:t>, </w:t>
      </w:r>
      <w:r>
        <w:rPr/>
        <w:t>Arlington, VA,  USA.</w:t>
      </w:r>
    </w:p>
    <w:p>
      <w:pPr>
        <w:pStyle w:val="BodyText"/>
        <w:spacing w:line="364" w:lineRule="auto" w:before="141"/>
        <w:ind w:left="804" w:right="119" w:hanging="689"/>
        <w:jc w:val="both"/>
      </w:pPr>
      <w:r>
        <w:rPr/>
        <w:t>Arriola, K.G., Kim, S.C., Staples, C.R., Adesogan, A.T., 2011.Effect of fibrolytic enzyme  application to low- and high-concentrate diets on the performance   of lactating dairy cattle. J. Dairy Sci. 94:</w:t>
      </w:r>
      <w:r>
        <w:rPr>
          <w:spacing w:val="49"/>
        </w:rPr>
        <w:t> </w:t>
      </w:r>
      <w:r>
        <w:rPr/>
        <w:t>832-841.</w:t>
      </w:r>
    </w:p>
    <w:p>
      <w:pPr>
        <w:pStyle w:val="BodyText"/>
        <w:spacing w:line="367" w:lineRule="auto" w:before="2"/>
        <w:ind w:left="804" w:right="117" w:hanging="689"/>
        <w:jc w:val="both"/>
      </w:pPr>
      <w:r>
        <w:rPr/>
        <w:t>Bedford, M.R., Cowieson, A.J., 2012. Exogenous enzymes and their effects on intestinal microbiology. Animal Feed Science and Technology 173:  76-85.</w:t>
      </w:r>
    </w:p>
    <w:p>
      <w:pPr>
        <w:pStyle w:val="BodyText"/>
        <w:spacing w:line="364" w:lineRule="auto"/>
        <w:ind w:left="804" w:right="118" w:hanging="689"/>
        <w:jc w:val="both"/>
      </w:pPr>
      <w:r>
        <w:rPr/>
        <w:t>Braun, J.P., Trumel, C., Bezille, P., 2010. Clinical biochemistry in  sheep:  A  selected review. Small Ruminant Research 92:</w:t>
      </w:r>
      <w:r>
        <w:rPr>
          <w:spacing w:val="59"/>
        </w:rPr>
        <w:t> </w:t>
      </w:r>
      <w:r>
        <w:rPr/>
        <w:t>10-18.</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804" w:right="122" w:hanging="689"/>
        <w:jc w:val="both"/>
      </w:pPr>
      <w:r>
        <w:rPr/>
        <w:t>Cowan, M.M., 1999. Plant products as antimicrobial agents.Clin.Microbiol.Rev. 12: 564-582.</w:t>
      </w:r>
    </w:p>
    <w:p>
      <w:pPr>
        <w:pStyle w:val="BodyText"/>
        <w:spacing w:line="364" w:lineRule="auto" w:before="5"/>
        <w:ind w:left="804" w:right="120" w:hanging="689"/>
        <w:jc w:val="both"/>
      </w:pPr>
      <w:r>
        <w:rPr/>
        <w:t>Durmic, Z., Blache, D., 2012. Bioactive plants and plant products:  Effects  on  animal function, health and welfare. Animal Feed Science and Technology 176:</w:t>
      </w:r>
      <w:r>
        <w:rPr>
          <w:spacing w:val="15"/>
        </w:rPr>
        <w:t> </w:t>
      </w:r>
      <w:r>
        <w:rPr/>
        <w:t>150-162.</w:t>
      </w:r>
    </w:p>
    <w:p>
      <w:pPr>
        <w:pStyle w:val="BodyText"/>
        <w:spacing w:line="364" w:lineRule="auto" w:before="7"/>
        <w:ind w:left="804" w:right="116" w:hanging="689"/>
        <w:jc w:val="both"/>
      </w:pPr>
      <w:r>
        <w:rPr/>
        <w:t>Ford, R.B., Mazzaferro, E.M., 2007. Urgencias en veterinaria: Procedimientos y terapeutica,Madrid Elsevier.</w:t>
      </w:r>
    </w:p>
    <w:p>
      <w:pPr>
        <w:pStyle w:val="BodyText"/>
        <w:spacing w:line="364" w:lineRule="auto" w:before="7"/>
        <w:ind w:left="804" w:right="120" w:hanging="689"/>
        <w:jc w:val="both"/>
      </w:pPr>
      <w:r>
        <w:rPr/>
        <w:t>Gado, H.M., Salem, A.Z.M., Odongo, N.E., Borhami, B.E., 2011. Influence of exogenous enzymes ensiled with orange pulp on digestion and growth performance in lambs. Anim. Feed Sci. Tech. 165:</w:t>
      </w:r>
      <w:r>
        <w:rPr>
          <w:spacing w:val="62"/>
        </w:rPr>
        <w:t> </w:t>
      </w:r>
      <w:r>
        <w:rPr/>
        <w:t>131-136.</w:t>
      </w:r>
    </w:p>
    <w:p>
      <w:pPr>
        <w:pStyle w:val="BodyText"/>
        <w:spacing w:line="364" w:lineRule="auto" w:before="5"/>
        <w:ind w:left="804" w:right="120" w:hanging="689"/>
        <w:jc w:val="both"/>
      </w:pPr>
      <w:r>
        <w:rPr/>
        <w:t>Imik, H., Tuncer, S.D., Aylanc, A., Aytac, M., 2008. Determination of some digestibility of nutrients, rumen and blood  metabolites of Akkaraman rams  fed low-tannin sorghum and other conventional feeds. Vet. J. Ankara Univ. 55:</w:t>
      </w:r>
      <w:r>
        <w:rPr>
          <w:spacing w:val="14"/>
        </w:rPr>
        <w:t> </w:t>
      </w:r>
      <w:r>
        <w:rPr/>
        <w:t>177-182.</w:t>
      </w:r>
    </w:p>
    <w:p>
      <w:pPr>
        <w:pStyle w:val="BodyText"/>
        <w:spacing w:line="364" w:lineRule="auto" w:before="2"/>
        <w:ind w:left="804" w:right="118" w:hanging="689"/>
        <w:jc w:val="both"/>
      </w:pPr>
      <w:r>
        <w:rPr/>
        <w:t>Kumar, N.U., Singh, B., Verma D.N., 1980.Effect </w:t>
      </w:r>
      <w:r>
        <w:rPr>
          <w:spacing w:val="-3"/>
        </w:rPr>
        <w:t>of </w:t>
      </w:r>
      <w:r>
        <w:rPr/>
        <w:t>different levels of  dietary  protein and energy on growth of male buffalo calves. Ind. J. Anim. Sci. 51: 513.</w:t>
      </w:r>
    </w:p>
    <w:p>
      <w:pPr>
        <w:pStyle w:val="BodyText"/>
        <w:spacing w:line="364" w:lineRule="auto" w:before="7"/>
        <w:ind w:left="804" w:right="120" w:hanging="689"/>
        <w:jc w:val="both"/>
      </w:pPr>
      <w:r>
        <w:rPr/>
        <w:t>Lieber, C.S., 1990. Mechanism of ethanol induced hepatic injury. Pharmacology &amp; Therapeutics 46: 1-41.</w:t>
      </w:r>
    </w:p>
    <w:p>
      <w:pPr>
        <w:pStyle w:val="BodyText"/>
        <w:spacing w:line="364" w:lineRule="auto" w:before="5"/>
        <w:ind w:left="804" w:right="119" w:hanging="689"/>
        <w:jc w:val="both"/>
      </w:pPr>
      <w:r>
        <w:rPr/>
        <w:t>Littell, R.C., Henry, P.R., Ammerman, C.B., 1998. Statistical analysis of repeated measures data using SAS procedures. J. Anim. Sci. 76:  1216-1231.</w:t>
      </w:r>
    </w:p>
    <w:p>
      <w:pPr>
        <w:pStyle w:val="BodyText"/>
        <w:spacing w:line="364" w:lineRule="auto" w:before="5"/>
        <w:ind w:left="804" w:right="121" w:hanging="689"/>
        <w:jc w:val="both"/>
      </w:pPr>
      <w:r>
        <w:rPr/>
        <w:t>Lu, C.D., 2011. Nutritionally related strategies for organic goat production. Small Ruminant Research 98: 73-82.</w:t>
      </w:r>
    </w:p>
    <w:p>
      <w:pPr>
        <w:pStyle w:val="BodyText"/>
        <w:spacing w:line="364" w:lineRule="auto" w:before="5"/>
        <w:ind w:left="804" w:right="120" w:hanging="689"/>
        <w:jc w:val="both"/>
      </w:pPr>
      <w:r>
        <w:rPr/>
        <w:t>Mahgoub, O., KadimI, T., Tageldin, M.H., Al-Marzooqi, W.S., Khalaf, S.Q., Amnbu Ali, A., 2008a. Clinical Profile of sheep fed non- conventional feeds  containing phenols and condensed tannins. Small Ruminant Res. 78: 115- 122.</w:t>
      </w:r>
    </w:p>
    <w:p>
      <w:pPr>
        <w:pStyle w:val="BodyText"/>
        <w:spacing w:line="364" w:lineRule="auto" w:before="7"/>
        <w:ind w:left="804" w:right="118" w:hanging="689"/>
        <w:jc w:val="both"/>
      </w:pPr>
      <w:r>
        <w:rPr/>
        <w:t>Mahgoub, O., KadimI, T., Tageldin, M. H., AL - Marzooqi, W.S.,  Khalaf,  S.Q., Amnbu ALI, A., AL-AMRI, I., 2008b. Pathological features in sheep fed  rations containing phenols and condensed tannins. J Anim Vet Adv. 7:  </w:t>
      </w:r>
      <w:r>
        <w:rPr>
          <w:spacing w:val="37"/>
        </w:rPr>
        <w:t> </w:t>
      </w:r>
      <w:r>
        <w:rPr/>
        <w:t>1105</w:t>
      </w:r>
    </w:p>
    <w:p>
      <w:pPr>
        <w:pStyle w:val="BodyText"/>
        <w:spacing w:before="7"/>
        <w:ind w:left="804" w:right="224"/>
      </w:pPr>
      <w:r>
        <w:rPr/>
        <w:t>- 1109.</w:t>
      </w:r>
    </w:p>
    <w:p>
      <w:pPr>
        <w:spacing w:after="0"/>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804" w:right="119" w:hanging="689"/>
        <w:jc w:val="both"/>
      </w:pPr>
      <w:r>
        <w:rPr/>
        <w:t>Makkar, H.P.S., 2003.  Effects and fate of tannins in ruminant animals, adaptation   to tannins, and strategies to overcome detrimental effects of feeding tannin- rich feeds. Small Ruminant Research 49:</w:t>
      </w:r>
      <w:r>
        <w:rPr>
          <w:spacing w:val="57"/>
        </w:rPr>
        <w:t> </w:t>
      </w:r>
      <w:r>
        <w:rPr/>
        <w:t>241-256.</w:t>
      </w:r>
    </w:p>
    <w:p>
      <w:pPr>
        <w:pStyle w:val="BodyText"/>
        <w:spacing w:line="364" w:lineRule="auto" w:before="5"/>
        <w:ind w:left="804" w:right="117" w:hanging="689"/>
        <w:jc w:val="both"/>
      </w:pPr>
      <w:r>
        <w:rPr/>
        <w:t>National Research Council, 2007. Nutrient Requirements of Small Ruminants: Sheep, Goats, Cervids, and New World Camelids, National Academies  Press.</w:t>
      </w:r>
    </w:p>
    <w:p>
      <w:pPr>
        <w:pStyle w:val="BodyText"/>
        <w:spacing w:line="364" w:lineRule="auto" w:before="2"/>
        <w:ind w:left="804" w:right="118" w:hanging="689"/>
        <w:jc w:val="both"/>
      </w:pPr>
      <w:r>
        <w:rPr/>
        <w:t>Olafadehan, O.A., 2011. Changes in haematological and biochemical diagnostic parameters of Red Sokoto goats fed tannin-rich </w:t>
      </w:r>
      <w:r>
        <w:rPr>
          <w:i/>
        </w:rPr>
        <w:t>Pterocarpus erinaceus  </w:t>
      </w:r>
      <w:r>
        <w:rPr/>
        <w:t>forage diets. Veterinarski Arhiv. 81:</w:t>
      </w:r>
      <w:r>
        <w:rPr>
          <w:spacing w:val="44"/>
        </w:rPr>
        <w:t> </w:t>
      </w:r>
      <w:r>
        <w:rPr/>
        <w:t>471-483.</w:t>
      </w:r>
    </w:p>
    <w:p>
      <w:pPr>
        <w:pStyle w:val="BodyText"/>
        <w:spacing w:line="364" w:lineRule="auto" w:before="5"/>
        <w:ind w:left="804" w:right="117" w:hanging="689"/>
        <w:jc w:val="both"/>
      </w:pPr>
      <w:r>
        <w:rPr/>
        <w:t>Ramirez-Restrepo, C.A., Barry, T.N., Marriner, A., Lopez-Villalobos, N., Mcwilliam, E.L., Lassey, K.R., Clark, H., 2010a. Effects of grazing willow fodder blocks upon methane production and blood composition in young sheep. Animal Feed Science and Technology 155:</w:t>
      </w:r>
      <w:r>
        <w:rPr>
          <w:spacing w:val="52"/>
        </w:rPr>
        <w:t> </w:t>
      </w:r>
      <w:r>
        <w:rPr/>
        <w:t>33-43.</w:t>
      </w:r>
    </w:p>
    <w:p>
      <w:pPr>
        <w:pStyle w:val="BodyText"/>
        <w:spacing w:line="364" w:lineRule="auto" w:before="5"/>
        <w:ind w:left="804" w:right="119" w:hanging="689"/>
        <w:jc w:val="both"/>
      </w:pPr>
      <w:r>
        <w:rPr/>
        <w:t>Ramirez-Restrepo, C.A., Pernthaner, A., Barry, T.N., Lopez-Villalobos, N., Shaw, R.J., Pomroy, W.E., Hein, W.R., 2010b. Characterization of immune responses against gastrointestinal nematodes in weaned lambs grazing  willow fodder blocks. Animal Feed Science and Technology 155: </w:t>
      </w:r>
      <w:r>
        <w:rPr>
          <w:spacing w:val="15"/>
        </w:rPr>
        <w:t> </w:t>
      </w:r>
      <w:r>
        <w:rPr/>
        <w:t>99-110.</w:t>
      </w:r>
    </w:p>
    <w:p>
      <w:pPr>
        <w:pStyle w:val="BodyText"/>
        <w:spacing w:line="364" w:lineRule="auto" w:before="7"/>
        <w:ind w:left="804" w:right="117" w:hanging="689"/>
        <w:jc w:val="both"/>
      </w:pPr>
      <w:r>
        <w:rPr/>
        <w:t>Rowlands, G.J., 1980. A review of variations in the concentrations of metabolites in the blood of beef and dairy cattle associated with physiology, nutrition and disease, with particular reference to the interpretation of metabolic profiles. World Review of Nutrition and Dietetics 35:</w:t>
      </w:r>
      <w:r>
        <w:rPr>
          <w:spacing w:val="58"/>
        </w:rPr>
        <w:t> </w:t>
      </w:r>
      <w:r>
        <w:rPr/>
        <w:t>172-235.</w:t>
      </w:r>
    </w:p>
    <w:p>
      <w:pPr>
        <w:pStyle w:val="BodyText"/>
        <w:spacing w:line="364" w:lineRule="auto" w:before="5"/>
        <w:ind w:left="804" w:right="117" w:hanging="689"/>
        <w:jc w:val="both"/>
      </w:pPr>
      <w:r>
        <w:rPr/>
        <w:t>Salem, A.Z.M., El-Adawy, M., Gado, H., Camacho, L.M., Ronquillo, M., Alsersy, H. Borhami, B., 2011a.Effects of exogenous enzymes on nutrients digestibility and growth  performance in sheep and goats.Trop.  Subtrop. Agroecosyst.  14: 867-</w:t>
      </w:r>
      <w:r>
        <w:rPr>
          <w:spacing w:val="15"/>
        </w:rPr>
        <w:t> </w:t>
      </w:r>
      <w:r>
        <w:rPr/>
        <w:t>874.</w:t>
      </w:r>
    </w:p>
    <w:p>
      <w:pPr>
        <w:pStyle w:val="BodyText"/>
        <w:spacing w:line="364" w:lineRule="auto" w:before="7"/>
        <w:ind w:left="804" w:right="120" w:hanging="689"/>
        <w:jc w:val="both"/>
      </w:pPr>
      <w:r>
        <w:rPr/>
        <w:t>Salem, A.Z.M., Olivares, M., Lopez, S., Gonzalez-Ronquillo,  M.,  R.  Rojo, Camacho, L.M., Cerrillo, S.M.A.,Mejia, H.P., 2011b. Effect  of  natural  extracts of </w:t>
      </w:r>
      <w:r>
        <w:rPr>
          <w:i/>
        </w:rPr>
        <w:t>Salix babylonica </w:t>
      </w:r>
      <w:r>
        <w:rPr/>
        <w:t>and </w:t>
      </w:r>
      <w:r>
        <w:rPr>
          <w:i/>
        </w:rPr>
        <w:t>Leucaena leucocephala </w:t>
      </w:r>
      <w:r>
        <w:rPr/>
        <w:t>on nutrient digestibility and growth performance of lambs. Anim Feed Sci Tech. 170: 27- 34.</w:t>
      </w:r>
    </w:p>
    <w:p>
      <w:pPr>
        <w:spacing w:after="0" w:line="364" w:lineRule="auto"/>
        <w:jc w:val="both"/>
        <w:sectPr>
          <w:footerReference w:type="default" r:id="rId213"/>
          <w:pgSz w:w="11900" w:h="16840"/>
          <w:pgMar w:footer="1679" w:header="0" w:top="1600" w:bottom="1860" w:left="1540" w:right="1520"/>
          <w:pgNumType w:start="80"/>
        </w:sectPr>
      </w:pPr>
    </w:p>
    <w:p>
      <w:pPr>
        <w:pStyle w:val="BodyText"/>
        <w:rPr>
          <w:sz w:val="20"/>
        </w:rPr>
      </w:pPr>
    </w:p>
    <w:p>
      <w:pPr>
        <w:pStyle w:val="BodyText"/>
        <w:spacing w:before="7"/>
        <w:rPr>
          <w:sz w:val="16"/>
        </w:rPr>
      </w:pPr>
    </w:p>
    <w:p>
      <w:pPr>
        <w:pStyle w:val="BodyText"/>
        <w:spacing w:line="364" w:lineRule="auto" w:before="74"/>
        <w:ind w:left="804" w:right="120" w:hanging="689"/>
        <w:jc w:val="both"/>
      </w:pPr>
      <w:r>
        <w:rPr/>
        <w:t>SAS, (2002) SAS User´s Guide: Statistics. Ver 9.0. In Institute, S. (Ed.). Cary, N.C. USA.</w:t>
      </w:r>
    </w:p>
    <w:p>
      <w:pPr>
        <w:pStyle w:val="BodyText"/>
        <w:spacing w:line="364" w:lineRule="auto" w:before="5"/>
        <w:ind w:left="804" w:right="119" w:hanging="689"/>
        <w:jc w:val="both"/>
      </w:pPr>
      <w:r>
        <w:rPr/>
        <w:t>Silanikove, N., Gilboa, N., Perevolotsky, A., Nitsan, Z., 1996. Goats fed tannin- containing leaves do not exhibit toxic syndromes. Small Ruminant Research 21: 195-201.</w:t>
      </w:r>
    </w:p>
    <w:p>
      <w:pPr>
        <w:pStyle w:val="BodyText"/>
        <w:spacing w:line="364" w:lineRule="auto" w:before="7"/>
        <w:ind w:left="804" w:right="117" w:hanging="689"/>
        <w:jc w:val="both"/>
      </w:pPr>
      <w:r>
        <w:rPr/>
        <w:t>Smith, B.P., 2007. Large Animal Internal Medicine, Elsevier Science  Health  Science</w:t>
      </w:r>
      <w:r>
        <w:rPr>
          <w:spacing w:val="20"/>
        </w:rPr>
        <w:t> </w:t>
      </w:r>
      <w:r>
        <w:rPr/>
        <w:t>Division.</w:t>
      </w:r>
    </w:p>
    <w:p>
      <w:pPr>
        <w:pStyle w:val="BodyText"/>
        <w:spacing w:line="364" w:lineRule="auto" w:before="7"/>
        <w:ind w:left="804" w:right="117" w:hanging="689"/>
        <w:jc w:val="both"/>
      </w:pPr>
      <w:r>
        <w:rPr/>
        <w:t>Turner, K. E., Wildeus, S., Collins, J. R., 2005. Intake, performance, and blood parameters in young goats offered high forage diets of lespedeza or alfalfa hay. Small Ruminant Research 59: 15-23.</w:t>
      </w:r>
    </w:p>
    <w:p>
      <w:pPr>
        <w:pStyle w:val="BodyText"/>
        <w:spacing w:line="364" w:lineRule="auto" w:before="5"/>
        <w:ind w:left="804" w:right="120" w:hanging="689"/>
        <w:jc w:val="both"/>
      </w:pPr>
      <w:r>
        <w:rPr/>
        <w:t>Valizadeh, R., Norouzian, M.A., Salemi, M., Ghiasi, E., Yari, M., 2010.Effects of Feeding Pistachio By-Products on Hematology and Performance of Balouchi Lambs. Journal of Animal and Veterinary Advances 9:  1115-1119.</w:t>
      </w:r>
    </w:p>
    <w:p>
      <w:pPr>
        <w:pStyle w:val="BodyText"/>
        <w:spacing w:line="364" w:lineRule="auto" w:before="5"/>
        <w:ind w:left="804" w:right="120" w:hanging="689"/>
        <w:jc w:val="both"/>
      </w:pPr>
      <w:r>
        <w:rPr/>
        <w:t>Van Soest, P.J., Robertson, J.B., Lewis, B.A., 1991. Methods for dietary  fiber, neutral detergent fiber, and nonstarch polysaccharides in relation to animal nutrition. Journal of Dairy Science 74:</w:t>
      </w:r>
      <w:r>
        <w:rPr>
          <w:spacing w:val="53"/>
        </w:rPr>
        <w:t> </w:t>
      </w:r>
      <w:r>
        <w:rPr/>
        <w:t>3583-3597.</w:t>
      </w:r>
    </w:p>
    <w:p>
      <w:pPr>
        <w:pStyle w:val="BodyText"/>
        <w:spacing w:line="364" w:lineRule="auto" w:before="2"/>
        <w:ind w:left="804" w:right="118" w:hanging="689"/>
        <w:jc w:val="both"/>
      </w:pPr>
      <w:r>
        <w:rPr/>
        <w:t>Vasta, V., Luciano, G., 2011.The effects of dietary consumption  of  plants  secondary compounds on small ruminant’s products quality. Small Ruminant Research 101:</w:t>
      </w:r>
      <w:r>
        <w:rPr>
          <w:spacing w:val="26"/>
        </w:rPr>
        <w:t> </w:t>
      </w:r>
      <w:r>
        <w:rPr/>
        <w:t>150-159.</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5"/>
        <w:rPr>
          <w:sz w:val="16"/>
        </w:rPr>
      </w:pPr>
    </w:p>
    <w:p>
      <w:pPr>
        <w:pStyle w:val="BodyText"/>
        <w:spacing w:line="280" w:lineRule="auto" w:before="74"/>
        <w:ind w:left="116" w:right="224"/>
      </w:pPr>
      <w:r>
        <w:rPr>
          <w:b/>
        </w:rPr>
        <w:t>Table 1. </w:t>
      </w:r>
      <w:r>
        <w:rPr/>
        <w:t>Chemical composition of the basal diet (commercial concentrate and corn silage) and levels of secondary metabolites (g/kg DM) in the </w:t>
      </w:r>
      <w:r>
        <w:rPr>
          <w:i/>
        </w:rPr>
        <w:t>S. babylonica  </w:t>
      </w:r>
      <w:r>
        <w:rPr/>
        <w:t>extract.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5"/>
        </w:rPr>
      </w:pPr>
    </w:p>
    <w:p>
      <w:pPr>
        <w:spacing w:line="280" w:lineRule="auto" w:before="86"/>
        <w:ind w:left="116" w:right="128" w:firstLine="0"/>
        <w:jc w:val="left"/>
        <w:rPr>
          <w:rFonts w:ascii="Times New Roman"/>
          <w:sz w:val="21"/>
        </w:rPr>
      </w:pPr>
      <w:r>
        <w:rPr/>
        <w:pict>
          <v:shape style="position:absolute;margin-left:88.799995pt;margin-top:-487.432098pt;width:418.1pt;height:493.45pt;mso-position-horizontal-relative:page;mso-position-vertical-relative:paragraph;z-index:383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20"/>
                    <w:gridCol w:w="1485"/>
                    <w:gridCol w:w="1297"/>
                    <w:gridCol w:w="2459"/>
                  </w:tblGrid>
                  <w:tr>
                    <w:trPr>
                      <w:trHeight w:val="430" w:hRule="exact"/>
                    </w:trPr>
                    <w:tc>
                      <w:tcPr>
                        <w:tcW w:w="3120" w:type="dxa"/>
                        <w:tcBorders>
                          <w:left w:val="nil"/>
                          <w:right w:val="nil"/>
                        </w:tcBorders>
                      </w:tcPr>
                      <w:p>
                        <w:pPr/>
                      </w:p>
                    </w:tc>
                    <w:tc>
                      <w:tcPr>
                        <w:tcW w:w="1485" w:type="dxa"/>
                        <w:tcBorders>
                          <w:left w:val="nil"/>
                          <w:right w:val="nil"/>
                        </w:tcBorders>
                      </w:tcPr>
                      <w:p>
                        <w:pPr>
                          <w:pStyle w:val="TableParagraph"/>
                          <w:spacing w:line="215" w:lineRule="exact" w:before="0"/>
                          <w:ind w:left="227"/>
                          <w:rPr>
                            <w:b/>
                            <w:sz w:val="19"/>
                          </w:rPr>
                        </w:pPr>
                        <w:r>
                          <w:rPr>
                            <w:b/>
                            <w:sz w:val="19"/>
                          </w:rPr>
                          <w:t>Concentrate</w:t>
                        </w:r>
                      </w:p>
                    </w:tc>
                    <w:tc>
                      <w:tcPr>
                        <w:tcW w:w="1297" w:type="dxa"/>
                        <w:tcBorders>
                          <w:left w:val="nil"/>
                          <w:right w:val="nil"/>
                        </w:tcBorders>
                      </w:tcPr>
                      <w:p>
                        <w:pPr>
                          <w:pStyle w:val="TableParagraph"/>
                          <w:spacing w:line="215" w:lineRule="exact" w:before="0"/>
                          <w:ind w:left="122"/>
                          <w:rPr>
                            <w:b/>
                            <w:sz w:val="19"/>
                          </w:rPr>
                        </w:pPr>
                        <w:r>
                          <w:rPr>
                            <w:b/>
                            <w:sz w:val="19"/>
                          </w:rPr>
                          <w:t>Corn silage</w:t>
                        </w:r>
                      </w:p>
                    </w:tc>
                    <w:tc>
                      <w:tcPr>
                        <w:tcW w:w="2459" w:type="dxa"/>
                        <w:tcBorders>
                          <w:left w:val="nil"/>
                          <w:right w:val="nil"/>
                        </w:tcBorders>
                      </w:tcPr>
                      <w:p>
                        <w:pPr>
                          <w:pStyle w:val="TableParagraph"/>
                          <w:spacing w:line="215" w:lineRule="exact" w:before="0"/>
                          <w:ind w:left="116"/>
                          <w:rPr>
                            <w:b/>
                            <w:sz w:val="19"/>
                          </w:rPr>
                        </w:pPr>
                        <w:r>
                          <w:rPr>
                            <w:b/>
                            <w:i/>
                            <w:sz w:val="19"/>
                          </w:rPr>
                          <w:t>S. babylonica</w:t>
                        </w:r>
                        <w:r>
                          <w:rPr>
                            <w:b/>
                            <w:sz w:val="19"/>
                          </w:rPr>
                          <w:t>L. extract</w:t>
                        </w:r>
                      </w:p>
                    </w:tc>
                  </w:tr>
                  <w:tr>
                    <w:trPr>
                      <w:trHeight w:val="307" w:hRule="exact"/>
                    </w:trPr>
                    <w:tc>
                      <w:tcPr>
                        <w:tcW w:w="3120" w:type="dxa"/>
                        <w:tcBorders>
                          <w:left w:val="nil"/>
                          <w:bottom w:val="nil"/>
                          <w:right w:val="nil"/>
                        </w:tcBorders>
                      </w:tcPr>
                      <w:p>
                        <w:pPr>
                          <w:pStyle w:val="TableParagraph"/>
                          <w:spacing w:line="215" w:lineRule="exact" w:before="0"/>
                          <w:ind w:left="105"/>
                          <w:rPr>
                            <w:b/>
                            <w:sz w:val="19"/>
                          </w:rPr>
                        </w:pPr>
                        <w:r>
                          <w:rPr>
                            <w:b/>
                            <w:sz w:val="19"/>
                          </w:rPr>
                          <w:t>Chemical composition</w:t>
                        </w:r>
                      </w:p>
                    </w:tc>
                    <w:tc>
                      <w:tcPr>
                        <w:tcW w:w="1485" w:type="dxa"/>
                        <w:tcBorders>
                          <w:left w:val="nil"/>
                          <w:bottom w:val="nil"/>
                          <w:right w:val="nil"/>
                        </w:tcBorders>
                      </w:tcPr>
                      <w:p>
                        <w:pPr/>
                      </w:p>
                    </w:tc>
                    <w:tc>
                      <w:tcPr>
                        <w:tcW w:w="1297" w:type="dxa"/>
                        <w:tcBorders>
                          <w:left w:val="nil"/>
                          <w:bottom w:val="nil"/>
                          <w:right w:val="nil"/>
                        </w:tcBorders>
                      </w:tcPr>
                      <w:p>
                        <w:pPr/>
                      </w:p>
                    </w:tc>
                    <w:tc>
                      <w:tcPr>
                        <w:tcW w:w="2459" w:type="dxa"/>
                        <w:tcBorders>
                          <w:left w:val="nil"/>
                          <w:bottom w:val="nil"/>
                          <w:right w:val="nil"/>
                        </w:tcBorders>
                      </w:tcPr>
                      <w:p>
                        <w:pPr/>
                      </w:p>
                    </w:tc>
                  </w:tr>
                  <w:tr>
                    <w:trPr>
                      <w:trHeight w:val="443" w:hRule="exact"/>
                    </w:trPr>
                    <w:tc>
                      <w:tcPr>
                        <w:tcW w:w="3120" w:type="dxa"/>
                        <w:tcBorders>
                          <w:top w:val="nil"/>
                          <w:left w:val="nil"/>
                          <w:bottom w:val="nil"/>
                          <w:right w:val="nil"/>
                        </w:tcBorders>
                      </w:tcPr>
                      <w:p>
                        <w:pPr>
                          <w:pStyle w:val="TableParagraph"/>
                          <w:spacing w:before="78"/>
                          <w:ind w:left="105"/>
                          <w:rPr>
                            <w:b/>
                            <w:sz w:val="12"/>
                          </w:rPr>
                        </w:pPr>
                        <w:r>
                          <w:rPr>
                            <w:b/>
                            <w:sz w:val="19"/>
                          </w:rPr>
                          <w:t>Dry matter</w:t>
                        </w:r>
                        <w:r>
                          <w:rPr>
                            <w:b/>
                            <w:position w:val="10"/>
                            <w:sz w:val="12"/>
                          </w:rPr>
                          <w:t>1</w:t>
                        </w:r>
                      </w:p>
                    </w:tc>
                    <w:tc>
                      <w:tcPr>
                        <w:tcW w:w="1485" w:type="dxa"/>
                        <w:tcBorders>
                          <w:top w:val="nil"/>
                          <w:left w:val="nil"/>
                          <w:bottom w:val="nil"/>
                          <w:right w:val="nil"/>
                        </w:tcBorders>
                      </w:tcPr>
                      <w:p>
                        <w:pPr>
                          <w:pStyle w:val="TableParagraph"/>
                          <w:spacing w:before="119"/>
                          <w:ind w:left="227"/>
                          <w:rPr>
                            <w:sz w:val="19"/>
                          </w:rPr>
                        </w:pPr>
                        <w:r>
                          <w:rPr>
                            <w:sz w:val="19"/>
                          </w:rPr>
                          <w:t>880</w:t>
                        </w:r>
                      </w:p>
                    </w:tc>
                    <w:tc>
                      <w:tcPr>
                        <w:tcW w:w="1297" w:type="dxa"/>
                        <w:tcBorders>
                          <w:top w:val="nil"/>
                          <w:left w:val="nil"/>
                          <w:bottom w:val="nil"/>
                          <w:right w:val="nil"/>
                        </w:tcBorders>
                      </w:tcPr>
                      <w:p>
                        <w:pPr>
                          <w:pStyle w:val="TableParagraph"/>
                          <w:spacing w:before="119"/>
                          <w:ind w:left="122"/>
                          <w:rPr>
                            <w:sz w:val="19"/>
                          </w:rPr>
                        </w:pPr>
                        <w:r>
                          <w:rPr>
                            <w:sz w:val="19"/>
                          </w:rPr>
                          <w:t>360</w:t>
                        </w:r>
                      </w:p>
                    </w:tc>
                    <w:tc>
                      <w:tcPr>
                        <w:tcW w:w="2459" w:type="dxa"/>
                        <w:tcBorders>
                          <w:top w:val="nil"/>
                          <w:left w:val="nil"/>
                          <w:bottom w:val="nil"/>
                          <w:right w:val="nil"/>
                        </w:tcBorders>
                      </w:tcPr>
                      <w:p>
                        <w:pPr/>
                      </w:p>
                    </w:tc>
                  </w:tr>
                  <w:tr>
                    <w:trPr>
                      <w:trHeight w:val="419" w:hRule="exact"/>
                    </w:trPr>
                    <w:tc>
                      <w:tcPr>
                        <w:tcW w:w="3120" w:type="dxa"/>
                        <w:tcBorders>
                          <w:top w:val="nil"/>
                          <w:left w:val="nil"/>
                          <w:bottom w:val="nil"/>
                          <w:right w:val="nil"/>
                        </w:tcBorders>
                      </w:tcPr>
                      <w:p>
                        <w:pPr>
                          <w:pStyle w:val="TableParagraph"/>
                          <w:spacing w:before="87"/>
                          <w:ind w:left="105"/>
                          <w:rPr>
                            <w:b/>
                            <w:sz w:val="19"/>
                          </w:rPr>
                        </w:pPr>
                        <w:r>
                          <w:rPr>
                            <w:b/>
                            <w:sz w:val="19"/>
                          </w:rPr>
                          <w:t>Organic matter</w:t>
                        </w:r>
                      </w:p>
                    </w:tc>
                    <w:tc>
                      <w:tcPr>
                        <w:tcW w:w="1485" w:type="dxa"/>
                        <w:tcBorders>
                          <w:top w:val="nil"/>
                          <w:left w:val="nil"/>
                          <w:bottom w:val="nil"/>
                          <w:right w:val="nil"/>
                        </w:tcBorders>
                      </w:tcPr>
                      <w:p>
                        <w:pPr>
                          <w:pStyle w:val="TableParagraph"/>
                          <w:spacing w:before="94"/>
                          <w:ind w:left="227"/>
                          <w:rPr>
                            <w:sz w:val="19"/>
                          </w:rPr>
                        </w:pPr>
                        <w:r>
                          <w:rPr>
                            <w:sz w:val="19"/>
                          </w:rPr>
                          <w:t>325</w:t>
                        </w:r>
                      </w:p>
                    </w:tc>
                    <w:tc>
                      <w:tcPr>
                        <w:tcW w:w="1297" w:type="dxa"/>
                        <w:tcBorders>
                          <w:top w:val="nil"/>
                          <w:left w:val="nil"/>
                          <w:bottom w:val="nil"/>
                          <w:right w:val="nil"/>
                        </w:tcBorders>
                      </w:tcPr>
                      <w:p>
                        <w:pPr>
                          <w:pStyle w:val="TableParagraph"/>
                          <w:spacing w:before="94"/>
                          <w:ind w:left="122"/>
                          <w:rPr>
                            <w:sz w:val="19"/>
                          </w:rPr>
                        </w:pPr>
                        <w:r>
                          <w:rPr>
                            <w:sz w:val="19"/>
                          </w:rPr>
                          <w:t>684</w:t>
                        </w:r>
                      </w:p>
                    </w:tc>
                    <w:tc>
                      <w:tcPr>
                        <w:tcW w:w="2459" w:type="dxa"/>
                        <w:tcBorders>
                          <w:top w:val="nil"/>
                          <w:left w:val="nil"/>
                          <w:bottom w:val="nil"/>
                          <w:right w:val="nil"/>
                        </w:tcBorders>
                      </w:tcPr>
                      <w:p>
                        <w:pPr/>
                      </w:p>
                    </w:tc>
                  </w:tr>
                  <w:tr>
                    <w:trPr>
                      <w:trHeight w:val="419" w:hRule="exact"/>
                    </w:trPr>
                    <w:tc>
                      <w:tcPr>
                        <w:tcW w:w="3120" w:type="dxa"/>
                        <w:tcBorders>
                          <w:top w:val="nil"/>
                          <w:left w:val="nil"/>
                          <w:bottom w:val="nil"/>
                          <w:right w:val="nil"/>
                        </w:tcBorders>
                      </w:tcPr>
                      <w:p>
                        <w:pPr>
                          <w:pStyle w:val="TableParagraph"/>
                          <w:spacing w:before="88"/>
                          <w:ind w:left="160"/>
                          <w:rPr>
                            <w:b/>
                            <w:sz w:val="19"/>
                          </w:rPr>
                        </w:pPr>
                        <w:r>
                          <w:rPr>
                            <w:b/>
                            <w:sz w:val="19"/>
                          </w:rPr>
                          <w:t>Crude protein</w:t>
                        </w:r>
                      </w:p>
                    </w:tc>
                    <w:tc>
                      <w:tcPr>
                        <w:tcW w:w="1485" w:type="dxa"/>
                        <w:tcBorders>
                          <w:top w:val="nil"/>
                          <w:left w:val="nil"/>
                          <w:bottom w:val="nil"/>
                          <w:right w:val="nil"/>
                        </w:tcBorders>
                      </w:tcPr>
                      <w:p>
                        <w:pPr>
                          <w:pStyle w:val="TableParagraph"/>
                          <w:spacing w:before="95"/>
                          <w:ind w:left="227"/>
                          <w:rPr>
                            <w:sz w:val="19"/>
                          </w:rPr>
                        </w:pPr>
                        <w:r>
                          <w:rPr>
                            <w:sz w:val="19"/>
                          </w:rPr>
                          <w:t>157</w:t>
                        </w:r>
                      </w:p>
                    </w:tc>
                    <w:tc>
                      <w:tcPr>
                        <w:tcW w:w="1297" w:type="dxa"/>
                        <w:tcBorders>
                          <w:top w:val="nil"/>
                          <w:left w:val="nil"/>
                          <w:bottom w:val="nil"/>
                          <w:right w:val="nil"/>
                        </w:tcBorders>
                      </w:tcPr>
                      <w:p>
                        <w:pPr>
                          <w:pStyle w:val="TableParagraph"/>
                          <w:spacing w:before="95"/>
                          <w:ind w:left="122"/>
                          <w:rPr>
                            <w:sz w:val="19"/>
                          </w:rPr>
                        </w:pPr>
                        <w:r>
                          <w:rPr>
                            <w:sz w:val="19"/>
                          </w:rPr>
                          <w:t>106</w:t>
                        </w:r>
                      </w:p>
                    </w:tc>
                    <w:tc>
                      <w:tcPr>
                        <w:tcW w:w="2459" w:type="dxa"/>
                        <w:tcBorders>
                          <w:top w:val="nil"/>
                          <w:left w:val="nil"/>
                          <w:bottom w:val="nil"/>
                          <w:right w:val="nil"/>
                        </w:tcBorders>
                      </w:tcPr>
                      <w:p>
                        <w:pPr/>
                      </w:p>
                    </w:tc>
                  </w:tr>
                  <w:tr>
                    <w:trPr>
                      <w:trHeight w:val="419" w:hRule="exact"/>
                    </w:trPr>
                    <w:tc>
                      <w:tcPr>
                        <w:tcW w:w="3120" w:type="dxa"/>
                        <w:tcBorders>
                          <w:top w:val="nil"/>
                          <w:left w:val="nil"/>
                          <w:bottom w:val="nil"/>
                          <w:right w:val="nil"/>
                        </w:tcBorders>
                      </w:tcPr>
                      <w:p>
                        <w:pPr>
                          <w:pStyle w:val="TableParagraph"/>
                          <w:spacing w:before="87"/>
                          <w:ind w:left="105"/>
                          <w:rPr>
                            <w:b/>
                            <w:sz w:val="19"/>
                          </w:rPr>
                        </w:pPr>
                        <w:r>
                          <w:rPr>
                            <w:b/>
                            <w:sz w:val="19"/>
                          </w:rPr>
                          <w:t>Ether extract</w:t>
                        </w:r>
                      </w:p>
                    </w:tc>
                    <w:tc>
                      <w:tcPr>
                        <w:tcW w:w="1485" w:type="dxa"/>
                        <w:tcBorders>
                          <w:top w:val="nil"/>
                          <w:left w:val="nil"/>
                          <w:bottom w:val="nil"/>
                          <w:right w:val="nil"/>
                        </w:tcBorders>
                      </w:tcPr>
                      <w:p>
                        <w:pPr>
                          <w:pStyle w:val="TableParagraph"/>
                          <w:spacing w:before="94"/>
                          <w:ind w:left="227"/>
                          <w:rPr>
                            <w:sz w:val="19"/>
                          </w:rPr>
                        </w:pPr>
                        <w:r>
                          <w:rPr>
                            <w:sz w:val="19"/>
                          </w:rPr>
                          <w:t>120</w:t>
                        </w:r>
                      </w:p>
                    </w:tc>
                    <w:tc>
                      <w:tcPr>
                        <w:tcW w:w="1297" w:type="dxa"/>
                        <w:tcBorders>
                          <w:top w:val="nil"/>
                          <w:left w:val="nil"/>
                          <w:bottom w:val="nil"/>
                          <w:right w:val="nil"/>
                        </w:tcBorders>
                      </w:tcPr>
                      <w:p>
                        <w:pPr>
                          <w:pStyle w:val="TableParagraph"/>
                          <w:spacing w:before="94"/>
                          <w:ind w:left="122"/>
                          <w:rPr>
                            <w:sz w:val="19"/>
                          </w:rPr>
                        </w:pPr>
                        <w:r>
                          <w:rPr>
                            <w:sz w:val="19"/>
                          </w:rPr>
                          <w:t>85</w:t>
                        </w:r>
                      </w:p>
                    </w:tc>
                    <w:tc>
                      <w:tcPr>
                        <w:tcW w:w="2459" w:type="dxa"/>
                        <w:tcBorders>
                          <w:top w:val="nil"/>
                          <w:left w:val="nil"/>
                          <w:bottom w:val="nil"/>
                          <w:right w:val="nil"/>
                        </w:tcBorders>
                      </w:tcPr>
                      <w:p>
                        <w:pPr/>
                      </w:p>
                    </w:tc>
                  </w:tr>
                  <w:tr>
                    <w:trPr>
                      <w:trHeight w:val="419" w:hRule="exact"/>
                    </w:trPr>
                    <w:tc>
                      <w:tcPr>
                        <w:tcW w:w="3120" w:type="dxa"/>
                        <w:tcBorders>
                          <w:top w:val="nil"/>
                          <w:left w:val="nil"/>
                          <w:bottom w:val="nil"/>
                          <w:right w:val="nil"/>
                        </w:tcBorders>
                      </w:tcPr>
                      <w:p>
                        <w:pPr>
                          <w:pStyle w:val="TableParagraph"/>
                          <w:spacing w:before="88"/>
                          <w:ind w:left="160"/>
                          <w:rPr>
                            <w:b/>
                            <w:sz w:val="19"/>
                          </w:rPr>
                        </w:pPr>
                        <w:r>
                          <w:rPr>
                            <w:b/>
                            <w:sz w:val="19"/>
                          </w:rPr>
                          <w:t>Neutral detergent fiber</w:t>
                        </w:r>
                      </w:p>
                    </w:tc>
                    <w:tc>
                      <w:tcPr>
                        <w:tcW w:w="1485" w:type="dxa"/>
                        <w:tcBorders>
                          <w:top w:val="nil"/>
                          <w:left w:val="nil"/>
                          <w:bottom w:val="nil"/>
                          <w:right w:val="nil"/>
                        </w:tcBorders>
                      </w:tcPr>
                      <w:p>
                        <w:pPr>
                          <w:pStyle w:val="TableParagraph"/>
                          <w:spacing w:before="95"/>
                          <w:ind w:left="227"/>
                          <w:rPr>
                            <w:sz w:val="19"/>
                          </w:rPr>
                        </w:pPr>
                        <w:r>
                          <w:rPr>
                            <w:sz w:val="19"/>
                          </w:rPr>
                          <w:t>160</w:t>
                        </w:r>
                      </w:p>
                    </w:tc>
                    <w:tc>
                      <w:tcPr>
                        <w:tcW w:w="1297" w:type="dxa"/>
                        <w:tcBorders>
                          <w:top w:val="nil"/>
                          <w:left w:val="nil"/>
                          <w:bottom w:val="nil"/>
                          <w:right w:val="nil"/>
                        </w:tcBorders>
                      </w:tcPr>
                      <w:p>
                        <w:pPr>
                          <w:pStyle w:val="TableParagraph"/>
                          <w:spacing w:before="95"/>
                          <w:ind w:left="122"/>
                          <w:rPr>
                            <w:sz w:val="19"/>
                          </w:rPr>
                        </w:pPr>
                        <w:r>
                          <w:rPr>
                            <w:sz w:val="19"/>
                          </w:rPr>
                          <w:t>445</w:t>
                        </w:r>
                      </w:p>
                    </w:tc>
                    <w:tc>
                      <w:tcPr>
                        <w:tcW w:w="2459" w:type="dxa"/>
                        <w:tcBorders>
                          <w:top w:val="nil"/>
                          <w:left w:val="nil"/>
                          <w:bottom w:val="nil"/>
                          <w:right w:val="nil"/>
                        </w:tcBorders>
                      </w:tcPr>
                      <w:p>
                        <w:pPr/>
                      </w:p>
                    </w:tc>
                  </w:tr>
                  <w:tr>
                    <w:trPr>
                      <w:trHeight w:val="419" w:hRule="exact"/>
                    </w:trPr>
                    <w:tc>
                      <w:tcPr>
                        <w:tcW w:w="3120" w:type="dxa"/>
                        <w:tcBorders>
                          <w:top w:val="nil"/>
                          <w:left w:val="nil"/>
                          <w:bottom w:val="nil"/>
                          <w:right w:val="nil"/>
                        </w:tcBorders>
                      </w:tcPr>
                      <w:p>
                        <w:pPr>
                          <w:pStyle w:val="TableParagraph"/>
                          <w:spacing w:before="87"/>
                          <w:ind w:left="105"/>
                          <w:rPr>
                            <w:b/>
                            <w:sz w:val="19"/>
                          </w:rPr>
                        </w:pPr>
                        <w:r>
                          <w:rPr>
                            <w:b/>
                            <w:sz w:val="19"/>
                          </w:rPr>
                          <w:t>Acid detergent fiber</w:t>
                        </w:r>
                      </w:p>
                    </w:tc>
                    <w:tc>
                      <w:tcPr>
                        <w:tcW w:w="1485" w:type="dxa"/>
                        <w:tcBorders>
                          <w:top w:val="nil"/>
                          <w:left w:val="nil"/>
                          <w:bottom w:val="nil"/>
                          <w:right w:val="nil"/>
                        </w:tcBorders>
                      </w:tcPr>
                      <w:p>
                        <w:pPr>
                          <w:pStyle w:val="TableParagraph"/>
                          <w:spacing w:before="94"/>
                          <w:ind w:left="227"/>
                          <w:rPr>
                            <w:sz w:val="19"/>
                          </w:rPr>
                        </w:pPr>
                        <w:r>
                          <w:rPr>
                            <w:sz w:val="19"/>
                          </w:rPr>
                          <w:t>28</w:t>
                        </w:r>
                      </w:p>
                    </w:tc>
                    <w:tc>
                      <w:tcPr>
                        <w:tcW w:w="1297" w:type="dxa"/>
                        <w:tcBorders>
                          <w:top w:val="nil"/>
                          <w:left w:val="nil"/>
                          <w:bottom w:val="nil"/>
                          <w:right w:val="nil"/>
                        </w:tcBorders>
                      </w:tcPr>
                      <w:p>
                        <w:pPr>
                          <w:pStyle w:val="TableParagraph"/>
                          <w:spacing w:before="94"/>
                          <w:ind w:left="122"/>
                          <w:rPr>
                            <w:sz w:val="19"/>
                          </w:rPr>
                        </w:pPr>
                        <w:r>
                          <w:rPr>
                            <w:sz w:val="19"/>
                          </w:rPr>
                          <w:t>111</w:t>
                        </w:r>
                      </w:p>
                    </w:tc>
                    <w:tc>
                      <w:tcPr>
                        <w:tcW w:w="2459" w:type="dxa"/>
                        <w:tcBorders>
                          <w:top w:val="nil"/>
                          <w:left w:val="nil"/>
                          <w:bottom w:val="nil"/>
                          <w:right w:val="nil"/>
                        </w:tcBorders>
                      </w:tcPr>
                      <w:p>
                        <w:pPr/>
                      </w:p>
                    </w:tc>
                  </w:tr>
                  <w:tr>
                    <w:trPr>
                      <w:trHeight w:val="418" w:hRule="exact"/>
                    </w:trPr>
                    <w:tc>
                      <w:tcPr>
                        <w:tcW w:w="3120" w:type="dxa"/>
                        <w:tcBorders>
                          <w:top w:val="nil"/>
                          <w:left w:val="nil"/>
                          <w:bottom w:val="nil"/>
                          <w:right w:val="nil"/>
                        </w:tcBorders>
                      </w:tcPr>
                      <w:p>
                        <w:pPr>
                          <w:pStyle w:val="TableParagraph"/>
                          <w:spacing w:before="88"/>
                          <w:ind w:left="105"/>
                          <w:rPr>
                            <w:b/>
                            <w:sz w:val="19"/>
                          </w:rPr>
                        </w:pPr>
                        <w:r>
                          <w:rPr>
                            <w:b/>
                            <w:sz w:val="19"/>
                          </w:rPr>
                          <w:t>Lignin</w:t>
                        </w:r>
                      </w:p>
                    </w:tc>
                    <w:tc>
                      <w:tcPr>
                        <w:tcW w:w="1485" w:type="dxa"/>
                        <w:tcBorders>
                          <w:top w:val="nil"/>
                          <w:left w:val="nil"/>
                          <w:bottom w:val="nil"/>
                          <w:right w:val="nil"/>
                        </w:tcBorders>
                      </w:tcPr>
                      <w:p>
                        <w:pPr>
                          <w:pStyle w:val="TableParagraph"/>
                          <w:spacing w:before="93"/>
                          <w:ind w:left="227"/>
                          <w:rPr>
                            <w:sz w:val="19"/>
                          </w:rPr>
                        </w:pPr>
                        <w:r>
                          <w:rPr>
                            <w:w w:val="101"/>
                            <w:sz w:val="19"/>
                          </w:rPr>
                          <w:t>8</w:t>
                        </w:r>
                      </w:p>
                    </w:tc>
                    <w:tc>
                      <w:tcPr>
                        <w:tcW w:w="1297" w:type="dxa"/>
                        <w:tcBorders>
                          <w:top w:val="nil"/>
                          <w:left w:val="nil"/>
                          <w:bottom w:val="nil"/>
                          <w:right w:val="nil"/>
                        </w:tcBorders>
                      </w:tcPr>
                      <w:p>
                        <w:pPr>
                          <w:pStyle w:val="TableParagraph"/>
                          <w:spacing w:before="93"/>
                          <w:ind w:left="122"/>
                          <w:rPr>
                            <w:sz w:val="19"/>
                          </w:rPr>
                        </w:pPr>
                        <w:r>
                          <w:rPr>
                            <w:sz w:val="19"/>
                          </w:rPr>
                          <w:t>18</w:t>
                        </w:r>
                      </w:p>
                    </w:tc>
                    <w:tc>
                      <w:tcPr>
                        <w:tcW w:w="2459" w:type="dxa"/>
                        <w:tcBorders>
                          <w:top w:val="nil"/>
                          <w:left w:val="nil"/>
                          <w:bottom w:val="nil"/>
                          <w:right w:val="nil"/>
                        </w:tcBorders>
                      </w:tcPr>
                      <w:p>
                        <w:pPr/>
                      </w:p>
                    </w:tc>
                  </w:tr>
                  <w:tr>
                    <w:trPr>
                      <w:trHeight w:val="415" w:hRule="exact"/>
                    </w:trPr>
                    <w:tc>
                      <w:tcPr>
                        <w:tcW w:w="3120" w:type="dxa"/>
                        <w:tcBorders>
                          <w:top w:val="nil"/>
                          <w:left w:val="nil"/>
                          <w:bottom w:val="nil"/>
                          <w:right w:val="nil"/>
                        </w:tcBorders>
                      </w:tcPr>
                      <w:p>
                        <w:pPr>
                          <w:pStyle w:val="TableParagraph"/>
                          <w:spacing w:before="88"/>
                          <w:ind w:left="105"/>
                          <w:rPr>
                            <w:b/>
                            <w:sz w:val="19"/>
                          </w:rPr>
                        </w:pPr>
                        <w:r>
                          <w:rPr>
                            <w:b/>
                            <w:sz w:val="19"/>
                          </w:rPr>
                          <w:t>Ingredient of concentrate  g/kg</w:t>
                        </w:r>
                      </w:p>
                    </w:tc>
                    <w:tc>
                      <w:tcPr>
                        <w:tcW w:w="1485" w:type="dxa"/>
                        <w:tcBorders>
                          <w:top w:val="nil"/>
                          <w:left w:val="nil"/>
                          <w:bottom w:val="nil"/>
                          <w:right w:val="nil"/>
                        </w:tcBorders>
                      </w:tcPr>
                      <w:p>
                        <w:pPr/>
                      </w:p>
                    </w:tc>
                    <w:tc>
                      <w:tcPr>
                        <w:tcW w:w="1297" w:type="dxa"/>
                        <w:tcBorders>
                          <w:top w:val="nil"/>
                          <w:left w:val="nil"/>
                          <w:bottom w:val="nil"/>
                          <w:right w:val="nil"/>
                        </w:tcBorders>
                      </w:tcPr>
                      <w:p>
                        <w:pPr/>
                      </w:p>
                    </w:tc>
                    <w:tc>
                      <w:tcPr>
                        <w:tcW w:w="2459" w:type="dxa"/>
                        <w:tcBorders>
                          <w:top w:val="nil"/>
                          <w:left w:val="nil"/>
                          <w:bottom w:val="nil"/>
                          <w:right w:val="nil"/>
                        </w:tcBorders>
                      </w:tcPr>
                      <w:p>
                        <w:pPr/>
                      </w:p>
                    </w:tc>
                  </w:tr>
                  <w:tr>
                    <w:trPr>
                      <w:trHeight w:val="421" w:hRule="exact"/>
                    </w:trPr>
                    <w:tc>
                      <w:tcPr>
                        <w:tcW w:w="3120" w:type="dxa"/>
                        <w:tcBorders>
                          <w:top w:val="nil"/>
                          <w:left w:val="nil"/>
                          <w:bottom w:val="nil"/>
                          <w:right w:val="nil"/>
                        </w:tcBorders>
                      </w:tcPr>
                      <w:p>
                        <w:pPr>
                          <w:pStyle w:val="TableParagraph"/>
                          <w:spacing w:before="90"/>
                          <w:ind w:left="105"/>
                          <w:rPr>
                            <w:b/>
                            <w:sz w:val="19"/>
                          </w:rPr>
                        </w:pPr>
                        <w:r>
                          <w:rPr>
                            <w:b/>
                            <w:sz w:val="19"/>
                          </w:rPr>
                          <w:t>Corn grain flacked</w:t>
                        </w:r>
                      </w:p>
                    </w:tc>
                    <w:tc>
                      <w:tcPr>
                        <w:tcW w:w="1485" w:type="dxa"/>
                        <w:tcBorders>
                          <w:top w:val="nil"/>
                          <w:left w:val="nil"/>
                          <w:bottom w:val="nil"/>
                          <w:right w:val="nil"/>
                        </w:tcBorders>
                      </w:tcPr>
                      <w:p>
                        <w:pPr/>
                      </w:p>
                    </w:tc>
                    <w:tc>
                      <w:tcPr>
                        <w:tcW w:w="1297" w:type="dxa"/>
                        <w:tcBorders>
                          <w:top w:val="nil"/>
                          <w:left w:val="nil"/>
                          <w:bottom w:val="nil"/>
                          <w:right w:val="nil"/>
                        </w:tcBorders>
                      </w:tcPr>
                      <w:p>
                        <w:pPr>
                          <w:pStyle w:val="TableParagraph"/>
                          <w:spacing w:before="98"/>
                          <w:ind w:left="122"/>
                          <w:rPr>
                            <w:sz w:val="19"/>
                          </w:rPr>
                        </w:pPr>
                        <w:r>
                          <w:rPr>
                            <w:sz w:val="19"/>
                          </w:rPr>
                          <w:t>200</w:t>
                        </w:r>
                      </w:p>
                    </w:tc>
                    <w:tc>
                      <w:tcPr>
                        <w:tcW w:w="2459" w:type="dxa"/>
                        <w:tcBorders>
                          <w:top w:val="nil"/>
                          <w:left w:val="nil"/>
                          <w:bottom w:val="nil"/>
                          <w:right w:val="nil"/>
                        </w:tcBorders>
                      </w:tcPr>
                      <w:p>
                        <w:pPr/>
                      </w:p>
                    </w:tc>
                  </w:tr>
                  <w:tr>
                    <w:trPr>
                      <w:trHeight w:val="418" w:hRule="exact"/>
                    </w:trPr>
                    <w:tc>
                      <w:tcPr>
                        <w:tcW w:w="3120" w:type="dxa"/>
                        <w:tcBorders>
                          <w:top w:val="nil"/>
                          <w:left w:val="nil"/>
                          <w:bottom w:val="nil"/>
                          <w:right w:val="nil"/>
                        </w:tcBorders>
                      </w:tcPr>
                      <w:p>
                        <w:pPr>
                          <w:pStyle w:val="TableParagraph"/>
                          <w:spacing w:before="87"/>
                          <w:ind w:left="105"/>
                          <w:rPr>
                            <w:b/>
                            <w:sz w:val="19"/>
                          </w:rPr>
                        </w:pPr>
                        <w:r>
                          <w:rPr>
                            <w:b/>
                            <w:sz w:val="19"/>
                          </w:rPr>
                          <w:t>Corn grain cracked</w:t>
                        </w:r>
                      </w:p>
                    </w:tc>
                    <w:tc>
                      <w:tcPr>
                        <w:tcW w:w="1485" w:type="dxa"/>
                        <w:tcBorders>
                          <w:top w:val="nil"/>
                          <w:left w:val="nil"/>
                          <w:bottom w:val="nil"/>
                          <w:right w:val="nil"/>
                        </w:tcBorders>
                      </w:tcPr>
                      <w:p>
                        <w:pPr/>
                      </w:p>
                    </w:tc>
                    <w:tc>
                      <w:tcPr>
                        <w:tcW w:w="1297" w:type="dxa"/>
                        <w:tcBorders>
                          <w:top w:val="nil"/>
                          <w:left w:val="nil"/>
                          <w:bottom w:val="nil"/>
                          <w:right w:val="nil"/>
                        </w:tcBorders>
                      </w:tcPr>
                      <w:p>
                        <w:pPr>
                          <w:pStyle w:val="TableParagraph"/>
                          <w:spacing w:before="94"/>
                          <w:ind w:left="122"/>
                          <w:rPr>
                            <w:sz w:val="19"/>
                          </w:rPr>
                        </w:pPr>
                        <w:r>
                          <w:rPr>
                            <w:sz w:val="19"/>
                          </w:rPr>
                          <w:t>260</w:t>
                        </w:r>
                      </w:p>
                    </w:tc>
                    <w:tc>
                      <w:tcPr>
                        <w:tcW w:w="2459" w:type="dxa"/>
                        <w:tcBorders>
                          <w:top w:val="nil"/>
                          <w:left w:val="nil"/>
                          <w:bottom w:val="nil"/>
                          <w:right w:val="nil"/>
                        </w:tcBorders>
                      </w:tcPr>
                      <w:p>
                        <w:pPr/>
                      </w:p>
                    </w:tc>
                  </w:tr>
                  <w:tr>
                    <w:trPr>
                      <w:trHeight w:val="420" w:hRule="exact"/>
                    </w:trPr>
                    <w:tc>
                      <w:tcPr>
                        <w:tcW w:w="3120" w:type="dxa"/>
                        <w:tcBorders>
                          <w:top w:val="nil"/>
                          <w:left w:val="nil"/>
                          <w:bottom w:val="nil"/>
                          <w:right w:val="nil"/>
                        </w:tcBorders>
                      </w:tcPr>
                      <w:p>
                        <w:pPr>
                          <w:pStyle w:val="TableParagraph"/>
                          <w:spacing w:before="87"/>
                          <w:ind w:left="105"/>
                          <w:rPr>
                            <w:b/>
                            <w:sz w:val="19"/>
                          </w:rPr>
                        </w:pPr>
                        <w:r>
                          <w:rPr>
                            <w:b/>
                            <w:sz w:val="19"/>
                          </w:rPr>
                          <w:t>Sorghum grain</w:t>
                        </w:r>
                      </w:p>
                    </w:tc>
                    <w:tc>
                      <w:tcPr>
                        <w:tcW w:w="1485" w:type="dxa"/>
                        <w:tcBorders>
                          <w:top w:val="nil"/>
                          <w:left w:val="nil"/>
                          <w:bottom w:val="nil"/>
                          <w:right w:val="nil"/>
                        </w:tcBorders>
                      </w:tcPr>
                      <w:p>
                        <w:pPr/>
                      </w:p>
                    </w:tc>
                    <w:tc>
                      <w:tcPr>
                        <w:tcW w:w="1297" w:type="dxa"/>
                        <w:tcBorders>
                          <w:top w:val="nil"/>
                          <w:left w:val="nil"/>
                          <w:bottom w:val="nil"/>
                          <w:right w:val="nil"/>
                        </w:tcBorders>
                      </w:tcPr>
                      <w:p>
                        <w:pPr>
                          <w:pStyle w:val="TableParagraph"/>
                          <w:spacing w:before="94"/>
                          <w:ind w:left="122"/>
                          <w:rPr>
                            <w:sz w:val="19"/>
                          </w:rPr>
                        </w:pPr>
                        <w:r>
                          <w:rPr>
                            <w:sz w:val="19"/>
                          </w:rPr>
                          <w:t>154</w:t>
                        </w:r>
                      </w:p>
                    </w:tc>
                    <w:tc>
                      <w:tcPr>
                        <w:tcW w:w="2459" w:type="dxa"/>
                        <w:tcBorders>
                          <w:top w:val="nil"/>
                          <w:left w:val="nil"/>
                          <w:bottom w:val="nil"/>
                          <w:right w:val="nil"/>
                        </w:tcBorders>
                      </w:tcPr>
                      <w:p>
                        <w:pPr/>
                      </w:p>
                    </w:tc>
                  </w:tr>
                  <w:tr>
                    <w:trPr>
                      <w:trHeight w:val="419" w:hRule="exact"/>
                    </w:trPr>
                    <w:tc>
                      <w:tcPr>
                        <w:tcW w:w="3120" w:type="dxa"/>
                        <w:tcBorders>
                          <w:top w:val="nil"/>
                          <w:left w:val="nil"/>
                          <w:bottom w:val="nil"/>
                          <w:right w:val="nil"/>
                        </w:tcBorders>
                      </w:tcPr>
                      <w:p>
                        <w:pPr>
                          <w:pStyle w:val="TableParagraph"/>
                          <w:spacing w:before="89"/>
                          <w:ind w:left="105"/>
                          <w:rPr>
                            <w:b/>
                            <w:sz w:val="19"/>
                          </w:rPr>
                        </w:pPr>
                        <w:r>
                          <w:rPr>
                            <w:b/>
                            <w:sz w:val="19"/>
                          </w:rPr>
                          <w:t>Molasses</w:t>
                        </w:r>
                      </w:p>
                    </w:tc>
                    <w:tc>
                      <w:tcPr>
                        <w:tcW w:w="1485" w:type="dxa"/>
                        <w:tcBorders>
                          <w:top w:val="nil"/>
                          <w:left w:val="nil"/>
                          <w:bottom w:val="nil"/>
                          <w:right w:val="nil"/>
                        </w:tcBorders>
                      </w:tcPr>
                      <w:p>
                        <w:pPr/>
                      </w:p>
                    </w:tc>
                    <w:tc>
                      <w:tcPr>
                        <w:tcW w:w="1297" w:type="dxa"/>
                        <w:tcBorders>
                          <w:top w:val="nil"/>
                          <w:left w:val="nil"/>
                          <w:bottom w:val="nil"/>
                          <w:right w:val="nil"/>
                        </w:tcBorders>
                      </w:tcPr>
                      <w:p>
                        <w:pPr>
                          <w:pStyle w:val="TableParagraph"/>
                          <w:spacing w:before="96"/>
                          <w:ind w:left="122"/>
                          <w:rPr>
                            <w:sz w:val="19"/>
                          </w:rPr>
                        </w:pPr>
                        <w:r>
                          <w:rPr>
                            <w:sz w:val="19"/>
                          </w:rPr>
                          <w:t>100</w:t>
                        </w:r>
                      </w:p>
                    </w:tc>
                    <w:tc>
                      <w:tcPr>
                        <w:tcW w:w="2459" w:type="dxa"/>
                        <w:tcBorders>
                          <w:top w:val="nil"/>
                          <w:left w:val="nil"/>
                          <w:bottom w:val="nil"/>
                          <w:right w:val="nil"/>
                        </w:tcBorders>
                      </w:tcPr>
                      <w:p>
                        <w:pPr/>
                      </w:p>
                    </w:tc>
                  </w:tr>
                  <w:tr>
                    <w:trPr>
                      <w:trHeight w:val="640" w:hRule="exact"/>
                    </w:trPr>
                    <w:tc>
                      <w:tcPr>
                        <w:tcW w:w="3120" w:type="dxa"/>
                        <w:tcBorders>
                          <w:top w:val="nil"/>
                          <w:left w:val="nil"/>
                          <w:bottom w:val="nil"/>
                          <w:right w:val="nil"/>
                        </w:tcBorders>
                      </w:tcPr>
                      <w:p>
                        <w:pPr>
                          <w:pStyle w:val="TableParagraph"/>
                          <w:spacing w:line="247" w:lineRule="auto" w:before="86"/>
                          <w:ind w:left="105"/>
                          <w:rPr>
                            <w:b/>
                            <w:sz w:val="19"/>
                          </w:rPr>
                        </w:pPr>
                        <w:r>
                          <w:rPr>
                            <w:b/>
                            <w:sz w:val="19"/>
                          </w:rPr>
                          <w:t>Dried distillers grains with solubles</w:t>
                        </w:r>
                      </w:p>
                    </w:tc>
                    <w:tc>
                      <w:tcPr>
                        <w:tcW w:w="1485" w:type="dxa"/>
                        <w:tcBorders>
                          <w:top w:val="nil"/>
                          <w:left w:val="nil"/>
                          <w:bottom w:val="nil"/>
                          <w:right w:val="nil"/>
                        </w:tcBorders>
                      </w:tcPr>
                      <w:p>
                        <w:pPr/>
                      </w:p>
                    </w:tc>
                    <w:tc>
                      <w:tcPr>
                        <w:tcW w:w="1297" w:type="dxa"/>
                        <w:tcBorders>
                          <w:top w:val="nil"/>
                          <w:left w:val="nil"/>
                          <w:bottom w:val="nil"/>
                          <w:right w:val="nil"/>
                        </w:tcBorders>
                      </w:tcPr>
                      <w:p>
                        <w:pPr>
                          <w:pStyle w:val="TableParagraph"/>
                          <w:spacing w:before="95"/>
                          <w:ind w:left="122"/>
                          <w:rPr>
                            <w:sz w:val="19"/>
                          </w:rPr>
                        </w:pPr>
                        <w:r>
                          <w:rPr>
                            <w:sz w:val="19"/>
                          </w:rPr>
                          <w:t>100</w:t>
                        </w:r>
                      </w:p>
                    </w:tc>
                    <w:tc>
                      <w:tcPr>
                        <w:tcW w:w="2459" w:type="dxa"/>
                        <w:tcBorders>
                          <w:top w:val="nil"/>
                          <w:left w:val="nil"/>
                          <w:bottom w:val="nil"/>
                          <w:right w:val="nil"/>
                        </w:tcBorders>
                      </w:tcPr>
                      <w:p>
                        <w:pPr/>
                      </w:p>
                    </w:tc>
                  </w:tr>
                  <w:tr>
                    <w:trPr>
                      <w:trHeight w:val="421" w:hRule="exact"/>
                    </w:trPr>
                    <w:tc>
                      <w:tcPr>
                        <w:tcW w:w="3120" w:type="dxa"/>
                        <w:tcBorders>
                          <w:top w:val="nil"/>
                          <w:left w:val="nil"/>
                          <w:bottom w:val="nil"/>
                          <w:right w:val="nil"/>
                        </w:tcBorders>
                      </w:tcPr>
                      <w:p>
                        <w:pPr>
                          <w:pStyle w:val="TableParagraph"/>
                          <w:spacing w:before="92"/>
                          <w:ind w:left="105"/>
                          <w:rPr>
                            <w:b/>
                            <w:sz w:val="19"/>
                          </w:rPr>
                        </w:pPr>
                        <w:r>
                          <w:rPr>
                            <w:b/>
                            <w:sz w:val="19"/>
                          </w:rPr>
                          <w:t>Soya bean meal</w:t>
                        </w:r>
                      </w:p>
                    </w:tc>
                    <w:tc>
                      <w:tcPr>
                        <w:tcW w:w="1485" w:type="dxa"/>
                        <w:tcBorders>
                          <w:top w:val="nil"/>
                          <w:left w:val="nil"/>
                          <w:bottom w:val="nil"/>
                          <w:right w:val="nil"/>
                        </w:tcBorders>
                      </w:tcPr>
                      <w:p>
                        <w:pPr/>
                      </w:p>
                    </w:tc>
                    <w:tc>
                      <w:tcPr>
                        <w:tcW w:w="1297" w:type="dxa"/>
                        <w:tcBorders>
                          <w:top w:val="nil"/>
                          <w:left w:val="nil"/>
                          <w:bottom w:val="nil"/>
                          <w:right w:val="nil"/>
                        </w:tcBorders>
                      </w:tcPr>
                      <w:p>
                        <w:pPr>
                          <w:pStyle w:val="TableParagraph"/>
                          <w:spacing w:before="96"/>
                          <w:ind w:left="122"/>
                          <w:rPr>
                            <w:sz w:val="19"/>
                          </w:rPr>
                        </w:pPr>
                        <w:r>
                          <w:rPr>
                            <w:sz w:val="19"/>
                          </w:rPr>
                          <w:t>96</w:t>
                        </w:r>
                      </w:p>
                    </w:tc>
                    <w:tc>
                      <w:tcPr>
                        <w:tcW w:w="2459" w:type="dxa"/>
                        <w:tcBorders>
                          <w:top w:val="nil"/>
                          <w:left w:val="nil"/>
                          <w:bottom w:val="nil"/>
                          <w:right w:val="nil"/>
                        </w:tcBorders>
                      </w:tcPr>
                      <w:p>
                        <w:pPr/>
                      </w:p>
                    </w:tc>
                  </w:tr>
                  <w:tr>
                    <w:trPr>
                      <w:trHeight w:val="419" w:hRule="exact"/>
                    </w:trPr>
                    <w:tc>
                      <w:tcPr>
                        <w:tcW w:w="3120" w:type="dxa"/>
                        <w:tcBorders>
                          <w:top w:val="nil"/>
                          <w:left w:val="nil"/>
                          <w:bottom w:val="nil"/>
                          <w:right w:val="nil"/>
                        </w:tcBorders>
                      </w:tcPr>
                      <w:p>
                        <w:pPr>
                          <w:pStyle w:val="TableParagraph"/>
                          <w:spacing w:before="88"/>
                          <w:ind w:left="105"/>
                          <w:rPr>
                            <w:b/>
                            <w:sz w:val="19"/>
                          </w:rPr>
                        </w:pPr>
                        <w:r>
                          <w:rPr>
                            <w:b/>
                            <w:sz w:val="19"/>
                          </w:rPr>
                          <w:t>Wheat bran</w:t>
                        </w:r>
                      </w:p>
                    </w:tc>
                    <w:tc>
                      <w:tcPr>
                        <w:tcW w:w="1485" w:type="dxa"/>
                        <w:tcBorders>
                          <w:top w:val="nil"/>
                          <w:left w:val="nil"/>
                          <w:bottom w:val="nil"/>
                          <w:right w:val="nil"/>
                        </w:tcBorders>
                      </w:tcPr>
                      <w:p>
                        <w:pPr/>
                      </w:p>
                    </w:tc>
                    <w:tc>
                      <w:tcPr>
                        <w:tcW w:w="1297" w:type="dxa"/>
                        <w:tcBorders>
                          <w:top w:val="nil"/>
                          <w:left w:val="nil"/>
                          <w:bottom w:val="nil"/>
                          <w:right w:val="nil"/>
                        </w:tcBorders>
                      </w:tcPr>
                      <w:p>
                        <w:pPr>
                          <w:pStyle w:val="TableParagraph"/>
                          <w:spacing w:before="95"/>
                          <w:ind w:left="122"/>
                          <w:rPr>
                            <w:sz w:val="19"/>
                          </w:rPr>
                        </w:pPr>
                        <w:r>
                          <w:rPr>
                            <w:sz w:val="19"/>
                          </w:rPr>
                          <w:t>70</w:t>
                        </w:r>
                      </w:p>
                    </w:tc>
                    <w:tc>
                      <w:tcPr>
                        <w:tcW w:w="2459" w:type="dxa"/>
                        <w:tcBorders>
                          <w:top w:val="nil"/>
                          <w:left w:val="nil"/>
                          <w:bottom w:val="nil"/>
                          <w:right w:val="nil"/>
                        </w:tcBorders>
                      </w:tcPr>
                      <w:p>
                        <w:pPr/>
                      </w:p>
                    </w:tc>
                  </w:tr>
                  <w:tr>
                    <w:trPr>
                      <w:trHeight w:val="401" w:hRule="exact"/>
                    </w:trPr>
                    <w:tc>
                      <w:tcPr>
                        <w:tcW w:w="3120" w:type="dxa"/>
                        <w:tcBorders>
                          <w:top w:val="nil"/>
                          <w:left w:val="nil"/>
                          <w:bottom w:val="nil"/>
                          <w:right w:val="nil"/>
                        </w:tcBorders>
                      </w:tcPr>
                      <w:p>
                        <w:pPr>
                          <w:pStyle w:val="TableParagraph"/>
                          <w:spacing w:before="87"/>
                          <w:ind w:left="105"/>
                          <w:rPr>
                            <w:b/>
                            <w:sz w:val="12"/>
                          </w:rPr>
                        </w:pPr>
                        <w:r>
                          <w:rPr>
                            <w:b/>
                            <w:sz w:val="19"/>
                          </w:rPr>
                          <w:t>NaCOO</w:t>
                        </w:r>
                        <w:r>
                          <w:rPr>
                            <w:b/>
                            <w:position w:val="-2"/>
                            <w:sz w:val="12"/>
                          </w:rPr>
                          <w:t>3</w:t>
                        </w:r>
                      </w:p>
                    </w:tc>
                    <w:tc>
                      <w:tcPr>
                        <w:tcW w:w="1485" w:type="dxa"/>
                        <w:tcBorders>
                          <w:top w:val="nil"/>
                          <w:left w:val="nil"/>
                          <w:bottom w:val="nil"/>
                          <w:right w:val="nil"/>
                        </w:tcBorders>
                      </w:tcPr>
                      <w:p>
                        <w:pPr/>
                      </w:p>
                    </w:tc>
                    <w:tc>
                      <w:tcPr>
                        <w:tcW w:w="1297" w:type="dxa"/>
                        <w:tcBorders>
                          <w:top w:val="nil"/>
                          <w:left w:val="nil"/>
                          <w:bottom w:val="nil"/>
                          <w:right w:val="nil"/>
                        </w:tcBorders>
                      </w:tcPr>
                      <w:p>
                        <w:pPr>
                          <w:pStyle w:val="TableParagraph"/>
                          <w:spacing w:before="94"/>
                          <w:ind w:left="122"/>
                          <w:rPr>
                            <w:sz w:val="19"/>
                          </w:rPr>
                        </w:pPr>
                        <w:r>
                          <w:rPr>
                            <w:sz w:val="19"/>
                          </w:rPr>
                          <w:t>10</w:t>
                        </w:r>
                      </w:p>
                    </w:tc>
                    <w:tc>
                      <w:tcPr>
                        <w:tcW w:w="2459" w:type="dxa"/>
                        <w:tcBorders>
                          <w:top w:val="nil"/>
                          <w:left w:val="nil"/>
                          <w:bottom w:val="nil"/>
                          <w:right w:val="nil"/>
                        </w:tcBorders>
                      </w:tcPr>
                      <w:p>
                        <w:pPr/>
                      </w:p>
                    </w:tc>
                  </w:tr>
                  <w:tr>
                    <w:trPr>
                      <w:trHeight w:val="434" w:hRule="exact"/>
                    </w:trPr>
                    <w:tc>
                      <w:tcPr>
                        <w:tcW w:w="3120" w:type="dxa"/>
                        <w:tcBorders>
                          <w:top w:val="nil"/>
                          <w:left w:val="nil"/>
                          <w:bottom w:val="nil"/>
                          <w:right w:val="nil"/>
                        </w:tcBorders>
                      </w:tcPr>
                      <w:p>
                        <w:pPr>
                          <w:pStyle w:val="TableParagraph"/>
                          <w:spacing w:before="69"/>
                          <w:ind w:left="105"/>
                          <w:rPr>
                            <w:b/>
                            <w:sz w:val="12"/>
                          </w:rPr>
                        </w:pPr>
                        <w:r>
                          <w:rPr>
                            <w:b/>
                            <w:sz w:val="19"/>
                          </w:rPr>
                          <w:t>Mineral mix</w:t>
                        </w:r>
                        <w:r>
                          <w:rPr>
                            <w:b/>
                            <w:position w:val="10"/>
                            <w:sz w:val="12"/>
                          </w:rPr>
                          <w:t>2</w:t>
                        </w:r>
                      </w:p>
                    </w:tc>
                    <w:tc>
                      <w:tcPr>
                        <w:tcW w:w="1485" w:type="dxa"/>
                        <w:tcBorders>
                          <w:top w:val="nil"/>
                          <w:left w:val="nil"/>
                          <w:bottom w:val="nil"/>
                          <w:right w:val="nil"/>
                        </w:tcBorders>
                      </w:tcPr>
                      <w:p>
                        <w:pPr/>
                      </w:p>
                    </w:tc>
                    <w:tc>
                      <w:tcPr>
                        <w:tcW w:w="1297" w:type="dxa"/>
                        <w:tcBorders>
                          <w:top w:val="nil"/>
                          <w:left w:val="nil"/>
                          <w:bottom w:val="nil"/>
                          <w:right w:val="nil"/>
                        </w:tcBorders>
                      </w:tcPr>
                      <w:p>
                        <w:pPr>
                          <w:pStyle w:val="TableParagraph"/>
                          <w:spacing w:before="110"/>
                          <w:ind w:left="122"/>
                          <w:rPr>
                            <w:sz w:val="19"/>
                          </w:rPr>
                        </w:pPr>
                        <w:r>
                          <w:rPr>
                            <w:sz w:val="19"/>
                          </w:rPr>
                          <w:t>10</w:t>
                        </w:r>
                      </w:p>
                    </w:tc>
                    <w:tc>
                      <w:tcPr>
                        <w:tcW w:w="2459" w:type="dxa"/>
                        <w:tcBorders>
                          <w:top w:val="nil"/>
                          <w:left w:val="nil"/>
                          <w:bottom w:val="nil"/>
                          <w:right w:val="nil"/>
                        </w:tcBorders>
                      </w:tcPr>
                      <w:p>
                        <w:pPr/>
                      </w:p>
                    </w:tc>
                  </w:tr>
                  <w:tr>
                    <w:trPr>
                      <w:trHeight w:val="416" w:hRule="exact"/>
                    </w:trPr>
                    <w:tc>
                      <w:tcPr>
                        <w:tcW w:w="3120" w:type="dxa"/>
                        <w:tcBorders>
                          <w:top w:val="nil"/>
                          <w:left w:val="nil"/>
                          <w:bottom w:val="nil"/>
                          <w:right w:val="nil"/>
                        </w:tcBorders>
                      </w:tcPr>
                      <w:p>
                        <w:pPr>
                          <w:pStyle w:val="TableParagraph"/>
                          <w:spacing w:before="87"/>
                          <w:ind w:left="105"/>
                          <w:rPr>
                            <w:b/>
                            <w:sz w:val="19"/>
                          </w:rPr>
                        </w:pPr>
                        <w:r>
                          <w:rPr>
                            <w:b/>
                            <w:sz w:val="19"/>
                          </w:rPr>
                          <w:t>Secondary metabolites</w:t>
                        </w:r>
                      </w:p>
                    </w:tc>
                    <w:tc>
                      <w:tcPr>
                        <w:tcW w:w="1485" w:type="dxa"/>
                        <w:tcBorders>
                          <w:top w:val="nil"/>
                          <w:left w:val="nil"/>
                          <w:bottom w:val="nil"/>
                          <w:right w:val="nil"/>
                        </w:tcBorders>
                      </w:tcPr>
                      <w:p>
                        <w:pPr/>
                      </w:p>
                    </w:tc>
                    <w:tc>
                      <w:tcPr>
                        <w:tcW w:w="1297" w:type="dxa"/>
                        <w:tcBorders>
                          <w:top w:val="nil"/>
                          <w:left w:val="nil"/>
                          <w:bottom w:val="nil"/>
                          <w:right w:val="nil"/>
                        </w:tcBorders>
                      </w:tcPr>
                      <w:p>
                        <w:pPr/>
                      </w:p>
                    </w:tc>
                    <w:tc>
                      <w:tcPr>
                        <w:tcW w:w="2459" w:type="dxa"/>
                        <w:tcBorders>
                          <w:top w:val="nil"/>
                          <w:left w:val="nil"/>
                          <w:bottom w:val="nil"/>
                          <w:right w:val="nil"/>
                        </w:tcBorders>
                      </w:tcPr>
                      <w:p>
                        <w:pPr/>
                      </w:p>
                    </w:tc>
                  </w:tr>
                  <w:tr>
                    <w:trPr>
                      <w:trHeight w:val="424" w:hRule="exact"/>
                    </w:trPr>
                    <w:tc>
                      <w:tcPr>
                        <w:tcW w:w="3120" w:type="dxa"/>
                        <w:tcBorders>
                          <w:top w:val="nil"/>
                          <w:left w:val="nil"/>
                          <w:bottom w:val="nil"/>
                          <w:right w:val="nil"/>
                        </w:tcBorders>
                      </w:tcPr>
                      <w:p>
                        <w:pPr>
                          <w:pStyle w:val="TableParagraph"/>
                          <w:spacing w:before="93"/>
                          <w:ind w:left="105"/>
                          <w:rPr>
                            <w:b/>
                            <w:sz w:val="19"/>
                          </w:rPr>
                        </w:pPr>
                        <w:r>
                          <w:rPr>
                            <w:b/>
                            <w:sz w:val="19"/>
                          </w:rPr>
                          <w:t>Total  phenolics</w:t>
                        </w:r>
                      </w:p>
                    </w:tc>
                    <w:tc>
                      <w:tcPr>
                        <w:tcW w:w="1485" w:type="dxa"/>
                        <w:tcBorders>
                          <w:top w:val="nil"/>
                          <w:left w:val="nil"/>
                          <w:bottom w:val="nil"/>
                          <w:right w:val="nil"/>
                        </w:tcBorders>
                      </w:tcPr>
                      <w:p>
                        <w:pPr/>
                      </w:p>
                    </w:tc>
                    <w:tc>
                      <w:tcPr>
                        <w:tcW w:w="1297" w:type="dxa"/>
                        <w:tcBorders>
                          <w:top w:val="nil"/>
                          <w:left w:val="nil"/>
                          <w:bottom w:val="nil"/>
                          <w:right w:val="nil"/>
                        </w:tcBorders>
                      </w:tcPr>
                      <w:p>
                        <w:pPr/>
                      </w:p>
                    </w:tc>
                    <w:tc>
                      <w:tcPr>
                        <w:tcW w:w="2459" w:type="dxa"/>
                        <w:tcBorders>
                          <w:top w:val="nil"/>
                          <w:left w:val="nil"/>
                          <w:bottom w:val="nil"/>
                          <w:right w:val="nil"/>
                        </w:tcBorders>
                      </w:tcPr>
                      <w:p>
                        <w:pPr>
                          <w:pStyle w:val="TableParagraph"/>
                          <w:spacing w:before="100"/>
                          <w:ind w:left="116"/>
                          <w:rPr>
                            <w:sz w:val="19"/>
                          </w:rPr>
                        </w:pPr>
                        <w:r>
                          <w:rPr>
                            <w:sz w:val="19"/>
                          </w:rPr>
                          <w:t>16.4</w:t>
                        </w:r>
                      </w:p>
                    </w:tc>
                  </w:tr>
                  <w:tr>
                    <w:trPr>
                      <w:trHeight w:val="396" w:hRule="exact"/>
                    </w:trPr>
                    <w:tc>
                      <w:tcPr>
                        <w:tcW w:w="3120" w:type="dxa"/>
                        <w:tcBorders>
                          <w:top w:val="nil"/>
                          <w:left w:val="nil"/>
                          <w:bottom w:val="nil"/>
                          <w:right w:val="nil"/>
                        </w:tcBorders>
                      </w:tcPr>
                      <w:p>
                        <w:pPr>
                          <w:pStyle w:val="TableParagraph"/>
                          <w:spacing w:before="87"/>
                          <w:ind w:left="105"/>
                          <w:rPr>
                            <w:b/>
                            <w:sz w:val="19"/>
                          </w:rPr>
                        </w:pPr>
                        <w:r>
                          <w:rPr>
                            <w:b/>
                            <w:sz w:val="19"/>
                          </w:rPr>
                          <w:t>Saponins</w:t>
                        </w:r>
                      </w:p>
                    </w:tc>
                    <w:tc>
                      <w:tcPr>
                        <w:tcW w:w="1485" w:type="dxa"/>
                        <w:tcBorders>
                          <w:top w:val="nil"/>
                          <w:left w:val="nil"/>
                          <w:bottom w:val="nil"/>
                          <w:right w:val="nil"/>
                        </w:tcBorders>
                      </w:tcPr>
                      <w:p>
                        <w:pPr/>
                      </w:p>
                    </w:tc>
                    <w:tc>
                      <w:tcPr>
                        <w:tcW w:w="1297" w:type="dxa"/>
                        <w:tcBorders>
                          <w:top w:val="nil"/>
                          <w:left w:val="nil"/>
                          <w:bottom w:val="nil"/>
                          <w:right w:val="nil"/>
                        </w:tcBorders>
                      </w:tcPr>
                      <w:p>
                        <w:pPr/>
                      </w:p>
                    </w:tc>
                    <w:tc>
                      <w:tcPr>
                        <w:tcW w:w="2459" w:type="dxa"/>
                        <w:tcBorders>
                          <w:top w:val="nil"/>
                          <w:left w:val="nil"/>
                          <w:bottom w:val="nil"/>
                          <w:right w:val="nil"/>
                        </w:tcBorders>
                      </w:tcPr>
                      <w:p>
                        <w:pPr>
                          <w:pStyle w:val="TableParagraph"/>
                          <w:spacing w:before="94"/>
                          <w:ind w:left="116"/>
                          <w:rPr>
                            <w:sz w:val="19"/>
                          </w:rPr>
                        </w:pPr>
                        <w:r>
                          <w:rPr>
                            <w:sz w:val="19"/>
                          </w:rPr>
                          <w:t>5.4</w:t>
                        </w:r>
                      </w:p>
                    </w:tc>
                  </w:tr>
                  <w:tr>
                    <w:trPr>
                      <w:trHeight w:val="525" w:hRule="exact"/>
                    </w:trPr>
                    <w:tc>
                      <w:tcPr>
                        <w:tcW w:w="3120" w:type="dxa"/>
                        <w:tcBorders>
                          <w:top w:val="nil"/>
                          <w:left w:val="nil"/>
                          <w:right w:val="nil"/>
                        </w:tcBorders>
                      </w:tcPr>
                      <w:p>
                        <w:pPr>
                          <w:pStyle w:val="TableParagraph"/>
                          <w:spacing w:before="74"/>
                          <w:ind w:left="105"/>
                          <w:rPr>
                            <w:b/>
                            <w:sz w:val="12"/>
                          </w:rPr>
                        </w:pPr>
                        <w:r>
                          <w:rPr>
                            <w:b/>
                            <w:sz w:val="19"/>
                          </w:rPr>
                          <w:t>Aqueous fraction</w:t>
                        </w:r>
                        <w:r>
                          <w:rPr>
                            <w:b/>
                            <w:position w:val="10"/>
                            <w:sz w:val="12"/>
                          </w:rPr>
                          <w:t>3</w:t>
                        </w:r>
                      </w:p>
                    </w:tc>
                    <w:tc>
                      <w:tcPr>
                        <w:tcW w:w="1485" w:type="dxa"/>
                        <w:tcBorders>
                          <w:top w:val="nil"/>
                          <w:left w:val="nil"/>
                          <w:right w:val="nil"/>
                        </w:tcBorders>
                      </w:tcPr>
                      <w:p>
                        <w:pPr/>
                      </w:p>
                    </w:tc>
                    <w:tc>
                      <w:tcPr>
                        <w:tcW w:w="1297" w:type="dxa"/>
                        <w:tcBorders>
                          <w:top w:val="nil"/>
                          <w:left w:val="nil"/>
                          <w:right w:val="nil"/>
                        </w:tcBorders>
                      </w:tcPr>
                      <w:p>
                        <w:pPr/>
                      </w:p>
                    </w:tc>
                    <w:tc>
                      <w:tcPr>
                        <w:tcW w:w="2459" w:type="dxa"/>
                        <w:tcBorders>
                          <w:top w:val="nil"/>
                          <w:left w:val="nil"/>
                          <w:right w:val="nil"/>
                        </w:tcBorders>
                      </w:tcPr>
                      <w:p>
                        <w:pPr>
                          <w:pStyle w:val="TableParagraph"/>
                          <w:spacing w:before="116"/>
                          <w:ind w:left="116"/>
                          <w:rPr>
                            <w:sz w:val="19"/>
                          </w:rPr>
                        </w:pPr>
                        <w:r>
                          <w:rPr>
                            <w:sz w:val="19"/>
                          </w:rPr>
                          <w:t>76.3</w:t>
                        </w:r>
                      </w:p>
                    </w:tc>
                  </w:tr>
                </w:tbl>
                <w:p>
                  <w:pPr>
                    <w:pStyle w:val="BodyText"/>
                  </w:pPr>
                </w:p>
              </w:txbxContent>
            </v:textbox>
            <w10:wrap type="none"/>
          </v:shape>
        </w:pict>
      </w:r>
      <w:r>
        <w:rPr>
          <w:rFonts w:ascii="Times New Roman"/>
          <w:position w:val="10"/>
          <w:sz w:val="13"/>
        </w:rPr>
        <w:t>1</w:t>
      </w:r>
      <w:r>
        <w:rPr>
          <w:rFonts w:ascii="Times New Roman"/>
          <w:sz w:val="21"/>
        </w:rPr>
        <w:t>DM expressed as g/kg fresh silage.</w:t>
      </w:r>
      <w:r>
        <w:rPr>
          <w:rFonts w:ascii="Times New Roman"/>
          <w:position w:val="10"/>
          <w:sz w:val="13"/>
        </w:rPr>
        <w:t>2</w:t>
      </w:r>
      <w:r>
        <w:rPr>
          <w:rFonts w:ascii="Times New Roman"/>
          <w:sz w:val="21"/>
        </w:rPr>
        <w:t>Mineral mixture: Ca, 190 g/d; </w:t>
      </w:r>
      <w:r>
        <w:rPr>
          <w:rFonts w:ascii="Times New Roman"/>
          <w:spacing w:val="-3"/>
          <w:sz w:val="21"/>
        </w:rPr>
        <w:t>P,  </w:t>
      </w:r>
      <w:r>
        <w:rPr>
          <w:rFonts w:ascii="Times New Roman"/>
          <w:sz w:val="21"/>
        </w:rPr>
        <w:t>115 g/d; Mg, 63 g/d; Cl,167  g/d;</w:t>
      </w:r>
      <w:r>
        <w:rPr>
          <w:rFonts w:ascii="Times New Roman"/>
          <w:spacing w:val="22"/>
          <w:sz w:val="21"/>
        </w:rPr>
        <w:t> </w:t>
      </w:r>
      <w:r>
        <w:rPr>
          <w:rFonts w:ascii="Times New Roman"/>
          <w:sz w:val="21"/>
        </w:rPr>
        <w:t>K,</w:t>
      </w:r>
      <w:r>
        <w:rPr>
          <w:rFonts w:ascii="Times New Roman"/>
          <w:spacing w:val="23"/>
          <w:sz w:val="21"/>
        </w:rPr>
        <w:t> </w:t>
      </w:r>
      <w:r>
        <w:rPr>
          <w:rFonts w:ascii="Times New Roman"/>
          <w:sz w:val="21"/>
        </w:rPr>
        <w:t>380</w:t>
      </w:r>
      <w:r>
        <w:rPr>
          <w:rFonts w:ascii="Times New Roman"/>
          <w:spacing w:val="22"/>
          <w:sz w:val="21"/>
        </w:rPr>
        <w:t> </w:t>
      </w:r>
      <w:r>
        <w:rPr>
          <w:rFonts w:ascii="Times New Roman"/>
          <w:sz w:val="21"/>
        </w:rPr>
        <w:t>g/d;</w:t>
      </w:r>
      <w:r>
        <w:rPr>
          <w:rFonts w:ascii="Times New Roman"/>
          <w:spacing w:val="17"/>
          <w:sz w:val="21"/>
        </w:rPr>
        <w:t> </w:t>
      </w:r>
      <w:r>
        <w:rPr>
          <w:rFonts w:ascii="Times New Roman"/>
          <w:sz w:val="21"/>
        </w:rPr>
        <w:t>Na,</w:t>
      </w:r>
      <w:r>
        <w:rPr>
          <w:rFonts w:ascii="Times New Roman"/>
          <w:spacing w:val="23"/>
          <w:sz w:val="21"/>
        </w:rPr>
        <w:t> </w:t>
      </w:r>
      <w:r>
        <w:rPr>
          <w:rFonts w:ascii="Times New Roman"/>
          <w:sz w:val="21"/>
        </w:rPr>
        <w:t>70</w:t>
      </w:r>
      <w:r>
        <w:rPr>
          <w:rFonts w:ascii="Times New Roman"/>
          <w:spacing w:val="22"/>
          <w:sz w:val="21"/>
        </w:rPr>
        <w:t> </w:t>
      </w:r>
      <w:r>
        <w:rPr>
          <w:rFonts w:ascii="Times New Roman"/>
          <w:sz w:val="21"/>
        </w:rPr>
        <w:t>g/d;</w:t>
      </w:r>
      <w:r>
        <w:rPr>
          <w:rFonts w:ascii="Times New Roman"/>
          <w:spacing w:val="22"/>
          <w:sz w:val="21"/>
        </w:rPr>
        <w:t> </w:t>
      </w:r>
      <w:r>
        <w:rPr>
          <w:rFonts w:ascii="Times New Roman"/>
          <w:sz w:val="21"/>
        </w:rPr>
        <w:t>S,</w:t>
      </w:r>
      <w:r>
        <w:rPr>
          <w:rFonts w:ascii="Times New Roman"/>
          <w:spacing w:val="21"/>
          <w:sz w:val="21"/>
        </w:rPr>
        <w:t> </w:t>
      </w:r>
      <w:r>
        <w:rPr>
          <w:rFonts w:ascii="Times New Roman"/>
          <w:sz w:val="21"/>
        </w:rPr>
        <w:t>53</w:t>
      </w:r>
      <w:r>
        <w:rPr>
          <w:rFonts w:ascii="Times New Roman"/>
          <w:spacing w:val="22"/>
          <w:sz w:val="21"/>
        </w:rPr>
        <w:t> </w:t>
      </w:r>
      <w:r>
        <w:rPr>
          <w:rFonts w:ascii="Times New Roman"/>
          <w:sz w:val="21"/>
        </w:rPr>
        <w:t>g/d;</w:t>
      </w:r>
      <w:r>
        <w:rPr>
          <w:rFonts w:ascii="Times New Roman"/>
          <w:spacing w:val="22"/>
          <w:sz w:val="21"/>
        </w:rPr>
        <w:t> </w:t>
      </w:r>
      <w:r>
        <w:rPr>
          <w:rFonts w:ascii="Times New Roman"/>
          <w:sz w:val="21"/>
        </w:rPr>
        <w:t>Co,</w:t>
      </w:r>
      <w:r>
        <w:rPr>
          <w:rFonts w:ascii="Times New Roman"/>
          <w:spacing w:val="21"/>
          <w:sz w:val="21"/>
        </w:rPr>
        <w:t> </w:t>
      </w:r>
      <w:r>
        <w:rPr>
          <w:rFonts w:ascii="Times New Roman"/>
          <w:sz w:val="21"/>
        </w:rPr>
        <w:t>3.3</w:t>
      </w:r>
      <w:r>
        <w:rPr>
          <w:rFonts w:ascii="Times New Roman"/>
          <w:spacing w:val="20"/>
          <w:sz w:val="21"/>
        </w:rPr>
        <w:t> </w:t>
      </w:r>
      <w:r>
        <w:rPr>
          <w:rFonts w:ascii="Times New Roman"/>
          <w:sz w:val="21"/>
        </w:rPr>
        <w:t>mg/d;</w:t>
      </w:r>
      <w:r>
        <w:rPr>
          <w:rFonts w:ascii="Times New Roman"/>
          <w:spacing w:val="20"/>
          <w:sz w:val="21"/>
        </w:rPr>
        <w:t> </w:t>
      </w:r>
      <w:r>
        <w:rPr>
          <w:rFonts w:ascii="Times New Roman"/>
          <w:sz w:val="21"/>
        </w:rPr>
        <w:t>Cu,</w:t>
      </w:r>
      <w:r>
        <w:rPr>
          <w:rFonts w:ascii="Times New Roman"/>
          <w:spacing w:val="23"/>
          <w:sz w:val="21"/>
        </w:rPr>
        <w:t> </w:t>
      </w:r>
      <w:r>
        <w:rPr>
          <w:rFonts w:ascii="Times New Roman"/>
          <w:sz w:val="21"/>
        </w:rPr>
        <w:t>197</w:t>
      </w:r>
      <w:r>
        <w:rPr>
          <w:rFonts w:ascii="Times New Roman"/>
          <w:spacing w:val="20"/>
          <w:sz w:val="21"/>
        </w:rPr>
        <w:t> </w:t>
      </w:r>
      <w:r>
        <w:rPr>
          <w:rFonts w:ascii="Times New Roman"/>
          <w:sz w:val="21"/>
        </w:rPr>
        <w:t>mg/d;Fe,</w:t>
      </w:r>
      <w:r>
        <w:rPr>
          <w:rFonts w:ascii="Times New Roman"/>
          <w:spacing w:val="23"/>
          <w:sz w:val="21"/>
        </w:rPr>
        <w:t> </w:t>
      </w:r>
      <w:r>
        <w:rPr>
          <w:rFonts w:ascii="Times New Roman"/>
          <w:sz w:val="21"/>
        </w:rPr>
        <w:t>360</w:t>
      </w:r>
      <w:r>
        <w:rPr>
          <w:rFonts w:ascii="Times New Roman"/>
          <w:spacing w:val="20"/>
          <w:sz w:val="21"/>
        </w:rPr>
        <w:t> </w:t>
      </w:r>
      <w:r>
        <w:rPr>
          <w:rFonts w:ascii="Times New Roman"/>
          <w:sz w:val="21"/>
        </w:rPr>
        <w:t>mg/d;</w:t>
      </w:r>
      <w:r>
        <w:rPr>
          <w:rFonts w:ascii="Times New Roman"/>
          <w:spacing w:val="22"/>
          <w:sz w:val="21"/>
        </w:rPr>
        <w:t> </w:t>
      </w:r>
      <w:r>
        <w:rPr>
          <w:rFonts w:ascii="Times New Roman"/>
          <w:sz w:val="21"/>
        </w:rPr>
        <w:t>Mn,</w:t>
      </w:r>
      <w:r>
        <w:rPr>
          <w:rFonts w:ascii="Times New Roman"/>
          <w:spacing w:val="23"/>
          <w:sz w:val="21"/>
        </w:rPr>
        <w:t> </w:t>
      </w:r>
      <w:r>
        <w:rPr>
          <w:rFonts w:ascii="Times New Roman"/>
          <w:sz w:val="21"/>
        </w:rPr>
        <w:t>900</w:t>
      </w:r>
      <w:r>
        <w:rPr>
          <w:rFonts w:ascii="Times New Roman"/>
          <w:spacing w:val="20"/>
          <w:sz w:val="21"/>
        </w:rPr>
        <w:t> </w:t>
      </w:r>
      <w:r>
        <w:rPr>
          <w:rFonts w:ascii="Times New Roman"/>
          <w:sz w:val="21"/>
        </w:rPr>
        <w:t>mg/d;</w:t>
      </w:r>
    </w:p>
    <w:p>
      <w:pPr>
        <w:spacing w:line="244" w:lineRule="exact" w:before="0"/>
        <w:ind w:left="116" w:right="224" w:firstLine="0"/>
        <w:jc w:val="left"/>
        <w:rPr>
          <w:rFonts w:ascii="Times New Roman"/>
          <w:sz w:val="13"/>
        </w:rPr>
      </w:pPr>
      <w:r>
        <w:rPr>
          <w:rFonts w:ascii="Times New Roman"/>
          <w:sz w:val="21"/>
        </w:rPr>
        <w:t>Se, 2 mg/d; Zn, 810 mg/d; Vit.A, 940(1000 IU/d); Vit.D, 165 (1000 IU/d); Vit.E, 374 (1000 IU/d).</w:t>
      </w:r>
      <w:r>
        <w:rPr>
          <w:rFonts w:ascii="Times New Roman"/>
          <w:position w:val="10"/>
          <w:sz w:val="13"/>
        </w:rPr>
        <w:t>3</w:t>
      </w:r>
    </w:p>
    <w:p>
      <w:pPr>
        <w:spacing w:before="41"/>
        <w:ind w:left="115" w:right="224" w:firstLine="0"/>
        <w:jc w:val="left"/>
        <w:rPr>
          <w:rFonts w:ascii="Times New Roman"/>
          <w:sz w:val="21"/>
        </w:rPr>
      </w:pPr>
      <w:r>
        <w:rPr>
          <w:rFonts w:ascii="Times New Roman"/>
          <w:sz w:val="21"/>
        </w:rPr>
        <w:t>The aqueous fraction contains lectins, polypeptides and starch (Cowan,  1999)</w:t>
      </w:r>
    </w:p>
    <w:p>
      <w:pPr>
        <w:spacing w:after="0"/>
        <w:jc w:val="left"/>
        <w:rPr>
          <w:rFonts w:ascii="Times New Roman"/>
          <w:sz w:val="21"/>
        </w:rPr>
        <w:sectPr>
          <w:pgSz w:w="11900" w:h="16840"/>
          <w:pgMar w:header="0" w:footer="1679" w:top="1600" w:bottom="1860" w:left="1540" w:right="1520"/>
        </w:sectPr>
      </w:pPr>
    </w:p>
    <w:p>
      <w:pPr>
        <w:pStyle w:val="BodyText"/>
        <w:rPr>
          <w:rFonts w:ascii="Times New Roman"/>
          <w:sz w:val="20"/>
        </w:rPr>
      </w:pPr>
    </w:p>
    <w:p>
      <w:pPr>
        <w:pStyle w:val="BodyText"/>
        <w:spacing w:before="7"/>
        <w:rPr>
          <w:rFonts w:ascii="Times New Roman"/>
          <w:sz w:val="21"/>
        </w:rPr>
      </w:pPr>
    </w:p>
    <w:p>
      <w:pPr>
        <w:pStyle w:val="BodyText"/>
        <w:spacing w:line="244" w:lineRule="auto" w:before="74"/>
        <w:ind w:left="172" w:right="519"/>
        <w:rPr>
          <w:rFonts w:ascii="Times New Roman"/>
        </w:rPr>
      </w:pPr>
      <w:r>
        <w:rPr>
          <w:rFonts w:ascii="Times New Roman"/>
          <w:b/>
        </w:rPr>
        <w:t>Table 2. </w:t>
      </w:r>
      <w:r>
        <w:rPr>
          <w:rFonts w:ascii="Times New Roman"/>
        </w:rPr>
        <w:t>Serum biochemistry parameters in growing lambs treated with </w:t>
      </w:r>
      <w:r>
        <w:rPr>
          <w:rFonts w:ascii="Times New Roman"/>
          <w:i/>
        </w:rPr>
        <w:t>S. babylonica </w:t>
      </w:r>
      <w:r>
        <w:rPr>
          <w:rFonts w:ascii="Times New Roman"/>
        </w:rPr>
        <w:t>L. (SB), exogenous enzyme preparation (EZ) and their mixture (EZSB) sampled the days 0, 15, 40, 45 and 60 of the  experiment</w:t>
      </w:r>
    </w:p>
    <w:p>
      <w:pPr>
        <w:pStyle w:val="BodyText"/>
        <w:rPr>
          <w:rFonts w:ascii="Times New Roman"/>
          <w:sz w:val="20"/>
        </w:rPr>
      </w:pPr>
    </w:p>
    <w:p>
      <w:pPr>
        <w:pStyle w:val="BodyText"/>
        <w:spacing w:before="4"/>
        <w:rPr>
          <w:rFonts w:ascii="Times New Roman"/>
          <w:sz w:val="18"/>
        </w:rPr>
      </w:pPr>
      <w:r>
        <w:rPr/>
        <w:pict>
          <v:group style="position:absolute;margin-left:101.070641pt;margin-top:12.49876pt;width:645.4pt;height:.4pt;mso-position-horizontal-relative:page;mso-position-vertical-relative:paragraph;z-index:3856;mso-wrap-distance-left:0;mso-wrap-distance-right:0" coordorigin="2021,250" coordsize="12908,8">
            <v:line style="position:absolute" from="2025,254" to="3900,254" stroked="true" strokeweight=".36pt" strokecolor="#000000"/>
            <v:line style="position:absolute" from="3900,254" to="3909,254" stroked="true" strokeweight=".36pt" strokecolor="#000000"/>
            <v:line style="position:absolute" from="3909,254" to="4577,254" stroked="true" strokeweight=".36pt" strokecolor="#000000"/>
            <v:line style="position:absolute" from="4577,254" to="4586,254" stroked="true" strokeweight=".36pt" strokecolor="#000000"/>
            <v:line style="position:absolute" from="4586,254" to="5820,254" stroked="true" strokeweight=".36pt" strokecolor="#000000"/>
            <v:line style="position:absolute" from="5820,254" to="5829,254" stroked="true" strokeweight=".36pt" strokecolor="#000000"/>
            <v:line style="position:absolute" from="5829,254" to="6921,254" stroked="true" strokeweight=".36pt" strokecolor="#000000"/>
            <v:line style="position:absolute" from="6921,254" to="6931,254" stroked="true" strokeweight=".36pt" strokecolor="#000000"/>
            <v:line style="position:absolute" from="6931,254" to="8097,254" stroked="true" strokeweight=".36pt" strokecolor="#000000"/>
            <v:line style="position:absolute" from="8097,254" to="8107,254" stroked="true" strokeweight=".36pt" strokecolor="#000000"/>
            <v:line style="position:absolute" from="8107,254" to="8969,254" stroked="true" strokeweight=".36pt" strokecolor="#000000"/>
            <v:line style="position:absolute" from="8969,254" to="8978,254" stroked="true" strokeweight=".36pt" strokecolor="#000000"/>
            <v:line style="position:absolute" from="8978,254" to="9751,254" stroked="true" strokeweight=".36pt" strokecolor="#000000"/>
            <v:line style="position:absolute" from="9751,254" to="9761,254" stroked="true" strokeweight=".36pt" strokecolor="#000000"/>
            <v:line style="position:absolute" from="9761,254" to="10531,254" stroked="true" strokeweight=".36pt" strokecolor="#000000"/>
            <v:line style="position:absolute" from="10531,254" to="10541,254" stroked="true" strokeweight=".36pt" strokecolor="#000000"/>
            <v:line style="position:absolute" from="10541,254" to="11313,254" stroked="true" strokeweight=".36pt" strokecolor="#000000"/>
            <v:line style="position:absolute" from="11313,254" to="11323,254" stroked="true" strokeweight=".36pt" strokecolor="#000000"/>
            <v:line style="position:absolute" from="11323,254" to="12307,254" stroked="true" strokeweight=".36pt" strokecolor="#000000"/>
            <v:line style="position:absolute" from="12307,254" to="12317,254" stroked="true" strokeweight=".36pt" strokecolor="#000000"/>
            <v:line style="position:absolute" from="12317,254" to="13685,254" stroked="true" strokeweight=".36pt" strokecolor="#000000"/>
            <v:line style="position:absolute" from="13685,254" to="13694,254" stroked="true" strokeweight=".36pt" strokecolor="#000000"/>
            <v:line style="position:absolute" from="13694,254" to="14925,254" stroked="true" strokeweight=".36pt" strokecolor="#000000"/>
            <w10:wrap type="topAndBottom"/>
          </v:group>
        </w:pict>
      </w:r>
    </w:p>
    <w:p>
      <w:pPr>
        <w:pStyle w:val="BodyText"/>
        <w:spacing w:before="2"/>
        <w:rPr>
          <w:rFonts w:ascii="Times New Roman"/>
          <w:sz w:val="6"/>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1"/>
        <w:gridCol w:w="1040"/>
        <w:gridCol w:w="1310"/>
        <w:gridCol w:w="1160"/>
        <w:gridCol w:w="1202"/>
        <w:gridCol w:w="871"/>
        <w:gridCol w:w="747"/>
        <w:gridCol w:w="774"/>
        <w:gridCol w:w="808"/>
        <w:gridCol w:w="1007"/>
        <w:gridCol w:w="1376"/>
        <w:gridCol w:w="1253"/>
      </w:tblGrid>
      <w:tr>
        <w:trPr>
          <w:trHeight w:val="723" w:hRule="exact"/>
        </w:trPr>
        <w:tc>
          <w:tcPr>
            <w:tcW w:w="3700" w:type="dxa"/>
            <w:gridSpan w:val="3"/>
            <w:tcBorders>
              <w:bottom w:val="single" w:sz="4" w:space="0" w:color="000000"/>
            </w:tcBorders>
          </w:tcPr>
          <w:p>
            <w:pPr>
              <w:pStyle w:val="TableParagraph"/>
              <w:tabs>
                <w:tab w:pos="1983" w:val="left" w:leader="none"/>
                <w:tab w:pos="2814" w:val="left" w:leader="none"/>
              </w:tabs>
              <w:spacing w:line="276" w:lineRule="exact" w:before="81"/>
              <w:ind w:left="467"/>
              <w:rPr>
                <w:b/>
                <w:sz w:val="19"/>
              </w:rPr>
            </w:pPr>
            <w:r>
              <w:rPr>
                <w:b/>
                <w:sz w:val="19"/>
              </w:rPr>
              <w:t>Treatment</w:t>
              <w:tab/>
              <w:t>Time</w:t>
              <w:tab/>
            </w:r>
            <w:r>
              <w:rPr>
                <w:b/>
                <w:position w:val="11"/>
                <w:sz w:val="19"/>
              </w:rPr>
              <w:t>Protein,</w:t>
            </w:r>
          </w:p>
          <w:p>
            <w:pPr>
              <w:pStyle w:val="TableParagraph"/>
              <w:spacing w:line="166" w:lineRule="exact" w:before="0"/>
              <w:ind w:left="0" w:right="376"/>
              <w:jc w:val="right"/>
              <w:rPr>
                <w:b/>
                <w:sz w:val="19"/>
              </w:rPr>
            </w:pPr>
            <w:r>
              <w:rPr>
                <w:b/>
                <w:sz w:val="19"/>
              </w:rPr>
              <w:t>g/L</w:t>
            </w:r>
          </w:p>
        </w:tc>
        <w:tc>
          <w:tcPr>
            <w:tcW w:w="1160" w:type="dxa"/>
            <w:tcBorders>
              <w:bottom w:val="single" w:sz="4" w:space="0" w:color="000000"/>
            </w:tcBorders>
          </w:tcPr>
          <w:p>
            <w:pPr>
              <w:pStyle w:val="TableParagraph"/>
              <w:spacing w:line="247" w:lineRule="auto" w:before="79"/>
              <w:ind w:left="299" w:right="103" w:hanging="65"/>
              <w:rPr>
                <w:b/>
                <w:sz w:val="19"/>
              </w:rPr>
            </w:pPr>
            <w:r>
              <w:rPr>
                <w:b/>
                <w:sz w:val="19"/>
              </w:rPr>
              <w:t>Glucose, mmol/L</w:t>
            </w:r>
          </w:p>
        </w:tc>
        <w:tc>
          <w:tcPr>
            <w:tcW w:w="1202" w:type="dxa"/>
            <w:tcBorders>
              <w:bottom w:val="single" w:sz="4" w:space="0" w:color="000000"/>
            </w:tcBorders>
          </w:tcPr>
          <w:p>
            <w:pPr>
              <w:pStyle w:val="TableParagraph"/>
              <w:spacing w:before="79"/>
              <w:ind w:left="111" w:right="68"/>
              <w:jc w:val="center"/>
              <w:rPr>
                <w:b/>
                <w:sz w:val="19"/>
              </w:rPr>
            </w:pPr>
            <w:r>
              <w:rPr>
                <w:b/>
                <w:sz w:val="19"/>
              </w:rPr>
              <w:t>Creatinine,</w:t>
            </w:r>
          </w:p>
          <w:p>
            <w:pPr>
              <w:pStyle w:val="TableParagraph"/>
              <w:spacing w:before="7"/>
              <w:ind w:left="111" w:right="64"/>
              <w:jc w:val="center"/>
              <w:rPr>
                <w:b/>
                <w:sz w:val="19"/>
              </w:rPr>
            </w:pPr>
            <w:r>
              <w:rPr>
                <w:b/>
                <w:w w:val="105"/>
                <w:sz w:val="19"/>
              </w:rPr>
              <w:t>µmol/L</w:t>
            </w:r>
          </w:p>
        </w:tc>
        <w:tc>
          <w:tcPr>
            <w:tcW w:w="871" w:type="dxa"/>
            <w:tcBorders>
              <w:bottom w:val="single" w:sz="4" w:space="0" w:color="000000"/>
            </w:tcBorders>
          </w:tcPr>
          <w:p>
            <w:pPr>
              <w:pStyle w:val="TableParagraph"/>
              <w:spacing w:before="79"/>
              <w:ind w:left="85" w:right="68"/>
              <w:jc w:val="center"/>
              <w:rPr>
                <w:b/>
                <w:sz w:val="19"/>
              </w:rPr>
            </w:pPr>
            <w:r>
              <w:rPr>
                <w:b/>
                <w:sz w:val="19"/>
              </w:rPr>
              <w:t>BUN,</w:t>
            </w:r>
          </w:p>
          <w:p>
            <w:pPr>
              <w:pStyle w:val="TableParagraph"/>
              <w:spacing w:before="7"/>
              <w:ind w:left="87" w:right="68"/>
              <w:jc w:val="center"/>
              <w:rPr>
                <w:b/>
                <w:sz w:val="19"/>
              </w:rPr>
            </w:pPr>
            <w:r>
              <w:rPr>
                <w:b/>
                <w:sz w:val="19"/>
              </w:rPr>
              <w:t>mmol/L</w:t>
            </w:r>
          </w:p>
        </w:tc>
        <w:tc>
          <w:tcPr>
            <w:tcW w:w="747" w:type="dxa"/>
            <w:tcBorders>
              <w:bottom w:val="single" w:sz="4" w:space="0" w:color="000000"/>
            </w:tcBorders>
          </w:tcPr>
          <w:p>
            <w:pPr>
              <w:pStyle w:val="TableParagraph"/>
              <w:spacing w:before="79"/>
              <w:ind w:left="185"/>
              <w:rPr>
                <w:b/>
                <w:sz w:val="19"/>
              </w:rPr>
            </w:pPr>
            <w:r>
              <w:rPr>
                <w:b/>
                <w:sz w:val="19"/>
              </w:rPr>
              <w:t>ALT,</w:t>
            </w:r>
          </w:p>
          <w:p>
            <w:pPr>
              <w:pStyle w:val="TableParagraph"/>
              <w:spacing w:before="7"/>
              <w:ind w:left="245"/>
              <w:rPr>
                <w:b/>
                <w:sz w:val="19"/>
              </w:rPr>
            </w:pPr>
            <w:r>
              <w:rPr>
                <w:b/>
                <w:sz w:val="19"/>
              </w:rPr>
              <w:t>U/L</w:t>
            </w:r>
          </w:p>
        </w:tc>
        <w:tc>
          <w:tcPr>
            <w:tcW w:w="774" w:type="dxa"/>
            <w:tcBorders>
              <w:bottom w:val="single" w:sz="4" w:space="0" w:color="000000"/>
            </w:tcBorders>
          </w:tcPr>
          <w:p>
            <w:pPr>
              <w:pStyle w:val="TableParagraph"/>
              <w:spacing w:before="79"/>
              <w:ind w:left="213"/>
              <w:rPr>
                <w:b/>
                <w:sz w:val="19"/>
              </w:rPr>
            </w:pPr>
            <w:r>
              <w:rPr>
                <w:b/>
                <w:sz w:val="19"/>
              </w:rPr>
              <w:t>AST,</w:t>
            </w:r>
          </w:p>
          <w:p>
            <w:pPr>
              <w:pStyle w:val="TableParagraph"/>
              <w:spacing w:before="7"/>
              <w:ind w:left="278"/>
              <w:rPr>
                <w:b/>
                <w:sz w:val="19"/>
              </w:rPr>
            </w:pPr>
            <w:r>
              <w:rPr>
                <w:b/>
                <w:sz w:val="19"/>
              </w:rPr>
              <w:t>U/L</w:t>
            </w:r>
          </w:p>
        </w:tc>
        <w:tc>
          <w:tcPr>
            <w:tcW w:w="808" w:type="dxa"/>
            <w:tcBorders>
              <w:bottom w:val="single" w:sz="4" w:space="0" w:color="000000"/>
            </w:tcBorders>
          </w:tcPr>
          <w:p>
            <w:pPr>
              <w:pStyle w:val="TableParagraph"/>
              <w:spacing w:before="79"/>
              <w:ind w:left="221"/>
              <w:rPr>
                <w:b/>
                <w:sz w:val="19"/>
              </w:rPr>
            </w:pPr>
            <w:r>
              <w:rPr>
                <w:b/>
                <w:sz w:val="19"/>
              </w:rPr>
              <w:t>ALP,</w:t>
            </w:r>
          </w:p>
          <w:p>
            <w:pPr>
              <w:pStyle w:val="TableParagraph"/>
              <w:spacing w:before="7"/>
              <w:ind w:left="286"/>
              <w:rPr>
                <w:b/>
                <w:sz w:val="19"/>
              </w:rPr>
            </w:pPr>
            <w:r>
              <w:rPr>
                <w:b/>
                <w:sz w:val="19"/>
              </w:rPr>
              <w:t>U/L</w:t>
            </w:r>
          </w:p>
        </w:tc>
        <w:tc>
          <w:tcPr>
            <w:tcW w:w="1007" w:type="dxa"/>
            <w:tcBorders>
              <w:bottom w:val="single" w:sz="4" w:space="0" w:color="000000"/>
            </w:tcBorders>
          </w:tcPr>
          <w:p>
            <w:pPr>
              <w:pStyle w:val="TableParagraph"/>
              <w:spacing w:line="247" w:lineRule="auto" w:before="79"/>
              <w:ind w:left="173" w:hanging="58"/>
              <w:rPr>
                <w:b/>
                <w:sz w:val="19"/>
              </w:rPr>
            </w:pPr>
            <w:r>
              <w:rPr>
                <w:b/>
                <w:sz w:val="19"/>
              </w:rPr>
              <w:t>Calcium, mmol/L</w:t>
            </w:r>
          </w:p>
        </w:tc>
        <w:tc>
          <w:tcPr>
            <w:tcW w:w="1376" w:type="dxa"/>
            <w:tcBorders>
              <w:bottom w:val="single" w:sz="4" w:space="0" w:color="000000"/>
            </w:tcBorders>
          </w:tcPr>
          <w:p>
            <w:pPr>
              <w:pStyle w:val="TableParagraph"/>
              <w:spacing w:line="247" w:lineRule="auto" w:before="79"/>
              <w:ind w:left="357" w:hanging="250"/>
              <w:rPr>
                <w:b/>
                <w:sz w:val="19"/>
              </w:rPr>
            </w:pPr>
            <w:r>
              <w:rPr>
                <w:b/>
                <w:sz w:val="19"/>
              </w:rPr>
              <w:t>Phosphorus, mmol/L</w:t>
            </w:r>
          </w:p>
        </w:tc>
        <w:tc>
          <w:tcPr>
            <w:tcW w:w="1253" w:type="dxa"/>
            <w:tcBorders>
              <w:bottom w:val="single" w:sz="4" w:space="0" w:color="000000"/>
            </w:tcBorders>
          </w:tcPr>
          <w:p>
            <w:pPr>
              <w:pStyle w:val="TableParagraph"/>
              <w:spacing w:line="247" w:lineRule="auto" w:before="79"/>
              <w:ind w:left="288" w:hanging="190"/>
              <w:rPr>
                <w:b/>
                <w:sz w:val="19"/>
              </w:rPr>
            </w:pPr>
            <w:r>
              <w:rPr>
                <w:b/>
                <w:sz w:val="19"/>
              </w:rPr>
              <w:t>Magnesium mmol/L</w:t>
            </w:r>
          </w:p>
        </w:tc>
      </w:tr>
      <w:tr>
        <w:trPr>
          <w:trHeight w:val="303" w:hRule="exact"/>
        </w:trPr>
        <w:tc>
          <w:tcPr>
            <w:tcW w:w="1351" w:type="dxa"/>
          </w:tcPr>
          <w:p>
            <w:pPr>
              <w:pStyle w:val="TableParagraph"/>
              <w:ind w:left="68"/>
              <w:rPr>
                <w:b/>
                <w:sz w:val="19"/>
              </w:rPr>
            </w:pPr>
            <w:r>
              <w:rPr>
                <w:b/>
                <w:sz w:val="19"/>
              </w:rPr>
              <w:t>Control</w:t>
            </w:r>
          </w:p>
        </w:tc>
        <w:tc>
          <w:tcPr>
            <w:tcW w:w="1040" w:type="dxa"/>
          </w:tcPr>
          <w:p>
            <w:pPr>
              <w:pStyle w:val="TableParagraph"/>
              <w:spacing w:before="35"/>
              <w:ind w:left="0" w:right="337"/>
              <w:jc w:val="right"/>
              <w:rPr>
                <w:sz w:val="19"/>
              </w:rPr>
            </w:pPr>
            <w:r>
              <w:rPr>
                <w:w w:val="102"/>
                <w:sz w:val="19"/>
              </w:rPr>
              <w:t>0</w:t>
            </w:r>
          </w:p>
        </w:tc>
        <w:tc>
          <w:tcPr>
            <w:tcW w:w="1310" w:type="dxa"/>
          </w:tcPr>
          <w:p>
            <w:pPr>
              <w:pStyle w:val="TableParagraph"/>
              <w:spacing w:before="35"/>
              <w:ind w:left="231"/>
              <w:rPr>
                <w:sz w:val="19"/>
              </w:rPr>
            </w:pPr>
            <w:r>
              <w:rPr>
                <w:sz w:val="19"/>
              </w:rPr>
              <w:t>64.38</w:t>
            </w:r>
          </w:p>
        </w:tc>
        <w:tc>
          <w:tcPr>
            <w:tcW w:w="1160" w:type="dxa"/>
          </w:tcPr>
          <w:p>
            <w:pPr>
              <w:pStyle w:val="TableParagraph"/>
              <w:spacing w:before="35"/>
              <w:ind w:left="165" w:right="103"/>
              <w:rPr>
                <w:sz w:val="19"/>
              </w:rPr>
            </w:pPr>
            <w:r>
              <w:rPr>
                <w:sz w:val="19"/>
              </w:rPr>
              <w:t>0.6</w:t>
            </w:r>
          </w:p>
        </w:tc>
        <w:tc>
          <w:tcPr>
            <w:tcW w:w="1202" w:type="dxa"/>
          </w:tcPr>
          <w:p>
            <w:pPr>
              <w:pStyle w:val="TableParagraph"/>
              <w:spacing w:before="35"/>
              <w:ind w:left="106"/>
              <w:rPr>
                <w:sz w:val="19"/>
              </w:rPr>
            </w:pPr>
            <w:r>
              <w:rPr>
                <w:sz w:val="19"/>
              </w:rPr>
              <w:t>100.0</w:t>
            </w:r>
          </w:p>
        </w:tc>
        <w:tc>
          <w:tcPr>
            <w:tcW w:w="871" w:type="dxa"/>
          </w:tcPr>
          <w:p>
            <w:pPr>
              <w:pStyle w:val="TableParagraph"/>
              <w:spacing w:before="35"/>
              <w:ind w:left="77"/>
              <w:rPr>
                <w:sz w:val="19"/>
              </w:rPr>
            </w:pPr>
            <w:r>
              <w:rPr>
                <w:sz w:val="19"/>
              </w:rPr>
              <w:t>3.3</w:t>
            </w:r>
          </w:p>
        </w:tc>
        <w:tc>
          <w:tcPr>
            <w:tcW w:w="747" w:type="dxa"/>
          </w:tcPr>
          <w:p>
            <w:pPr>
              <w:pStyle w:val="TableParagraph"/>
              <w:spacing w:before="35"/>
              <w:ind w:left="80"/>
              <w:rPr>
                <w:sz w:val="19"/>
              </w:rPr>
            </w:pPr>
            <w:r>
              <w:rPr>
                <w:sz w:val="19"/>
              </w:rPr>
              <w:t>13.2</w:t>
            </w:r>
          </w:p>
        </w:tc>
        <w:tc>
          <w:tcPr>
            <w:tcW w:w="774" w:type="dxa"/>
          </w:tcPr>
          <w:p>
            <w:pPr>
              <w:pStyle w:val="TableParagraph"/>
              <w:spacing w:before="35"/>
              <w:ind w:left="98" w:right="265"/>
              <w:jc w:val="center"/>
              <w:rPr>
                <w:sz w:val="19"/>
              </w:rPr>
            </w:pPr>
            <w:r>
              <w:rPr>
                <w:sz w:val="19"/>
              </w:rPr>
              <w:t>52.4</w:t>
            </w:r>
          </w:p>
        </w:tc>
        <w:tc>
          <w:tcPr>
            <w:tcW w:w="808" w:type="dxa"/>
          </w:tcPr>
          <w:p>
            <w:pPr>
              <w:pStyle w:val="TableParagraph"/>
              <w:spacing w:before="35"/>
              <w:ind w:left="120"/>
              <w:rPr>
                <w:sz w:val="19"/>
              </w:rPr>
            </w:pPr>
            <w:r>
              <w:rPr>
                <w:sz w:val="19"/>
              </w:rPr>
              <w:t>179.2</w:t>
            </w:r>
          </w:p>
        </w:tc>
        <w:tc>
          <w:tcPr>
            <w:tcW w:w="1007" w:type="dxa"/>
          </w:tcPr>
          <w:p>
            <w:pPr>
              <w:pStyle w:val="TableParagraph"/>
              <w:spacing w:before="35"/>
              <w:ind w:left="92"/>
              <w:rPr>
                <w:sz w:val="19"/>
              </w:rPr>
            </w:pPr>
            <w:r>
              <w:rPr>
                <w:sz w:val="19"/>
              </w:rPr>
              <w:t>2.48</w:t>
            </w:r>
          </w:p>
        </w:tc>
        <w:tc>
          <w:tcPr>
            <w:tcW w:w="1376" w:type="dxa"/>
          </w:tcPr>
          <w:p>
            <w:pPr>
              <w:pStyle w:val="TableParagraph"/>
              <w:spacing w:before="35"/>
              <w:ind w:left="81"/>
              <w:rPr>
                <w:sz w:val="19"/>
              </w:rPr>
            </w:pPr>
            <w:r>
              <w:rPr>
                <w:sz w:val="19"/>
              </w:rPr>
              <w:t>1.97</w:t>
            </w:r>
          </w:p>
        </w:tc>
        <w:tc>
          <w:tcPr>
            <w:tcW w:w="1253" w:type="dxa"/>
          </w:tcPr>
          <w:p>
            <w:pPr>
              <w:pStyle w:val="TableParagraph"/>
              <w:spacing w:before="35"/>
              <w:ind w:left="82"/>
              <w:rPr>
                <w:sz w:val="19"/>
              </w:rPr>
            </w:pPr>
            <w:r>
              <w:rPr>
                <w:sz w:val="19"/>
              </w:rPr>
              <w:t>0.99</w:t>
            </w:r>
          </w:p>
        </w:tc>
      </w:tr>
      <w:tr>
        <w:trPr>
          <w:trHeight w:val="292" w:hRule="exact"/>
        </w:trPr>
        <w:tc>
          <w:tcPr>
            <w:tcW w:w="1351" w:type="dxa"/>
          </w:tcPr>
          <w:p>
            <w:pPr/>
          </w:p>
        </w:tc>
        <w:tc>
          <w:tcPr>
            <w:tcW w:w="1040" w:type="dxa"/>
          </w:tcPr>
          <w:p>
            <w:pPr>
              <w:pStyle w:val="TableParagraph"/>
              <w:spacing w:before="27"/>
              <w:ind w:left="0" w:right="229"/>
              <w:jc w:val="right"/>
              <w:rPr>
                <w:sz w:val="19"/>
              </w:rPr>
            </w:pPr>
            <w:r>
              <w:rPr>
                <w:sz w:val="19"/>
              </w:rPr>
              <w:t>15</w:t>
            </w:r>
          </w:p>
        </w:tc>
        <w:tc>
          <w:tcPr>
            <w:tcW w:w="1310" w:type="dxa"/>
          </w:tcPr>
          <w:p>
            <w:pPr>
              <w:pStyle w:val="TableParagraph"/>
              <w:spacing w:before="27"/>
              <w:ind w:left="231"/>
              <w:rPr>
                <w:sz w:val="19"/>
              </w:rPr>
            </w:pPr>
            <w:r>
              <w:rPr>
                <w:sz w:val="19"/>
              </w:rPr>
              <w:t>61.10</w:t>
            </w:r>
          </w:p>
        </w:tc>
        <w:tc>
          <w:tcPr>
            <w:tcW w:w="1160" w:type="dxa"/>
          </w:tcPr>
          <w:p>
            <w:pPr>
              <w:pStyle w:val="TableParagraph"/>
              <w:spacing w:before="27"/>
              <w:ind w:left="165" w:right="103"/>
              <w:rPr>
                <w:sz w:val="19"/>
              </w:rPr>
            </w:pPr>
            <w:r>
              <w:rPr>
                <w:sz w:val="19"/>
              </w:rPr>
              <w:t>2.6</w:t>
            </w:r>
          </w:p>
        </w:tc>
        <w:tc>
          <w:tcPr>
            <w:tcW w:w="1202" w:type="dxa"/>
          </w:tcPr>
          <w:p>
            <w:pPr>
              <w:pStyle w:val="TableParagraph"/>
              <w:spacing w:before="27"/>
              <w:ind w:left="106"/>
              <w:rPr>
                <w:sz w:val="19"/>
              </w:rPr>
            </w:pPr>
            <w:r>
              <w:rPr>
                <w:sz w:val="19"/>
              </w:rPr>
              <w:t>88.18</w:t>
            </w:r>
          </w:p>
        </w:tc>
        <w:tc>
          <w:tcPr>
            <w:tcW w:w="871" w:type="dxa"/>
          </w:tcPr>
          <w:p>
            <w:pPr>
              <w:pStyle w:val="TableParagraph"/>
              <w:spacing w:before="27"/>
              <w:ind w:left="77"/>
              <w:rPr>
                <w:sz w:val="19"/>
              </w:rPr>
            </w:pPr>
            <w:r>
              <w:rPr>
                <w:sz w:val="19"/>
              </w:rPr>
              <w:t>2.6</w:t>
            </w:r>
          </w:p>
        </w:tc>
        <w:tc>
          <w:tcPr>
            <w:tcW w:w="747" w:type="dxa"/>
          </w:tcPr>
          <w:p>
            <w:pPr>
              <w:pStyle w:val="TableParagraph"/>
              <w:spacing w:before="27"/>
              <w:ind w:left="80"/>
              <w:rPr>
                <w:sz w:val="19"/>
              </w:rPr>
            </w:pPr>
            <w:r>
              <w:rPr>
                <w:sz w:val="19"/>
              </w:rPr>
              <w:t>14.4</w:t>
            </w:r>
          </w:p>
        </w:tc>
        <w:tc>
          <w:tcPr>
            <w:tcW w:w="774" w:type="dxa"/>
          </w:tcPr>
          <w:p>
            <w:pPr>
              <w:pStyle w:val="TableParagraph"/>
              <w:spacing w:before="27"/>
              <w:ind w:left="98" w:right="265"/>
              <w:jc w:val="center"/>
              <w:rPr>
                <w:sz w:val="19"/>
              </w:rPr>
            </w:pPr>
            <w:r>
              <w:rPr>
                <w:sz w:val="19"/>
              </w:rPr>
              <w:t>59.6</w:t>
            </w:r>
          </w:p>
        </w:tc>
        <w:tc>
          <w:tcPr>
            <w:tcW w:w="808" w:type="dxa"/>
          </w:tcPr>
          <w:p>
            <w:pPr>
              <w:pStyle w:val="TableParagraph"/>
              <w:spacing w:before="27"/>
              <w:ind w:left="120"/>
              <w:rPr>
                <w:sz w:val="19"/>
              </w:rPr>
            </w:pPr>
            <w:r>
              <w:rPr>
                <w:sz w:val="19"/>
              </w:rPr>
              <w:t>224.4</w:t>
            </w:r>
          </w:p>
        </w:tc>
        <w:tc>
          <w:tcPr>
            <w:tcW w:w="1007" w:type="dxa"/>
          </w:tcPr>
          <w:p>
            <w:pPr>
              <w:pStyle w:val="TableParagraph"/>
              <w:spacing w:before="27"/>
              <w:ind w:left="92"/>
              <w:rPr>
                <w:sz w:val="19"/>
              </w:rPr>
            </w:pPr>
            <w:r>
              <w:rPr>
                <w:sz w:val="19"/>
              </w:rPr>
              <w:t>2.86</w:t>
            </w:r>
          </w:p>
        </w:tc>
        <w:tc>
          <w:tcPr>
            <w:tcW w:w="1376" w:type="dxa"/>
          </w:tcPr>
          <w:p>
            <w:pPr>
              <w:pStyle w:val="TableParagraph"/>
              <w:spacing w:before="27"/>
              <w:ind w:left="81"/>
              <w:rPr>
                <w:sz w:val="19"/>
              </w:rPr>
            </w:pPr>
            <w:r>
              <w:rPr>
                <w:sz w:val="19"/>
              </w:rPr>
              <w:t>2.33</w:t>
            </w:r>
          </w:p>
        </w:tc>
        <w:tc>
          <w:tcPr>
            <w:tcW w:w="1253" w:type="dxa"/>
          </w:tcPr>
          <w:p>
            <w:pPr>
              <w:pStyle w:val="TableParagraph"/>
              <w:spacing w:before="27"/>
              <w:ind w:left="82"/>
              <w:rPr>
                <w:sz w:val="19"/>
              </w:rPr>
            </w:pPr>
            <w:r>
              <w:rPr>
                <w:sz w:val="19"/>
              </w:rPr>
              <w:t>1.10</w:t>
            </w:r>
          </w:p>
        </w:tc>
      </w:tr>
      <w:tr>
        <w:trPr>
          <w:trHeight w:val="293" w:hRule="exact"/>
        </w:trPr>
        <w:tc>
          <w:tcPr>
            <w:tcW w:w="1351" w:type="dxa"/>
          </w:tcPr>
          <w:p>
            <w:pPr/>
          </w:p>
        </w:tc>
        <w:tc>
          <w:tcPr>
            <w:tcW w:w="1040" w:type="dxa"/>
          </w:tcPr>
          <w:p>
            <w:pPr>
              <w:pStyle w:val="TableParagraph"/>
              <w:ind w:left="0" w:right="229"/>
              <w:jc w:val="right"/>
              <w:rPr>
                <w:sz w:val="19"/>
              </w:rPr>
            </w:pPr>
            <w:r>
              <w:rPr>
                <w:sz w:val="19"/>
              </w:rPr>
              <w:t>30</w:t>
            </w:r>
          </w:p>
        </w:tc>
        <w:tc>
          <w:tcPr>
            <w:tcW w:w="1310" w:type="dxa"/>
          </w:tcPr>
          <w:p>
            <w:pPr>
              <w:pStyle w:val="TableParagraph"/>
              <w:ind w:left="231"/>
              <w:rPr>
                <w:sz w:val="19"/>
              </w:rPr>
            </w:pPr>
            <w:r>
              <w:rPr>
                <w:sz w:val="19"/>
              </w:rPr>
              <w:t>58.92</w:t>
            </w:r>
          </w:p>
        </w:tc>
        <w:tc>
          <w:tcPr>
            <w:tcW w:w="1160" w:type="dxa"/>
          </w:tcPr>
          <w:p>
            <w:pPr>
              <w:pStyle w:val="TableParagraph"/>
              <w:ind w:left="165" w:right="103"/>
              <w:rPr>
                <w:sz w:val="19"/>
              </w:rPr>
            </w:pPr>
            <w:r>
              <w:rPr>
                <w:sz w:val="19"/>
              </w:rPr>
              <w:t>2.6</w:t>
            </w:r>
          </w:p>
        </w:tc>
        <w:tc>
          <w:tcPr>
            <w:tcW w:w="1202" w:type="dxa"/>
          </w:tcPr>
          <w:p>
            <w:pPr>
              <w:pStyle w:val="TableParagraph"/>
              <w:ind w:left="106"/>
              <w:rPr>
                <w:sz w:val="19"/>
              </w:rPr>
            </w:pPr>
            <w:r>
              <w:rPr>
                <w:sz w:val="19"/>
              </w:rPr>
              <w:t>107.40</w:t>
            </w:r>
          </w:p>
        </w:tc>
        <w:tc>
          <w:tcPr>
            <w:tcW w:w="871" w:type="dxa"/>
          </w:tcPr>
          <w:p>
            <w:pPr>
              <w:pStyle w:val="TableParagraph"/>
              <w:ind w:left="77"/>
              <w:rPr>
                <w:sz w:val="19"/>
              </w:rPr>
            </w:pPr>
            <w:r>
              <w:rPr>
                <w:sz w:val="19"/>
              </w:rPr>
              <w:t>3.1</w:t>
            </w:r>
          </w:p>
        </w:tc>
        <w:tc>
          <w:tcPr>
            <w:tcW w:w="747" w:type="dxa"/>
          </w:tcPr>
          <w:p>
            <w:pPr>
              <w:pStyle w:val="TableParagraph"/>
              <w:ind w:left="80"/>
              <w:rPr>
                <w:sz w:val="19"/>
              </w:rPr>
            </w:pPr>
            <w:r>
              <w:rPr>
                <w:sz w:val="19"/>
              </w:rPr>
              <w:t>15.8</w:t>
            </w:r>
          </w:p>
        </w:tc>
        <w:tc>
          <w:tcPr>
            <w:tcW w:w="774" w:type="dxa"/>
          </w:tcPr>
          <w:p>
            <w:pPr>
              <w:pStyle w:val="TableParagraph"/>
              <w:ind w:left="98" w:right="265"/>
              <w:jc w:val="center"/>
              <w:rPr>
                <w:sz w:val="19"/>
              </w:rPr>
            </w:pPr>
            <w:r>
              <w:rPr>
                <w:sz w:val="19"/>
              </w:rPr>
              <w:t>65.4</w:t>
            </w:r>
          </w:p>
        </w:tc>
        <w:tc>
          <w:tcPr>
            <w:tcW w:w="808" w:type="dxa"/>
          </w:tcPr>
          <w:p>
            <w:pPr>
              <w:pStyle w:val="TableParagraph"/>
              <w:ind w:left="120"/>
              <w:rPr>
                <w:sz w:val="19"/>
              </w:rPr>
            </w:pPr>
            <w:r>
              <w:rPr>
                <w:sz w:val="19"/>
              </w:rPr>
              <w:t>295.0</w:t>
            </w:r>
          </w:p>
        </w:tc>
        <w:tc>
          <w:tcPr>
            <w:tcW w:w="1007" w:type="dxa"/>
          </w:tcPr>
          <w:p>
            <w:pPr>
              <w:pStyle w:val="TableParagraph"/>
              <w:ind w:left="92"/>
              <w:rPr>
                <w:sz w:val="19"/>
              </w:rPr>
            </w:pPr>
            <w:r>
              <w:rPr>
                <w:sz w:val="19"/>
              </w:rPr>
              <w:t>2.48</w:t>
            </w:r>
          </w:p>
        </w:tc>
        <w:tc>
          <w:tcPr>
            <w:tcW w:w="1376" w:type="dxa"/>
          </w:tcPr>
          <w:p>
            <w:pPr>
              <w:pStyle w:val="TableParagraph"/>
              <w:ind w:left="81"/>
              <w:rPr>
                <w:sz w:val="19"/>
              </w:rPr>
            </w:pPr>
            <w:r>
              <w:rPr>
                <w:sz w:val="19"/>
              </w:rPr>
              <w:t>2.26</w:t>
            </w:r>
          </w:p>
        </w:tc>
        <w:tc>
          <w:tcPr>
            <w:tcW w:w="1253" w:type="dxa"/>
          </w:tcPr>
          <w:p>
            <w:pPr>
              <w:pStyle w:val="TableParagraph"/>
              <w:ind w:left="82"/>
              <w:rPr>
                <w:sz w:val="19"/>
              </w:rPr>
            </w:pPr>
            <w:r>
              <w:rPr>
                <w:sz w:val="19"/>
              </w:rPr>
              <w:t>1.21</w:t>
            </w:r>
          </w:p>
        </w:tc>
      </w:tr>
      <w:tr>
        <w:trPr>
          <w:trHeight w:val="292" w:hRule="exact"/>
        </w:trPr>
        <w:tc>
          <w:tcPr>
            <w:tcW w:w="1351" w:type="dxa"/>
          </w:tcPr>
          <w:p>
            <w:pPr/>
          </w:p>
        </w:tc>
        <w:tc>
          <w:tcPr>
            <w:tcW w:w="1040" w:type="dxa"/>
          </w:tcPr>
          <w:p>
            <w:pPr>
              <w:pStyle w:val="TableParagraph"/>
              <w:ind w:left="0" w:right="229"/>
              <w:jc w:val="right"/>
              <w:rPr>
                <w:sz w:val="19"/>
              </w:rPr>
            </w:pPr>
            <w:r>
              <w:rPr>
                <w:sz w:val="19"/>
              </w:rPr>
              <w:t>45</w:t>
            </w:r>
          </w:p>
        </w:tc>
        <w:tc>
          <w:tcPr>
            <w:tcW w:w="1310" w:type="dxa"/>
          </w:tcPr>
          <w:p>
            <w:pPr>
              <w:pStyle w:val="TableParagraph"/>
              <w:ind w:left="231"/>
              <w:rPr>
                <w:sz w:val="19"/>
              </w:rPr>
            </w:pPr>
            <w:r>
              <w:rPr>
                <w:sz w:val="19"/>
              </w:rPr>
              <w:t>55.72</w:t>
            </w:r>
          </w:p>
        </w:tc>
        <w:tc>
          <w:tcPr>
            <w:tcW w:w="1160" w:type="dxa"/>
          </w:tcPr>
          <w:p>
            <w:pPr>
              <w:pStyle w:val="TableParagraph"/>
              <w:ind w:left="165" w:right="103"/>
              <w:rPr>
                <w:sz w:val="19"/>
              </w:rPr>
            </w:pPr>
            <w:r>
              <w:rPr>
                <w:sz w:val="19"/>
              </w:rPr>
              <w:t>2.8</w:t>
            </w:r>
          </w:p>
        </w:tc>
        <w:tc>
          <w:tcPr>
            <w:tcW w:w="1202" w:type="dxa"/>
          </w:tcPr>
          <w:p>
            <w:pPr>
              <w:pStyle w:val="TableParagraph"/>
              <w:ind w:left="106"/>
              <w:rPr>
                <w:sz w:val="19"/>
              </w:rPr>
            </w:pPr>
            <w:r>
              <w:rPr>
                <w:sz w:val="19"/>
              </w:rPr>
              <w:t>104.20</w:t>
            </w:r>
          </w:p>
        </w:tc>
        <w:tc>
          <w:tcPr>
            <w:tcW w:w="871" w:type="dxa"/>
          </w:tcPr>
          <w:p>
            <w:pPr>
              <w:pStyle w:val="TableParagraph"/>
              <w:ind w:left="77"/>
              <w:rPr>
                <w:sz w:val="19"/>
              </w:rPr>
            </w:pPr>
            <w:r>
              <w:rPr>
                <w:sz w:val="19"/>
              </w:rPr>
              <w:t>2.3</w:t>
            </w:r>
          </w:p>
        </w:tc>
        <w:tc>
          <w:tcPr>
            <w:tcW w:w="747" w:type="dxa"/>
          </w:tcPr>
          <w:p>
            <w:pPr>
              <w:pStyle w:val="TableParagraph"/>
              <w:ind w:left="80"/>
              <w:rPr>
                <w:sz w:val="19"/>
              </w:rPr>
            </w:pPr>
            <w:r>
              <w:rPr>
                <w:sz w:val="19"/>
              </w:rPr>
              <w:t>15.6</w:t>
            </w:r>
          </w:p>
        </w:tc>
        <w:tc>
          <w:tcPr>
            <w:tcW w:w="774" w:type="dxa"/>
          </w:tcPr>
          <w:p>
            <w:pPr>
              <w:pStyle w:val="TableParagraph"/>
              <w:ind w:left="98" w:right="265"/>
              <w:jc w:val="center"/>
              <w:rPr>
                <w:sz w:val="19"/>
              </w:rPr>
            </w:pPr>
            <w:r>
              <w:rPr>
                <w:sz w:val="19"/>
              </w:rPr>
              <w:t>59.2</w:t>
            </w:r>
          </w:p>
        </w:tc>
        <w:tc>
          <w:tcPr>
            <w:tcW w:w="808" w:type="dxa"/>
          </w:tcPr>
          <w:p>
            <w:pPr>
              <w:pStyle w:val="TableParagraph"/>
              <w:ind w:left="120"/>
              <w:rPr>
                <w:sz w:val="19"/>
              </w:rPr>
            </w:pPr>
            <w:r>
              <w:rPr>
                <w:sz w:val="19"/>
              </w:rPr>
              <w:t>310.0</w:t>
            </w:r>
          </w:p>
        </w:tc>
        <w:tc>
          <w:tcPr>
            <w:tcW w:w="1007" w:type="dxa"/>
          </w:tcPr>
          <w:p>
            <w:pPr>
              <w:pStyle w:val="TableParagraph"/>
              <w:ind w:left="92"/>
              <w:rPr>
                <w:sz w:val="19"/>
              </w:rPr>
            </w:pPr>
            <w:r>
              <w:rPr>
                <w:sz w:val="19"/>
              </w:rPr>
              <w:t>2.78</w:t>
            </w:r>
          </w:p>
        </w:tc>
        <w:tc>
          <w:tcPr>
            <w:tcW w:w="1376" w:type="dxa"/>
          </w:tcPr>
          <w:p>
            <w:pPr>
              <w:pStyle w:val="TableParagraph"/>
              <w:ind w:left="81"/>
              <w:rPr>
                <w:sz w:val="19"/>
              </w:rPr>
            </w:pPr>
            <w:r>
              <w:rPr>
                <w:sz w:val="19"/>
              </w:rPr>
              <w:t>2.66</w:t>
            </w:r>
          </w:p>
        </w:tc>
        <w:tc>
          <w:tcPr>
            <w:tcW w:w="1253" w:type="dxa"/>
          </w:tcPr>
          <w:p>
            <w:pPr>
              <w:pStyle w:val="TableParagraph"/>
              <w:ind w:left="82"/>
              <w:rPr>
                <w:sz w:val="19"/>
              </w:rPr>
            </w:pPr>
            <w:r>
              <w:rPr>
                <w:sz w:val="19"/>
              </w:rPr>
              <w:t>1.24</w:t>
            </w:r>
          </w:p>
        </w:tc>
      </w:tr>
      <w:tr>
        <w:trPr>
          <w:trHeight w:val="282" w:hRule="exact"/>
        </w:trPr>
        <w:tc>
          <w:tcPr>
            <w:tcW w:w="1351" w:type="dxa"/>
          </w:tcPr>
          <w:p>
            <w:pPr/>
          </w:p>
        </w:tc>
        <w:tc>
          <w:tcPr>
            <w:tcW w:w="1040" w:type="dxa"/>
          </w:tcPr>
          <w:p>
            <w:pPr>
              <w:pStyle w:val="TableParagraph"/>
              <w:spacing w:before="27"/>
              <w:ind w:left="0" w:right="229"/>
              <w:jc w:val="right"/>
              <w:rPr>
                <w:sz w:val="19"/>
              </w:rPr>
            </w:pPr>
            <w:r>
              <w:rPr>
                <w:sz w:val="19"/>
              </w:rPr>
              <w:t>60</w:t>
            </w:r>
          </w:p>
        </w:tc>
        <w:tc>
          <w:tcPr>
            <w:tcW w:w="1310" w:type="dxa"/>
          </w:tcPr>
          <w:p>
            <w:pPr>
              <w:pStyle w:val="TableParagraph"/>
              <w:spacing w:before="27"/>
              <w:ind w:left="231"/>
              <w:rPr>
                <w:sz w:val="19"/>
              </w:rPr>
            </w:pPr>
            <w:r>
              <w:rPr>
                <w:sz w:val="19"/>
              </w:rPr>
              <w:t>53.14</w:t>
            </w:r>
          </w:p>
        </w:tc>
        <w:tc>
          <w:tcPr>
            <w:tcW w:w="1160" w:type="dxa"/>
          </w:tcPr>
          <w:p>
            <w:pPr>
              <w:pStyle w:val="TableParagraph"/>
              <w:spacing w:before="27"/>
              <w:ind w:left="165" w:right="103"/>
              <w:rPr>
                <w:sz w:val="19"/>
              </w:rPr>
            </w:pPr>
            <w:r>
              <w:rPr>
                <w:sz w:val="19"/>
              </w:rPr>
              <w:t>1.4</w:t>
            </w:r>
          </w:p>
        </w:tc>
        <w:tc>
          <w:tcPr>
            <w:tcW w:w="1202" w:type="dxa"/>
          </w:tcPr>
          <w:p>
            <w:pPr>
              <w:pStyle w:val="TableParagraph"/>
              <w:spacing w:before="27"/>
              <w:ind w:left="106"/>
              <w:rPr>
                <w:sz w:val="19"/>
              </w:rPr>
            </w:pPr>
            <w:r>
              <w:rPr>
                <w:sz w:val="19"/>
              </w:rPr>
              <w:t>107.52</w:t>
            </w:r>
          </w:p>
        </w:tc>
        <w:tc>
          <w:tcPr>
            <w:tcW w:w="871" w:type="dxa"/>
          </w:tcPr>
          <w:p>
            <w:pPr>
              <w:pStyle w:val="TableParagraph"/>
              <w:spacing w:before="27"/>
              <w:ind w:left="77"/>
              <w:rPr>
                <w:sz w:val="19"/>
              </w:rPr>
            </w:pPr>
            <w:r>
              <w:rPr>
                <w:sz w:val="19"/>
              </w:rPr>
              <w:t>3.2</w:t>
            </w:r>
          </w:p>
        </w:tc>
        <w:tc>
          <w:tcPr>
            <w:tcW w:w="747" w:type="dxa"/>
          </w:tcPr>
          <w:p>
            <w:pPr>
              <w:pStyle w:val="TableParagraph"/>
              <w:spacing w:before="27"/>
              <w:ind w:left="80"/>
              <w:rPr>
                <w:sz w:val="19"/>
              </w:rPr>
            </w:pPr>
            <w:r>
              <w:rPr>
                <w:sz w:val="19"/>
              </w:rPr>
              <w:t>20.4</w:t>
            </w:r>
          </w:p>
        </w:tc>
        <w:tc>
          <w:tcPr>
            <w:tcW w:w="774" w:type="dxa"/>
          </w:tcPr>
          <w:p>
            <w:pPr>
              <w:pStyle w:val="TableParagraph"/>
              <w:spacing w:before="27"/>
              <w:ind w:left="98" w:right="265"/>
              <w:jc w:val="center"/>
              <w:rPr>
                <w:sz w:val="19"/>
              </w:rPr>
            </w:pPr>
            <w:r>
              <w:rPr>
                <w:sz w:val="19"/>
              </w:rPr>
              <w:t>53.0</w:t>
            </w:r>
          </w:p>
        </w:tc>
        <w:tc>
          <w:tcPr>
            <w:tcW w:w="808" w:type="dxa"/>
          </w:tcPr>
          <w:p>
            <w:pPr>
              <w:pStyle w:val="TableParagraph"/>
              <w:spacing w:before="27"/>
              <w:ind w:left="120"/>
              <w:rPr>
                <w:sz w:val="19"/>
              </w:rPr>
            </w:pPr>
            <w:r>
              <w:rPr>
                <w:sz w:val="19"/>
              </w:rPr>
              <w:t>224.4</w:t>
            </w:r>
          </w:p>
        </w:tc>
        <w:tc>
          <w:tcPr>
            <w:tcW w:w="1007" w:type="dxa"/>
          </w:tcPr>
          <w:p>
            <w:pPr>
              <w:pStyle w:val="TableParagraph"/>
              <w:spacing w:before="27"/>
              <w:ind w:left="92"/>
              <w:rPr>
                <w:sz w:val="19"/>
              </w:rPr>
            </w:pPr>
            <w:r>
              <w:rPr>
                <w:sz w:val="19"/>
              </w:rPr>
              <w:t>2.66</w:t>
            </w:r>
          </w:p>
        </w:tc>
        <w:tc>
          <w:tcPr>
            <w:tcW w:w="1376" w:type="dxa"/>
          </w:tcPr>
          <w:p>
            <w:pPr>
              <w:pStyle w:val="TableParagraph"/>
              <w:spacing w:before="27"/>
              <w:ind w:left="81"/>
              <w:rPr>
                <w:sz w:val="19"/>
              </w:rPr>
            </w:pPr>
            <w:r>
              <w:rPr>
                <w:sz w:val="19"/>
              </w:rPr>
              <w:t>2.63</w:t>
            </w:r>
          </w:p>
        </w:tc>
        <w:tc>
          <w:tcPr>
            <w:tcW w:w="1253" w:type="dxa"/>
          </w:tcPr>
          <w:p>
            <w:pPr>
              <w:pStyle w:val="TableParagraph"/>
              <w:spacing w:before="27"/>
              <w:ind w:left="82"/>
              <w:rPr>
                <w:sz w:val="19"/>
              </w:rPr>
            </w:pPr>
            <w:r>
              <w:rPr>
                <w:sz w:val="19"/>
              </w:rPr>
              <w:t>1.28</w:t>
            </w:r>
          </w:p>
        </w:tc>
      </w:tr>
      <w:tr>
        <w:trPr>
          <w:trHeight w:val="333" w:hRule="exact"/>
        </w:trPr>
        <w:tc>
          <w:tcPr>
            <w:tcW w:w="1351" w:type="dxa"/>
          </w:tcPr>
          <w:p>
            <w:pPr>
              <w:pStyle w:val="TableParagraph"/>
              <w:spacing w:before="59"/>
              <w:ind w:left="68"/>
              <w:rPr>
                <w:b/>
                <w:i/>
                <w:sz w:val="19"/>
              </w:rPr>
            </w:pPr>
            <w:r>
              <w:rPr>
                <w:b/>
                <w:i/>
                <w:sz w:val="19"/>
              </w:rPr>
              <w:t>Mean</w:t>
            </w:r>
          </w:p>
        </w:tc>
        <w:tc>
          <w:tcPr>
            <w:tcW w:w="1040" w:type="dxa"/>
          </w:tcPr>
          <w:p>
            <w:pPr/>
          </w:p>
        </w:tc>
        <w:tc>
          <w:tcPr>
            <w:tcW w:w="1310" w:type="dxa"/>
          </w:tcPr>
          <w:p>
            <w:pPr>
              <w:pStyle w:val="TableParagraph"/>
              <w:spacing w:before="27"/>
              <w:ind w:left="231"/>
              <w:rPr>
                <w:i/>
                <w:sz w:val="12"/>
              </w:rPr>
            </w:pPr>
            <w:r>
              <w:rPr>
                <w:i/>
                <w:w w:val="105"/>
                <w:sz w:val="19"/>
              </w:rPr>
              <w:t>58.65</w:t>
            </w:r>
            <w:r>
              <w:rPr>
                <w:i/>
                <w:w w:val="105"/>
                <w:position w:val="10"/>
                <w:sz w:val="12"/>
              </w:rPr>
              <w:t>a</w:t>
            </w:r>
          </w:p>
        </w:tc>
        <w:tc>
          <w:tcPr>
            <w:tcW w:w="1160" w:type="dxa"/>
          </w:tcPr>
          <w:p>
            <w:pPr>
              <w:pStyle w:val="TableParagraph"/>
              <w:spacing w:before="62"/>
              <w:ind w:left="165" w:right="103"/>
              <w:rPr>
                <w:i/>
                <w:sz w:val="19"/>
              </w:rPr>
            </w:pPr>
            <w:r>
              <w:rPr>
                <w:i/>
                <w:sz w:val="19"/>
              </w:rPr>
              <w:t>2.0</w:t>
            </w:r>
          </w:p>
        </w:tc>
        <w:tc>
          <w:tcPr>
            <w:tcW w:w="1202" w:type="dxa"/>
          </w:tcPr>
          <w:p>
            <w:pPr>
              <w:pStyle w:val="TableParagraph"/>
              <w:spacing w:before="27"/>
              <w:ind w:left="106"/>
              <w:rPr>
                <w:i/>
                <w:sz w:val="12"/>
              </w:rPr>
            </w:pPr>
            <w:r>
              <w:rPr>
                <w:i/>
                <w:w w:val="105"/>
                <w:sz w:val="19"/>
              </w:rPr>
              <w:t>101.48</w:t>
            </w:r>
            <w:r>
              <w:rPr>
                <w:i/>
                <w:w w:val="105"/>
                <w:position w:val="10"/>
                <w:sz w:val="12"/>
              </w:rPr>
              <w:t>b</w:t>
            </w:r>
          </w:p>
        </w:tc>
        <w:tc>
          <w:tcPr>
            <w:tcW w:w="871" w:type="dxa"/>
          </w:tcPr>
          <w:p>
            <w:pPr>
              <w:pStyle w:val="TableParagraph"/>
              <w:spacing w:before="62"/>
              <w:ind w:left="77"/>
              <w:rPr>
                <w:i/>
                <w:sz w:val="19"/>
              </w:rPr>
            </w:pPr>
            <w:r>
              <w:rPr>
                <w:i/>
                <w:sz w:val="19"/>
              </w:rPr>
              <w:t>2.93</w:t>
            </w:r>
          </w:p>
        </w:tc>
        <w:tc>
          <w:tcPr>
            <w:tcW w:w="747" w:type="dxa"/>
          </w:tcPr>
          <w:p>
            <w:pPr>
              <w:pStyle w:val="TableParagraph"/>
              <w:spacing w:before="27"/>
              <w:ind w:left="79"/>
              <w:rPr>
                <w:i/>
                <w:sz w:val="12"/>
              </w:rPr>
            </w:pPr>
            <w:r>
              <w:rPr>
                <w:i/>
                <w:w w:val="105"/>
                <w:sz w:val="19"/>
              </w:rPr>
              <w:t>15.88</w:t>
            </w:r>
            <w:r>
              <w:rPr>
                <w:i/>
                <w:w w:val="105"/>
                <w:position w:val="10"/>
                <w:sz w:val="12"/>
              </w:rPr>
              <w:t>a</w:t>
            </w:r>
          </w:p>
        </w:tc>
        <w:tc>
          <w:tcPr>
            <w:tcW w:w="774" w:type="dxa"/>
          </w:tcPr>
          <w:p>
            <w:pPr>
              <w:pStyle w:val="TableParagraph"/>
              <w:spacing w:before="62"/>
              <w:ind w:left="98" w:right="158"/>
              <w:jc w:val="center"/>
              <w:rPr>
                <w:i/>
                <w:sz w:val="19"/>
              </w:rPr>
            </w:pPr>
            <w:r>
              <w:rPr>
                <w:i/>
                <w:sz w:val="19"/>
              </w:rPr>
              <w:t>57.92</w:t>
            </w:r>
          </w:p>
        </w:tc>
        <w:tc>
          <w:tcPr>
            <w:tcW w:w="808" w:type="dxa"/>
          </w:tcPr>
          <w:p>
            <w:pPr>
              <w:pStyle w:val="TableParagraph"/>
              <w:spacing w:before="62"/>
              <w:ind w:left="120"/>
              <w:rPr>
                <w:i/>
                <w:sz w:val="19"/>
              </w:rPr>
            </w:pPr>
            <w:r>
              <w:rPr>
                <w:i/>
                <w:sz w:val="19"/>
              </w:rPr>
              <w:t>246.6</w:t>
            </w:r>
          </w:p>
        </w:tc>
        <w:tc>
          <w:tcPr>
            <w:tcW w:w="1007" w:type="dxa"/>
          </w:tcPr>
          <w:p>
            <w:pPr>
              <w:pStyle w:val="TableParagraph"/>
              <w:spacing w:before="27"/>
              <w:ind w:left="92"/>
              <w:rPr>
                <w:i/>
                <w:sz w:val="12"/>
              </w:rPr>
            </w:pPr>
            <w:r>
              <w:rPr>
                <w:i/>
                <w:w w:val="105"/>
                <w:sz w:val="19"/>
              </w:rPr>
              <w:t>2.65</w:t>
            </w:r>
            <w:r>
              <w:rPr>
                <w:i/>
                <w:w w:val="105"/>
                <w:position w:val="10"/>
                <w:sz w:val="12"/>
              </w:rPr>
              <w:t>a</w:t>
            </w:r>
          </w:p>
        </w:tc>
        <w:tc>
          <w:tcPr>
            <w:tcW w:w="1376" w:type="dxa"/>
          </w:tcPr>
          <w:p>
            <w:pPr>
              <w:pStyle w:val="TableParagraph"/>
              <w:spacing w:before="62"/>
              <w:ind w:left="81"/>
              <w:rPr>
                <w:i/>
                <w:sz w:val="19"/>
              </w:rPr>
            </w:pPr>
            <w:r>
              <w:rPr>
                <w:i/>
                <w:sz w:val="19"/>
              </w:rPr>
              <w:t>2.37</w:t>
            </w:r>
          </w:p>
        </w:tc>
        <w:tc>
          <w:tcPr>
            <w:tcW w:w="1253" w:type="dxa"/>
          </w:tcPr>
          <w:p>
            <w:pPr>
              <w:pStyle w:val="TableParagraph"/>
              <w:spacing w:before="27"/>
              <w:ind w:left="82"/>
              <w:rPr>
                <w:i/>
                <w:sz w:val="12"/>
              </w:rPr>
            </w:pPr>
            <w:r>
              <w:rPr>
                <w:i/>
                <w:w w:val="105"/>
                <w:sz w:val="19"/>
              </w:rPr>
              <w:t>1.16</w:t>
            </w:r>
            <w:r>
              <w:rPr>
                <w:i/>
                <w:w w:val="105"/>
                <w:position w:val="10"/>
                <w:sz w:val="12"/>
              </w:rPr>
              <w:t>b</w:t>
            </w:r>
          </w:p>
        </w:tc>
      </w:tr>
      <w:tr>
        <w:trPr>
          <w:trHeight w:val="306" w:hRule="exact"/>
        </w:trPr>
        <w:tc>
          <w:tcPr>
            <w:tcW w:w="1351" w:type="dxa"/>
          </w:tcPr>
          <w:p>
            <w:pPr>
              <w:pStyle w:val="TableParagraph"/>
              <w:spacing w:before="34"/>
              <w:ind w:left="68"/>
              <w:rPr>
                <w:b/>
                <w:sz w:val="19"/>
              </w:rPr>
            </w:pPr>
            <w:r>
              <w:rPr>
                <w:b/>
                <w:sz w:val="19"/>
              </w:rPr>
              <w:t>SB</w:t>
            </w:r>
          </w:p>
        </w:tc>
        <w:tc>
          <w:tcPr>
            <w:tcW w:w="1040" w:type="dxa"/>
          </w:tcPr>
          <w:p>
            <w:pPr>
              <w:pStyle w:val="TableParagraph"/>
              <w:spacing w:before="41"/>
              <w:ind w:left="0" w:right="337"/>
              <w:jc w:val="right"/>
              <w:rPr>
                <w:sz w:val="19"/>
              </w:rPr>
            </w:pPr>
            <w:r>
              <w:rPr>
                <w:w w:val="102"/>
                <w:sz w:val="19"/>
              </w:rPr>
              <w:t>0</w:t>
            </w:r>
          </w:p>
        </w:tc>
        <w:tc>
          <w:tcPr>
            <w:tcW w:w="1310" w:type="dxa"/>
          </w:tcPr>
          <w:p>
            <w:pPr>
              <w:pStyle w:val="TableParagraph"/>
              <w:spacing w:before="41"/>
              <w:ind w:left="231"/>
              <w:rPr>
                <w:sz w:val="19"/>
              </w:rPr>
            </w:pPr>
            <w:r>
              <w:rPr>
                <w:sz w:val="19"/>
              </w:rPr>
              <w:t>57.88</w:t>
            </w:r>
          </w:p>
        </w:tc>
        <w:tc>
          <w:tcPr>
            <w:tcW w:w="1160" w:type="dxa"/>
          </w:tcPr>
          <w:p>
            <w:pPr>
              <w:pStyle w:val="TableParagraph"/>
              <w:spacing w:before="41"/>
              <w:ind w:left="165" w:right="103"/>
              <w:rPr>
                <w:sz w:val="19"/>
              </w:rPr>
            </w:pPr>
            <w:r>
              <w:rPr>
                <w:sz w:val="19"/>
              </w:rPr>
              <w:t>1.4</w:t>
            </w:r>
          </w:p>
        </w:tc>
        <w:tc>
          <w:tcPr>
            <w:tcW w:w="1202" w:type="dxa"/>
          </w:tcPr>
          <w:p>
            <w:pPr>
              <w:pStyle w:val="TableParagraph"/>
              <w:spacing w:before="41"/>
              <w:ind w:left="106"/>
              <w:rPr>
                <w:sz w:val="19"/>
              </w:rPr>
            </w:pPr>
            <w:r>
              <w:rPr>
                <w:sz w:val="19"/>
              </w:rPr>
              <w:t>118.84</w:t>
            </w:r>
          </w:p>
        </w:tc>
        <w:tc>
          <w:tcPr>
            <w:tcW w:w="871" w:type="dxa"/>
          </w:tcPr>
          <w:p>
            <w:pPr>
              <w:pStyle w:val="TableParagraph"/>
              <w:spacing w:before="41"/>
              <w:ind w:left="77"/>
              <w:rPr>
                <w:sz w:val="19"/>
              </w:rPr>
            </w:pPr>
            <w:r>
              <w:rPr>
                <w:sz w:val="19"/>
              </w:rPr>
              <w:t>3.2</w:t>
            </w:r>
          </w:p>
        </w:tc>
        <w:tc>
          <w:tcPr>
            <w:tcW w:w="747" w:type="dxa"/>
          </w:tcPr>
          <w:p>
            <w:pPr>
              <w:pStyle w:val="TableParagraph"/>
              <w:spacing w:before="41"/>
              <w:ind w:left="80"/>
              <w:rPr>
                <w:sz w:val="19"/>
              </w:rPr>
            </w:pPr>
            <w:r>
              <w:rPr>
                <w:sz w:val="19"/>
              </w:rPr>
              <w:t>14.8</w:t>
            </w:r>
          </w:p>
        </w:tc>
        <w:tc>
          <w:tcPr>
            <w:tcW w:w="774" w:type="dxa"/>
          </w:tcPr>
          <w:p>
            <w:pPr>
              <w:pStyle w:val="TableParagraph"/>
              <w:spacing w:before="41"/>
              <w:ind w:left="98" w:right="265"/>
              <w:jc w:val="center"/>
              <w:rPr>
                <w:sz w:val="19"/>
              </w:rPr>
            </w:pPr>
            <w:r>
              <w:rPr>
                <w:sz w:val="19"/>
              </w:rPr>
              <w:t>55.8</w:t>
            </w:r>
          </w:p>
        </w:tc>
        <w:tc>
          <w:tcPr>
            <w:tcW w:w="808" w:type="dxa"/>
          </w:tcPr>
          <w:p>
            <w:pPr>
              <w:pStyle w:val="TableParagraph"/>
              <w:spacing w:before="41"/>
              <w:ind w:left="120"/>
              <w:rPr>
                <w:sz w:val="19"/>
              </w:rPr>
            </w:pPr>
            <w:r>
              <w:rPr>
                <w:sz w:val="19"/>
              </w:rPr>
              <w:t>220.6</w:t>
            </w:r>
          </w:p>
        </w:tc>
        <w:tc>
          <w:tcPr>
            <w:tcW w:w="1007" w:type="dxa"/>
          </w:tcPr>
          <w:p>
            <w:pPr>
              <w:pStyle w:val="TableParagraph"/>
              <w:spacing w:before="41"/>
              <w:ind w:left="92"/>
              <w:rPr>
                <w:sz w:val="19"/>
              </w:rPr>
            </w:pPr>
            <w:r>
              <w:rPr>
                <w:sz w:val="19"/>
              </w:rPr>
              <w:t>2.44</w:t>
            </w:r>
          </w:p>
        </w:tc>
        <w:tc>
          <w:tcPr>
            <w:tcW w:w="1376" w:type="dxa"/>
          </w:tcPr>
          <w:p>
            <w:pPr>
              <w:pStyle w:val="TableParagraph"/>
              <w:spacing w:before="41"/>
              <w:ind w:left="81"/>
              <w:rPr>
                <w:sz w:val="19"/>
              </w:rPr>
            </w:pPr>
            <w:r>
              <w:rPr>
                <w:sz w:val="19"/>
              </w:rPr>
              <w:t>2.39</w:t>
            </w:r>
          </w:p>
        </w:tc>
        <w:tc>
          <w:tcPr>
            <w:tcW w:w="1253" w:type="dxa"/>
          </w:tcPr>
          <w:p>
            <w:pPr>
              <w:pStyle w:val="TableParagraph"/>
              <w:spacing w:before="41"/>
              <w:ind w:left="82"/>
              <w:rPr>
                <w:sz w:val="19"/>
              </w:rPr>
            </w:pPr>
            <w:r>
              <w:rPr>
                <w:sz w:val="19"/>
              </w:rPr>
              <w:t>1.04</w:t>
            </w:r>
          </w:p>
        </w:tc>
      </w:tr>
      <w:tr>
        <w:trPr>
          <w:trHeight w:val="292" w:hRule="exact"/>
        </w:trPr>
        <w:tc>
          <w:tcPr>
            <w:tcW w:w="1351" w:type="dxa"/>
          </w:tcPr>
          <w:p>
            <w:pPr/>
          </w:p>
        </w:tc>
        <w:tc>
          <w:tcPr>
            <w:tcW w:w="1040" w:type="dxa"/>
          </w:tcPr>
          <w:p>
            <w:pPr>
              <w:pStyle w:val="TableParagraph"/>
              <w:ind w:left="0" w:right="229"/>
              <w:jc w:val="right"/>
              <w:rPr>
                <w:sz w:val="19"/>
              </w:rPr>
            </w:pPr>
            <w:r>
              <w:rPr>
                <w:sz w:val="19"/>
              </w:rPr>
              <w:t>15</w:t>
            </w:r>
          </w:p>
        </w:tc>
        <w:tc>
          <w:tcPr>
            <w:tcW w:w="1310" w:type="dxa"/>
          </w:tcPr>
          <w:p>
            <w:pPr>
              <w:pStyle w:val="TableParagraph"/>
              <w:ind w:left="231"/>
              <w:rPr>
                <w:sz w:val="19"/>
              </w:rPr>
            </w:pPr>
            <w:r>
              <w:rPr>
                <w:sz w:val="19"/>
              </w:rPr>
              <w:t>60.88</w:t>
            </w:r>
          </w:p>
        </w:tc>
        <w:tc>
          <w:tcPr>
            <w:tcW w:w="1160" w:type="dxa"/>
          </w:tcPr>
          <w:p>
            <w:pPr>
              <w:pStyle w:val="TableParagraph"/>
              <w:ind w:left="165" w:right="103"/>
              <w:rPr>
                <w:sz w:val="19"/>
              </w:rPr>
            </w:pPr>
            <w:r>
              <w:rPr>
                <w:sz w:val="19"/>
              </w:rPr>
              <w:t>2.8</w:t>
            </w:r>
          </w:p>
        </w:tc>
        <w:tc>
          <w:tcPr>
            <w:tcW w:w="1202" w:type="dxa"/>
          </w:tcPr>
          <w:p>
            <w:pPr>
              <w:pStyle w:val="TableParagraph"/>
              <w:ind w:left="106"/>
              <w:rPr>
                <w:sz w:val="19"/>
              </w:rPr>
            </w:pPr>
            <w:r>
              <w:rPr>
                <w:sz w:val="19"/>
              </w:rPr>
              <w:t>101.40</w:t>
            </w:r>
          </w:p>
        </w:tc>
        <w:tc>
          <w:tcPr>
            <w:tcW w:w="871" w:type="dxa"/>
          </w:tcPr>
          <w:p>
            <w:pPr>
              <w:pStyle w:val="TableParagraph"/>
              <w:ind w:left="77"/>
              <w:rPr>
                <w:sz w:val="19"/>
              </w:rPr>
            </w:pPr>
            <w:r>
              <w:rPr>
                <w:sz w:val="19"/>
              </w:rPr>
              <w:t>2.7</w:t>
            </w:r>
          </w:p>
        </w:tc>
        <w:tc>
          <w:tcPr>
            <w:tcW w:w="747" w:type="dxa"/>
          </w:tcPr>
          <w:p>
            <w:pPr>
              <w:pStyle w:val="TableParagraph"/>
              <w:ind w:left="80"/>
              <w:rPr>
                <w:sz w:val="19"/>
              </w:rPr>
            </w:pPr>
            <w:r>
              <w:rPr>
                <w:sz w:val="19"/>
              </w:rPr>
              <w:t>15.8</w:t>
            </w:r>
          </w:p>
        </w:tc>
        <w:tc>
          <w:tcPr>
            <w:tcW w:w="774" w:type="dxa"/>
          </w:tcPr>
          <w:p>
            <w:pPr>
              <w:pStyle w:val="TableParagraph"/>
              <w:ind w:left="98" w:right="265"/>
              <w:jc w:val="center"/>
              <w:rPr>
                <w:sz w:val="19"/>
              </w:rPr>
            </w:pPr>
            <w:r>
              <w:rPr>
                <w:sz w:val="19"/>
              </w:rPr>
              <w:t>59.2</w:t>
            </w:r>
          </w:p>
        </w:tc>
        <w:tc>
          <w:tcPr>
            <w:tcW w:w="808" w:type="dxa"/>
          </w:tcPr>
          <w:p>
            <w:pPr>
              <w:pStyle w:val="TableParagraph"/>
              <w:ind w:left="120"/>
              <w:rPr>
                <w:sz w:val="19"/>
              </w:rPr>
            </w:pPr>
            <w:r>
              <w:rPr>
                <w:sz w:val="19"/>
              </w:rPr>
              <w:t>248.0</w:t>
            </w:r>
          </w:p>
        </w:tc>
        <w:tc>
          <w:tcPr>
            <w:tcW w:w="1007" w:type="dxa"/>
          </w:tcPr>
          <w:p>
            <w:pPr>
              <w:pStyle w:val="TableParagraph"/>
              <w:ind w:left="92"/>
              <w:rPr>
                <w:sz w:val="19"/>
              </w:rPr>
            </w:pPr>
            <w:r>
              <w:rPr>
                <w:sz w:val="19"/>
              </w:rPr>
              <w:t>2.64</w:t>
            </w:r>
          </w:p>
        </w:tc>
        <w:tc>
          <w:tcPr>
            <w:tcW w:w="1376" w:type="dxa"/>
          </w:tcPr>
          <w:p>
            <w:pPr>
              <w:pStyle w:val="TableParagraph"/>
              <w:ind w:left="81"/>
              <w:rPr>
                <w:sz w:val="19"/>
              </w:rPr>
            </w:pPr>
            <w:r>
              <w:rPr>
                <w:sz w:val="19"/>
              </w:rPr>
              <w:t>2.4.0</w:t>
            </w:r>
          </w:p>
        </w:tc>
        <w:tc>
          <w:tcPr>
            <w:tcW w:w="1253" w:type="dxa"/>
          </w:tcPr>
          <w:p>
            <w:pPr>
              <w:pStyle w:val="TableParagraph"/>
              <w:ind w:left="82"/>
              <w:rPr>
                <w:sz w:val="19"/>
              </w:rPr>
            </w:pPr>
            <w:r>
              <w:rPr>
                <w:sz w:val="19"/>
              </w:rPr>
              <w:t>1.07</w:t>
            </w:r>
          </w:p>
        </w:tc>
      </w:tr>
      <w:tr>
        <w:trPr>
          <w:trHeight w:val="292" w:hRule="exact"/>
        </w:trPr>
        <w:tc>
          <w:tcPr>
            <w:tcW w:w="1351" w:type="dxa"/>
          </w:tcPr>
          <w:p>
            <w:pPr/>
          </w:p>
        </w:tc>
        <w:tc>
          <w:tcPr>
            <w:tcW w:w="1040" w:type="dxa"/>
          </w:tcPr>
          <w:p>
            <w:pPr>
              <w:pStyle w:val="TableParagraph"/>
              <w:spacing w:before="27"/>
              <w:ind w:left="0" w:right="229"/>
              <w:jc w:val="right"/>
              <w:rPr>
                <w:sz w:val="19"/>
              </w:rPr>
            </w:pPr>
            <w:r>
              <w:rPr>
                <w:sz w:val="19"/>
              </w:rPr>
              <w:t>30</w:t>
            </w:r>
          </w:p>
        </w:tc>
        <w:tc>
          <w:tcPr>
            <w:tcW w:w="1310" w:type="dxa"/>
          </w:tcPr>
          <w:p>
            <w:pPr>
              <w:pStyle w:val="TableParagraph"/>
              <w:spacing w:before="27"/>
              <w:ind w:left="231"/>
              <w:rPr>
                <w:sz w:val="19"/>
              </w:rPr>
            </w:pPr>
            <w:r>
              <w:rPr>
                <w:sz w:val="19"/>
              </w:rPr>
              <w:t>61.74</w:t>
            </w:r>
          </w:p>
        </w:tc>
        <w:tc>
          <w:tcPr>
            <w:tcW w:w="1160" w:type="dxa"/>
          </w:tcPr>
          <w:p>
            <w:pPr>
              <w:pStyle w:val="TableParagraph"/>
              <w:spacing w:before="27"/>
              <w:ind w:left="165" w:right="103"/>
              <w:rPr>
                <w:sz w:val="19"/>
              </w:rPr>
            </w:pPr>
            <w:r>
              <w:rPr>
                <w:sz w:val="19"/>
              </w:rPr>
              <w:t>3.0</w:t>
            </w:r>
          </w:p>
        </w:tc>
        <w:tc>
          <w:tcPr>
            <w:tcW w:w="1202" w:type="dxa"/>
          </w:tcPr>
          <w:p>
            <w:pPr>
              <w:pStyle w:val="TableParagraph"/>
              <w:spacing w:before="27"/>
              <w:ind w:left="106"/>
              <w:rPr>
                <w:sz w:val="19"/>
              </w:rPr>
            </w:pPr>
            <w:r>
              <w:rPr>
                <w:sz w:val="19"/>
              </w:rPr>
              <w:t>120.98</w:t>
            </w:r>
          </w:p>
        </w:tc>
        <w:tc>
          <w:tcPr>
            <w:tcW w:w="871" w:type="dxa"/>
          </w:tcPr>
          <w:p>
            <w:pPr>
              <w:pStyle w:val="TableParagraph"/>
              <w:spacing w:before="27"/>
              <w:ind w:left="77"/>
              <w:rPr>
                <w:sz w:val="19"/>
              </w:rPr>
            </w:pPr>
            <w:r>
              <w:rPr>
                <w:sz w:val="19"/>
              </w:rPr>
              <w:t>3.7</w:t>
            </w:r>
          </w:p>
        </w:tc>
        <w:tc>
          <w:tcPr>
            <w:tcW w:w="747" w:type="dxa"/>
          </w:tcPr>
          <w:p>
            <w:pPr>
              <w:pStyle w:val="TableParagraph"/>
              <w:spacing w:before="27"/>
              <w:ind w:left="80"/>
              <w:rPr>
                <w:sz w:val="19"/>
              </w:rPr>
            </w:pPr>
            <w:r>
              <w:rPr>
                <w:sz w:val="19"/>
              </w:rPr>
              <w:t>19.2</w:t>
            </w:r>
          </w:p>
        </w:tc>
        <w:tc>
          <w:tcPr>
            <w:tcW w:w="774" w:type="dxa"/>
          </w:tcPr>
          <w:p>
            <w:pPr>
              <w:pStyle w:val="TableParagraph"/>
              <w:spacing w:before="27"/>
              <w:ind w:left="98" w:right="265"/>
              <w:jc w:val="center"/>
              <w:rPr>
                <w:sz w:val="19"/>
              </w:rPr>
            </w:pPr>
            <w:r>
              <w:rPr>
                <w:sz w:val="19"/>
              </w:rPr>
              <w:t>71.0</w:t>
            </w:r>
          </w:p>
        </w:tc>
        <w:tc>
          <w:tcPr>
            <w:tcW w:w="808" w:type="dxa"/>
          </w:tcPr>
          <w:p>
            <w:pPr>
              <w:pStyle w:val="TableParagraph"/>
              <w:spacing w:before="27"/>
              <w:ind w:left="120"/>
              <w:rPr>
                <w:sz w:val="19"/>
              </w:rPr>
            </w:pPr>
            <w:r>
              <w:rPr>
                <w:sz w:val="19"/>
              </w:rPr>
              <w:t>328.4</w:t>
            </w:r>
          </w:p>
        </w:tc>
        <w:tc>
          <w:tcPr>
            <w:tcW w:w="1007" w:type="dxa"/>
          </w:tcPr>
          <w:p>
            <w:pPr>
              <w:pStyle w:val="TableParagraph"/>
              <w:spacing w:before="27"/>
              <w:ind w:left="92"/>
              <w:rPr>
                <w:sz w:val="19"/>
              </w:rPr>
            </w:pPr>
            <w:r>
              <w:rPr>
                <w:sz w:val="19"/>
              </w:rPr>
              <w:t>2.44</w:t>
            </w:r>
          </w:p>
        </w:tc>
        <w:tc>
          <w:tcPr>
            <w:tcW w:w="1376" w:type="dxa"/>
          </w:tcPr>
          <w:p>
            <w:pPr>
              <w:pStyle w:val="TableParagraph"/>
              <w:spacing w:before="27"/>
              <w:ind w:left="81"/>
              <w:rPr>
                <w:sz w:val="19"/>
              </w:rPr>
            </w:pPr>
            <w:r>
              <w:rPr>
                <w:sz w:val="19"/>
              </w:rPr>
              <w:t>2.28</w:t>
            </w:r>
          </w:p>
        </w:tc>
        <w:tc>
          <w:tcPr>
            <w:tcW w:w="1253" w:type="dxa"/>
          </w:tcPr>
          <w:p>
            <w:pPr>
              <w:pStyle w:val="TableParagraph"/>
              <w:spacing w:before="27"/>
              <w:ind w:left="82"/>
              <w:rPr>
                <w:sz w:val="19"/>
              </w:rPr>
            </w:pPr>
            <w:r>
              <w:rPr>
                <w:sz w:val="19"/>
              </w:rPr>
              <w:t>1.46</w:t>
            </w:r>
          </w:p>
        </w:tc>
      </w:tr>
      <w:tr>
        <w:trPr>
          <w:trHeight w:val="293" w:hRule="exact"/>
        </w:trPr>
        <w:tc>
          <w:tcPr>
            <w:tcW w:w="1351" w:type="dxa"/>
          </w:tcPr>
          <w:p>
            <w:pPr/>
          </w:p>
        </w:tc>
        <w:tc>
          <w:tcPr>
            <w:tcW w:w="1040" w:type="dxa"/>
          </w:tcPr>
          <w:p>
            <w:pPr>
              <w:pStyle w:val="TableParagraph"/>
              <w:ind w:left="0" w:right="229"/>
              <w:jc w:val="right"/>
              <w:rPr>
                <w:sz w:val="19"/>
              </w:rPr>
            </w:pPr>
            <w:r>
              <w:rPr>
                <w:sz w:val="19"/>
              </w:rPr>
              <w:t>45</w:t>
            </w:r>
          </w:p>
        </w:tc>
        <w:tc>
          <w:tcPr>
            <w:tcW w:w="1310" w:type="dxa"/>
          </w:tcPr>
          <w:p>
            <w:pPr>
              <w:pStyle w:val="TableParagraph"/>
              <w:ind w:left="231"/>
              <w:rPr>
                <w:sz w:val="19"/>
              </w:rPr>
            </w:pPr>
            <w:r>
              <w:rPr>
                <w:sz w:val="19"/>
              </w:rPr>
              <w:t>58.78</w:t>
            </w:r>
          </w:p>
        </w:tc>
        <w:tc>
          <w:tcPr>
            <w:tcW w:w="1160" w:type="dxa"/>
          </w:tcPr>
          <w:p>
            <w:pPr>
              <w:pStyle w:val="TableParagraph"/>
              <w:ind w:left="165" w:right="103"/>
              <w:rPr>
                <w:sz w:val="19"/>
              </w:rPr>
            </w:pPr>
            <w:r>
              <w:rPr>
                <w:sz w:val="19"/>
              </w:rPr>
              <w:t>2.6</w:t>
            </w:r>
          </w:p>
        </w:tc>
        <w:tc>
          <w:tcPr>
            <w:tcW w:w="1202" w:type="dxa"/>
          </w:tcPr>
          <w:p>
            <w:pPr>
              <w:pStyle w:val="TableParagraph"/>
              <w:ind w:left="106"/>
              <w:rPr>
                <w:sz w:val="19"/>
              </w:rPr>
            </w:pPr>
            <w:r>
              <w:rPr>
                <w:sz w:val="19"/>
              </w:rPr>
              <w:t>120.56</w:t>
            </w:r>
          </w:p>
        </w:tc>
        <w:tc>
          <w:tcPr>
            <w:tcW w:w="871" w:type="dxa"/>
          </w:tcPr>
          <w:p>
            <w:pPr>
              <w:pStyle w:val="TableParagraph"/>
              <w:ind w:left="77"/>
              <w:rPr>
                <w:sz w:val="19"/>
              </w:rPr>
            </w:pPr>
            <w:r>
              <w:rPr>
                <w:sz w:val="19"/>
              </w:rPr>
              <w:t>2.8</w:t>
            </w:r>
          </w:p>
        </w:tc>
        <w:tc>
          <w:tcPr>
            <w:tcW w:w="747" w:type="dxa"/>
          </w:tcPr>
          <w:p>
            <w:pPr>
              <w:pStyle w:val="TableParagraph"/>
              <w:ind w:left="80"/>
              <w:rPr>
                <w:sz w:val="19"/>
              </w:rPr>
            </w:pPr>
            <w:r>
              <w:rPr>
                <w:sz w:val="19"/>
              </w:rPr>
              <w:t>18.6</w:t>
            </w:r>
          </w:p>
        </w:tc>
        <w:tc>
          <w:tcPr>
            <w:tcW w:w="774" w:type="dxa"/>
          </w:tcPr>
          <w:p>
            <w:pPr>
              <w:pStyle w:val="TableParagraph"/>
              <w:ind w:left="98" w:right="265"/>
              <w:jc w:val="center"/>
              <w:rPr>
                <w:sz w:val="19"/>
              </w:rPr>
            </w:pPr>
            <w:r>
              <w:rPr>
                <w:sz w:val="19"/>
              </w:rPr>
              <w:t>65.4</w:t>
            </w:r>
          </w:p>
        </w:tc>
        <w:tc>
          <w:tcPr>
            <w:tcW w:w="808" w:type="dxa"/>
          </w:tcPr>
          <w:p>
            <w:pPr>
              <w:pStyle w:val="TableParagraph"/>
              <w:ind w:left="120"/>
              <w:rPr>
                <w:sz w:val="19"/>
              </w:rPr>
            </w:pPr>
            <w:r>
              <w:rPr>
                <w:sz w:val="19"/>
              </w:rPr>
              <w:t>309.6</w:t>
            </w:r>
          </w:p>
        </w:tc>
        <w:tc>
          <w:tcPr>
            <w:tcW w:w="1007" w:type="dxa"/>
          </w:tcPr>
          <w:p>
            <w:pPr>
              <w:pStyle w:val="TableParagraph"/>
              <w:ind w:left="92"/>
              <w:rPr>
                <w:sz w:val="19"/>
              </w:rPr>
            </w:pPr>
            <w:r>
              <w:rPr>
                <w:sz w:val="19"/>
              </w:rPr>
              <w:t>2.58</w:t>
            </w:r>
          </w:p>
        </w:tc>
        <w:tc>
          <w:tcPr>
            <w:tcW w:w="1376" w:type="dxa"/>
          </w:tcPr>
          <w:p>
            <w:pPr>
              <w:pStyle w:val="TableParagraph"/>
              <w:ind w:left="81"/>
              <w:rPr>
                <w:sz w:val="19"/>
              </w:rPr>
            </w:pPr>
            <w:r>
              <w:rPr>
                <w:sz w:val="19"/>
              </w:rPr>
              <w:t>2.72</w:t>
            </w:r>
          </w:p>
        </w:tc>
        <w:tc>
          <w:tcPr>
            <w:tcW w:w="1253" w:type="dxa"/>
          </w:tcPr>
          <w:p>
            <w:pPr>
              <w:pStyle w:val="TableParagraph"/>
              <w:ind w:left="82"/>
              <w:rPr>
                <w:sz w:val="19"/>
              </w:rPr>
            </w:pPr>
            <w:r>
              <w:rPr>
                <w:sz w:val="19"/>
              </w:rPr>
              <w:t>1.25</w:t>
            </w:r>
          </w:p>
        </w:tc>
      </w:tr>
      <w:tr>
        <w:trPr>
          <w:trHeight w:val="281" w:hRule="exact"/>
        </w:trPr>
        <w:tc>
          <w:tcPr>
            <w:tcW w:w="1351" w:type="dxa"/>
          </w:tcPr>
          <w:p>
            <w:pPr/>
          </w:p>
        </w:tc>
        <w:tc>
          <w:tcPr>
            <w:tcW w:w="1040" w:type="dxa"/>
          </w:tcPr>
          <w:p>
            <w:pPr>
              <w:pStyle w:val="TableParagraph"/>
              <w:ind w:left="0" w:right="229"/>
              <w:jc w:val="right"/>
              <w:rPr>
                <w:sz w:val="19"/>
              </w:rPr>
            </w:pPr>
            <w:r>
              <w:rPr>
                <w:sz w:val="19"/>
              </w:rPr>
              <w:t>60</w:t>
            </w:r>
          </w:p>
        </w:tc>
        <w:tc>
          <w:tcPr>
            <w:tcW w:w="1310" w:type="dxa"/>
          </w:tcPr>
          <w:p>
            <w:pPr>
              <w:pStyle w:val="TableParagraph"/>
              <w:ind w:left="231"/>
              <w:rPr>
                <w:sz w:val="19"/>
              </w:rPr>
            </w:pPr>
            <w:r>
              <w:rPr>
                <w:sz w:val="19"/>
              </w:rPr>
              <w:t>59.38</w:t>
            </w:r>
          </w:p>
        </w:tc>
        <w:tc>
          <w:tcPr>
            <w:tcW w:w="1160" w:type="dxa"/>
          </w:tcPr>
          <w:p>
            <w:pPr>
              <w:pStyle w:val="TableParagraph"/>
              <w:ind w:left="165" w:right="103"/>
              <w:rPr>
                <w:sz w:val="19"/>
              </w:rPr>
            </w:pPr>
            <w:r>
              <w:rPr>
                <w:sz w:val="19"/>
              </w:rPr>
              <w:t>0.4</w:t>
            </w:r>
          </w:p>
        </w:tc>
        <w:tc>
          <w:tcPr>
            <w:tcW w:w="1202" w:type="dxa"/>
          </w:tcPr>
          <w:p>
            <w:pPr>
              <w:pStyle w:val="TableParagraph"/>
              <w:ind w:left="106"/>
              <w:rPr>
                <w:sz w:val="19"/>
              </w:rPr>
            </w:pPr>
            <w:r>
              <w:rPr>
                <w:sz w:val="19"/>
              </w:rPr>
              <w:t>110.66</w:t>
            </w:r>
          </w:p>
        </w:tc>
        <w:tc>
          <w:tcPr>
            <w:tcW w:w="871" w:type="dxa"/>
          </w:tcPr>
          <w:p>
            <w:pPr>
              <w:pStyle w:val="TableParagraph"/>
              <w:ind w:left="77"/>
              <w:rPr>
                <w:sz w:val="19"/>
              </w:rPr>
            </w:pPr>
            <w:r>
              <w:rPr>
                <w:sz w:val="19"/>
              </w:rPr>
              <w:t>6.7</w:t>
            </w:r>
          </w:p>
        </w:tc>
        <w:tc>
          <w:tcPr>
            <w:tcW w:w="747" w:type="dxa"/>
          </w:tcPr>
          <w:p>
            <w:pPr>
              <w:pStyle w:val="TableParagraph"/>
              <w:ind w:left="80"/>
              <w:rPr>
                <w:sz w:val="19"/>
              </w:rPr>
            </w:pPr>
            <w:r>
              <w:rPr>
                <w:sz w:val="19"/>
              </w:rPr>
              <w:t>20.8</w:t>
            </w:r>
          </w:p>
        </w:tc>
        <w:tc>
          <w:tcPr>
            <w:tcW w:w="774" w:type="dxa"/>
          </w:tcPr>
          <w:p>
            <w:pPr>
              <w:pStyle w:val="TableParagraph"/>
              <w:ind w:left="98" w:right="265"/>
              <w:jc w:val="center"/>
              <w:rPr>
                <w:sz w:val="19"/>
              </w:rPr>
            </w:pPr>
            <w:r>
              <w:rPr>
                <w:sz w:val="19"/>
              </w:rPr>
              <w:t>55.4</w:t>
            </w:r>
          </w:p>
        </w:tc>
        <w:tc>
          <w:tcPr>
            <w:tcW w:w="808" w:type="dxa"/>
          </w:tcPr>
          <w:p>
            <w:pPr>
              <w:pStyle w:val="TableParagraph"/>
              <w:ind w:left="120"/>
              <w:rPr>
                <w:sz w:val="19"/>
              </w:rPr>
            </w:pPr>
            <w:r>
              <w:rPr>
                <w:sz w:val="19"/>
              </w:rPr>
              <w:t>261.8</w:t>
            </w:r>
          </w:p>
        </w:tc>
        <w:tc>
          <w:tcPr>
            <w:tcW w:w="1007" w:type="dxa"/>
          </w:tcPr>
          <w:p>
            <w:pPr>
              <w:pStyle w:val="TableParagraph"/>
              <w:ind w:left="92"/>
              <w:rPr>
                <w:sz w:val="19"/>
              </w:rPr>
            </w:pPr>
            <w:r>
              <w:rPr>
                <w:sz w:val="19"/>
              </w:rPr>
              <w:t>2.74</w:t>
            </w:r>
          </w:p>
        </w:tc>
        <w:tc>
          <w:tcPr>
            <w:tcW w:w="1376" w:type="dxa"/>
          </w:tcPr>
          <w:p>
            <w:pPr>
              <w:pStyle w:val="TableParagraph"/>
              <w:ind w:left="81"/>
              <w:rPr>
                <w:sz w:val="19"/>
              </w:rPr>
            </w:pPr>
            <w:r>
              <w:rPr>
                <w:sz w:val="19"/>
              </w:rPr>
              <w:t>2.57</w:t>
            </w:r>
          </w:p>
        </w:tc>
        <w:tc>
          <w:tcPr>
            <w:tcW w:w="1253" w:type="dxa"/>
          </w:tcPr>
          <w:p>
            <w:pPr>
              <w:pStyle w:val="TableParagraph"/>
              <w:ind w:left="82"/>
              <w:rPr>
                <w:sz w:val="19"/>
              </w:rPr>
            </w:pPr>
            <w:r>
              <w:rPr>
                <w:sz w:val="19"/>
              </w:rPr>
              <w:t>1.09</w:t>
            </w:r>
          </w:p>
        </w:tc>
      </w:tr>
      <w:tr>
        <w:trPr>
          <w:trHeight w:val="333" w:hRule="exact"/>
        </w:trPr>
        <w:tc>
          <w:tcPr>
            <w:tcW w:w="1351" w:type="dxa"/>
          </w:tcPr>
          <w:p>
            <w:pPr>
              <w:pStyle w:val="TableParagraph"/>
              <w:spacing w:before="57"/>
              <w:ind w:left="68"/>
              <w:rPr>
                <w:b/>
                <w:i/>
                <w:sz w:val="19"/>
              </w:rPr>
            </w:pPr>
            <w:r>
              <w:rPr>
                <w:b/>
                <w:i/>
                <w:sz w:val="19"/>
              </w:rPr>
              <w:t>Mean</w:t>
            </w:r>
          </w:p>
        </w:tc>
        <w:tc>
          <w:tcPr>
            <w:tcW w:w="1040" w:type="dxa"/>
          </w:tcPr>
          <w:p>
            <w:pPr/>
          </w:p>
        </w:tc>
        <w:tc>
          <w:tcPr>
            <w:tcW w:w="1310" w:type="dxa"/>
          </w:tcPr>
          <w:p>
            <w:pPr>
              <w:pStyle w:val="TableParagraph"/>
              <w:spacing w:before="25"/>
              <w:ind w:left="231"/>
              <w:rPr>
                <w:i/>
                <w:sz w:val="12"/>
              </w:rPr>
            </w:pPr>
            <w:r>
              <w:rPr>
                <w:i/>
                <w:w w:val="105"/>
                <w:sz w:val="19"/>
              </w:rPr>
              <w:t>59.70</w:t>
            </w:r>
            <w:r>
              <w:rPr>
                <w:i/>
                <w:w w:val="105"/>
                <w:position w:val="10"/>
                <w:sz w:val="12"/>
              </w:rPr>
              <w:t>a</w:t>
            </w:r>
          </w:p>
        </w:tc>
        <w:tc>
          <w:tcPr>
            <w:tcW w:w="1160" w:type="dxa"/>
          </w:tcPr>
          <w:p>
            <w:pPr>
              <w:pStyle w:val="TableParagraph"/>
              <w:spacing w:before="59"/>
              <w:ind w:left="165" w:right="103"/>
              <w:rPr>
                <w:i/>
                <w:sz w:val="19"/>
              </w:rPr>
            </w:pPr>
            <w:r>
              <w:rPr>
                <w:i/>
                <w:sz w:val="19"/>
              </w:rPr>
              <w:t>2.04</w:t>
            </w:r>
          </w:p>
        </w:tc>
        <w:tc>
          <w:tcPr>
            <w:tcW w:w="1202" w:type="dxa"/>
          </w:tcPr>
          <w:p>
            <w:pPr>
              <w:pStyle w:val="TableParagraph"/>
              <w:spacing w:before="25"/>
              <w:ind w:left="106"/>
              <w:rPr>
                <w:i/>
                <w:sz w:val="12"/>
              </w:rPr>
            </w:pPr>
            <w:r>
              <w:rPr>
                <w:i/>
                <w:w w:val="105"/>
                <w:sz w:val="19"/>
              </w:rPr>
              <w:t>114.49</w:t>
            </w:r>
            <w:r>
              <w:rPr>
                <w:i/>
                <w:w w:val="105"/>
                <w:position w:val="10"/>
                <w:sz w:val="12"/>
              </w:rPr>
              <w:t>a</w:t>
            </w:r>
          </w:p>
        </w:tc>
        <w:tc>
          <w:tcPr>
            <w:tcW w:w="871" w:type="dxa"/>
          </w:tcPr>
          <w:p>
            <w:pPr>
              <w:pStyle w:val="TableParagraph"/>
              <w:spacing w:before="59"/>
              <w:ind w:left="77"/>
              <w:rPr>
                <w:i/>
                <w:sz w:val="19"/>
              </w:rPr>
            </w:pPr>
            <w:r>
              <w:rPr>
                <w:i/>
                <w:sz w:val="19"/>
              </w:rPr>
              <w:t>3.86</w:t>
            </w:r>
          </w:p>
        </w:tc>
        <w:tc>
          <w:tcPr>
            <w:tcW w:w="747" w:type="dxa"/>
          </w:tcPr>
          <w:p>
            <w:pPr>
              <w:pStyle w:val="TableParagraph"/>
              <w:spacing w:before="25"/>
              <w:ind w:left="79"/>
              <w:rPr>
                <w:i/>
                <w:sz w:val="12"/>
              </w:rPr>
            </w:pPr>
            <w:r>
              <w:rPr>
                <w:i/>
                <w:w w:val="105"/>
                <w:sz w:val="19"/>
              </w:rPr>
              <w:t>17.84</w:t>
            </w:r>
            <w:r>
              <w:rPr>
                <w:i/>
                <w:w w:val="105"/>
                <w:position w:val="10"/>
                <w:sz w:val="12"/>
              </w:rPr>
              <w:t>a</w:t>
            </w:r>
          </w:p>
        </w:tc>
        <w:tc>
          <w:tcPr>
            <w:tcW w:w="774" w:type="dxa"/>
          </w:tcPr>
          <w:p>
            <w:pPr>
              <w:pStyle w:val="TableParagraph"/>
              <w:spacing w:before="59"/>
              <w:ind w:left="98" w:right="158"/>
              <w:jc w:val="center"/>
              <w:rPr>
                <w:i/>
                <w:sz w:val="19"/>
              </w:rPr>
            </w:pPr>
            <w:r>
              <w:rPr>
                <w:i/>
                <w:sz w:val="19"/>
              </w:rPr>
              <w:t>61.33</w:t>
            </w:r>
          </w:p>
        </w:tc>
        <w:tc>
          <w:tcPr>
            <w:tcW w:w="808" w:type="dxa"/>
          </w:tcPr>
          <w:p>
            <w:pPr>
              <w:pStyle w:val="TableParagraph"/>
              <w:spacing w:before="59"/>
              <w:ind w:left="120"/>
              <w:rPr>
                <w:i/>
                <w:sz w:val="19"/>
              </w:rPr>
            </w:pPr>
            <w:r>
              <w:rPr>
                <w:i/>
                <w:sz w:val="19"/>
              </w:rPr>
              <w:t>273.68</w:t>
            </w:r>
          </w:p>
        </w:tc>
        <w:tc>
          <w:tcPr>
            <w:tcW w:w="1007" w:type="dxa"/>
          </w:tcPr>
          <w:p>
            <w:pPr>
              <w:pStyle w:val="TableParagraph"/>
              <w:spacing w:before="25"/>
              <w:ind w:left="92"/>
              <w:rPr>
                <w:i/>
                <w:sz w:val="12"/>
              </w:rPr>
            </w:pPr>
            <w:r>
              <w:rPr>
                <w:i/>
                <w:w w:val="105"/>
                <w:sz w:val="19"/>
              </w:rPr>
              <w:t>2.56</w:t>
            </w:r>
            <w:r>
              <w:rPr>
                <w:i/>
                <w:w w:val="105"/>
                <w:position w:val="10"/>
                <w:sz w:val="12"/>
              </w:rPr>
              <w:t>a</w:t>
            </w:r>
          </w:p>
        </w:tc>
        <w:tc>
          <w:tcPr>
            <w:tcW w:w="1376" w:type="dxa"/>
          </w:tcPr>
          <w:p>
            <w:pPr>
              <w:pStyle w:val="TableParagraph"/>
              <w:spacing w:before="59"/>
              <w:ind w:left="81"/>
              <w:rPr>
                <w:i/>
                <w:sz w:val="19"/>
              </w:rPr>
            </w:pPr>
            <w:r>
              <w:rPr>
                <w:i/>
                <w:sz w:val="19"/>
              </w:rPr>
              <w:t>2.47</w:t>
            </w:r>
          </w:p>
        </w:tc>
        <w:tc>
          <w:tcPr>
            <w:tcW w:w="1253" w:type="dxa"/>
          </w:tcPr>
          <w:p>
            <w:pPr>
              <w:pStyle w:val="TableParagraph"/>
              <w:spacing w:before="25"/>
              <w:ind w:left="82"/>
              <w:rPr>
                <w:i/>
                <w:sz w:val="12"/>
              </w:rPr>
            </w:pPr>
            <w:r>
              <w:rPr>
                <w:i/>
                <w:w w:val="105"/>
                <w:sz w:val="19"/>
              </w:rPr>
              <w:t>1.18</w:t>
            </w:r>
            <w:r>
              <w:rPr>
                <w:i/>
                <w:w w:val="105"/>
                <w:position w:val="10"/>
                <w:sz w:val="12"/>
              </w:rPr>
              <w:t>b</w:t>
            </w:r>
          </w:p>
        </w:tc>
      </w:tr>
      <w:tr>
        <w:trPr>
          <w:trHeight w:val="307" w:hRule="exact"/>
        </w:trPr>
        <w:tc>
          <w:tcPr>
            <w:tcW w:w="1351" w:type="dxa"/>
          </w:tcPr>
          <w:p>
            <w:pPr>
              <w:pStyle w:val="TableParagraph"/>
              <w:spacing w:before="36"/>
              <w:ind w:left="68"/>
              <w:rPr>
                <w:b/>
                <w:sz w:val="19"/>
              </w:rPr>
            </w:pPr>
            <w:r>
              <w:rPr>
                <w:b/>
                <w:sz w:val="19"/>
              </w:rPr>
              <w:t>EZ</w:t>
            </w:r>
          </w:p>
        </w:tc>
        <w:tc>
          <w:tcPr>
            <w:tcW w:w="1040" w:type="dxa"/>
          </w:tcPr>
          <w:p>
            <w:pPr>
              <w:pStyle w:val="TableParagraph"/>
              <w:spacing w:before="44"/>
              <w:ind w:left="0" w:right="337"/>
              <w:jc w:val="right"/>
              <w:rPr>
                <w:sz w:val="19"/>
              </w:rPr>
            </w:pPr>
            <w:r>
              <w:rPr>
                <w:w w:val="102"/>
                <w:sz w:val="19"/>
              </w:rPr>
              <w:t>0</w:t>
            </w:r>
          </w:p>
        </w:tc>
        <w:tc>
          <w:tcPr>
            <w:tcW w:w="1310" w:type="dxa"/>
          </w:tcPr>
          <w:p>
            <w:pPr>
              <w:pStyle w:val="TableParagraph"/>
              <w:spacing w:before="44"/>
              <w:ind w:left="231"/>
              <w:rPr>
                <w:sz w:val="19"/>
              </w:rPr>
            </w:pPr>
            <w:r>
              <w:rPr>
                <w:sz w:val="19"/>
              </w:rPr>
              <w:t>55.08</w:t>
            </w:r>
          </w:p>
        </w:tc>
        <w:tc>
          <w:tcPr>
            <w:tcW w:w="1160" w:type="dxa"/>
          </w:tcPr>
          <w:p>
            <w:pPr>
              <w:pStyle w:val="TableParagraph"/>
              <w:spacing w:before="44"/>
              <w:ind w:left="165" w:right="103"/>
              <w:rPr>
                <w:sz w:val="19"/>
              </w:rPr>
            </w:pPr>
            <w:r>
              <w:rPr>
                <w:sz w:val="19"/>
              </w:rPr>
              <w:t>1.4</w:t>
            </w:r>
          </w:p>
        </w:tc>
        <w:tc>
          <w:tcPr>
            <w:tcW w:w="1202" w:type="dxa"/>
          </w:tcPr>
          <w:p>
            <w:pPr>
              <w:pStyle w:val="TableParagraph"/>
              <w:spacing w:before="44"/>
              <w:ind w:left="106"/>
              <w:rPr>
                <w:sz w:val="19"/>
              </w:rPr>
            </w:pPr>
            <w:r>
              <w:rPr>
                <w:sz w:val="19"/>
              </w:rPr>
              <w:t>104.78</w:t>
            </w:r>
          </w:p>
        </w:tc>
        <w:tc>
          <w:tcPr>
            <w:tcW w:w="871" w:type="dxa"/>
          </w:tcPr>
          <w:p>
            <w:pPr>
              <w:pStyle w:val="TableParagraph"/>
              <w:spacing w:before="44"/>
              <w:ind w:left="77"/>
              <w:rPr>
                <w:sz w:val="19"/>
              </w:rPr>
            </w:pPr>
            <w:r>
              <w:rPr>
                <w:sz w:val="19"/>
              </w:rPr>
              <w:t>2.6</w:t>
            </w:r>
          </w:p>
        </w:tc>
        <w:tc>
          <w:tcPr>
            <w:tcW w:w="747" w:type="dxa"/>
          </w:tcPr>
          <w:p>
            <w:pPr>
              <w:pStyle w:val="TableParagraph"/>
              <w:spacing w:before="44"/>
              <w:ind w:left="80"/>
              <w:rPr>
                <w:sz w:val="19"/>
              </w:rPr>
            </w:pPr>
            <w:r>
              <w:rPr>
                <w:sz w:val="19"/>
              </w:rPr>
              <w:t>12.6</w:t>
            </w:r>
          </w:p>
        </w:tc>
        <w:tc>
          <w:tcPr>
            <w:tcW w:w="774" w:type="dxa"/>
          </w:tcPr>
          <w:p>
            <w:pPr>
              <w:pStyle w:val="TableParagraph"/>
              <w:spacing w:before="44"/>
              <w:ind w:left="98" w:right="265"/>
              <w:jc w:val="center"/>
              <w:rPr>
                <w:sz w:val="19"/>
              </w:rPr>
            </w:pPr>
            <w:r>
              <w:rPr>
                <w:sz w:val="19"/>
              </w:rPr>
              <w:t>55.4</w:t>
            </w:r>
          </w:p>
        </w:tc>
        <w:tc>
          <w:tcPr>
            <w:tcW w:w="808" w:type="dxa"/>
          </w:tcPr>
          <w:p>
            <w:pPr>
              <w:pStyle w:val="TableParagraph"/>
              <w:spacing w:before="44"/>
              <w:ind w:left="120"/>
              <w:rPr>
                <w:sz w:val="19"/>
              </w:rPr>
            </w:pPr>
            <w:r>
              <w:rPr>
                <w:sz w:val="19"/>
              </w:rPr>
              <w:t>209.8</w:t>
            </w:r>
          </w:p>
        </w:tc>
        <w:tc>
          <w:tcPr>
            <w:tcW w:w="1007" w:type="dxa"/>
          </w:tcPr>
          <w:p>
            <w:pPr>
              <w:pStyle w:val="TableParagraph"/>
              <w:spacing w:before="44"/>
              <w:ind w:left="92"/>
              <w:rPr>
                <w:sz w:val="19"/>
              </w:rPr>
            </w:pPr>
            <w:r>
              <w:rPr>
                <w:sz w:val="19"/>
              </w:rPr>
              <w:t>2.22</w:t>
            </w:r>
          </w:p>
        </w:tc>
        <w:tc>
          <w:tcPr>
            <w:tcW w:w="1376" w:type="dxa"/>
          </w:tcPr>
          <w:p>
            <w:pPr>
              <w:pStyle w:val="TableParagraph"/>
              <w:spacing w:before="44"/>
              <w:ind w:left="81"/>
              <w:rPr>
                <w:sz w:val="19"/>
              </w:rPr>
            </w:pPr>
            <w:r>
              <w:rPr>
                <w:sz w:val="19"/>
              </w:rPr>
              <w:t>2.10</w:t>
            </w:r>
          </w:p>
        </w:tc>
        <w:tc>
          <w:tcPr>
            <w:tcW w:w="1253" w:type="dxa"/>
          </w:tcPr>
          <w:p>
            <w:pPr>
              <w:pStyle w:val="TableParagraph"/>
              <w:spacing w:before="44"/>
              <w:ind w:left="82"/>
              <w:rPr>
                <w:sz w:val="19"/>
              </w:rPr>
            </w:pPr>
            <w:r>
              <w:rPr>
                <w:sz w:val="19"/>
              </w:rPr>
              <w:t>1.00</w:t>
            </w:r>
          </w:p>
        </w:tc>
      </w:tr>
      <w:tr>
        <w:trPr>
          <w:trHeight w:val="292" w:hRule="exact"/>
        </w:trPr>
        <w:tc>
          <w:tcPr>
            <w:tcW w:w="1351" w:type="dxa"/>
          </w:tcPr>
          <w:p>
            <w:pPr/>
          </w:p>
        </w:tc>
        <w:tc>
          <w:tcPr>
            <w:tcW w:w="1040" w:type="dxa"/>
          </w:tcPr>
          <w:p>
            <w:pPr>
              <w:pStyle w:val="TableParagraph"/>
              <w:spacing w:before="27"/>
              <w:ind w:left="0" w:right="229"/>
              <w:jc w:val="right"/>
              <w:rPr>
                <w:sz w:val="19"/>
              </w:rPr>
            </w:pPr>
            <w:r>
              <w:rPr>
                <w:sz w:val="19"/>
              </w:rPr>
              <w:t>15</w:t>
            </w:r>
          </w:p>
        </w:tc>
        <w:tc>
          <w:tcPr>
            <w:tcW w:w="1310" w:type="dxa"/>
          </w:tcPr>
          <w:p>
            <w:pPr>
              <w:pStyle w:val="TableParagraph"/>
              <w:spacing w:before="27"/>
              <w:ind w:left="231"/>
              <w:rPr>
                <w:sz w:val="19"/>
              </w:rPr>
            </w:pPr>
            <w:r>
              <w:rPr>
                <w:sz w:val="19"/>
              </w:rPr>
              <w:t>59.92</w:t>
            </w:r>
          </w:p>
        </w:tc>
        <w:tc>
          <w:tcPr>
            <w:tcW w:w="1160" w:type="dxa"/>
          </w:tcPr>
          <w:p>
            <w:pPr>
              <w:pStyle w:val="TableParagraph"/>
              <w:spacing w:before="27"/>
              <w:ind w:left="165" w:right="103"/>
              <w:rPr>
                <w:sz w:val="19"/>
              </w:rPr>
            </w:pPr>
            <w:r>
              <w:rPr>
                <w:sz w:val="19"/>
              </w:rPr>
              <w:t>2.8</w:t>
            </w:r>
          </w:p>
        </w:tc>
        <w:tc>
          <w:tcPr>
            <w:tcW w:w="1202" w:type="dxa"/>
          </w:tcPr>
          <w:p>
            <w:pPr>
              <w:pStyle w:val="TableParagraph"/>
              <w:spacing w:before="27"/>
              <w:ind w:left="106"/>
              <w:rPr>
                <w:sz w:val="19"/>
              </w:rPr>
            </w:pPr>
            <w:r>
              <w:rPr>
                <w:sz w:val="19"/>
              </w:rPr>
              <w:t>97.42</w:t>
            </w:r>
          </w:p>
        </w:tc>
        <w:tc>
          <w:tcPr>
            <w:tcW w:w="871" w:type="dxa"/>
          </w:tcPr>
          <w:p>
            <w:pPr>
              <w:pStyle w:val="TableParagraph"/>
              <w:spacing w:before="27"/>
              <w:ind w:left="77"/>
              <w:rPr>
                <w:sz w:val="19"/>
              </w:rPr>
            </w:pPr>
            <w:r>
              <w:rPr>
                <w:sz w:val="19"/>
              </w:rPr>
              <w:t>4.4</w:t>
            </w:r>
          </w:p>
        </w:tc>
        <w:tc>
          <w:tcPr>
            <w:tcW w:w="747" w:type="dxa"/>
          </w:tcPr>
          <w:p>
            <w:pPr>
              <w:pStyle w:val="TableParagraph"/>
              <w:spacing w:before="27"/>
              <w:ind w:left="80"/>
              <w:rPr>
                <w:sz w:val="19"/>
              </w:rPr>
            </w:pPr>
            <w:r>
              <w:rPr>
                <w:sz w:val="19"/>
              </w:rPr>
              <w:t>14.8</w:t>
            </w:r>
          </w:p>
        </w:tc>
        <w:tc>
          <w:tcPr>
            <w:tcW w:w="774" w:type="dxa"/>
          </w:tcPr>
          <w:p>
            <w:pPr>
              <w:pStyle w:val="TableParagraph"/>
              <w:spacing w:before="27"/>
              <w:ind w:left="98" w:right="265"/>
              <w:jc w:val="center"/>
              <w:rPr>
                <w:sz w:val="19"/>
              </w:rPr>
            </w:pPr>
            <w:r>
              <w:rPr>
                <w:sz w:val="19"/>
              </w:rPr>
              <w:t>54.2</w:t>
            </w:r>
          </w:p>
        </w:tc>
        <w:tc>
          <w:tcPr>
            <w:tcW w:w="808" w:type="dxa"/>
          </w:tcPr>
          <w:p>
            <w:pPr>
              <w:pStyle w:val="TableParagraph"/>
              <w:spacing w:before="27"/>
              <w:ind w:left="120"/>
              <w:rPr>
                <w:sz w:val="19"/>
              </w:rPr>
            </w:pPr>
            <w:r>
              <w:rPr>
                <w:sz w:val="19"/>
              </w:rPr>
              <w:t>232.4</w:t>
            </w:r>
          </w:p>
        </w:tc>
        <w:tc>
          <w:tcPr>
            <w:tcW w:w="1007" w:type="dxa"/>
          </w:tcPr>
          <w:p>
            <w:pPr>
              <w:pStyle w:val="TableParagraph"/>
              <w:spacing w:before="27"/>
              <w:ind w:left="92"/>
              <w:rPr>
                <w:sz w:val="19"/>
              </w:rPr>
            </w:pPr>
            <w:r>
              <w:rPr>
                <w:sz w:val="19"/>
              </w:rPr>
              <w:t>2.34</w:t>
            </w:r>
          </w:p>
        </w:tc>
        <w:tc>
          <w:tcPr>
            <w:tcW w:w="1376" w:type="dxa"/>
          </w:tcPr>
          <w:p>
            <w:pPr>
              <w:pStyle w:val="TableParagraph"/>
              <w:spacing w:before="27"/>
              <w:ind w:left="81"/>
              <w:rPr>
                <w:sz w:val="19"/>
              </w:rPr>
            </w:pPr>
            <w:r>
              <w:rPr>
                <w:sz w:val="19"/>
              </w:rPr>
              <w:t>2.51</w:t>
            </w:r>
          </w:p>
        </w:tc>
        <w:tc>
          <w:tcPr>
            <w:tcW w:w="1253" w:type="dxa"/>
          </w:tcPr>
          <w:p>
            <w:pPr>
              <w:pStyle w:val="TableParagraph"/>
              <w:spacing w:before="27"/>
              <w:ind w:left="82"/>
              <w:rPr>
                <w:sz w:val="19"/>
              </w:rPr>
            </w:pPr>
            <w:r>
              <w:rPr>
                <w:sz w:val="19"/>
              </w:rPr>
              <w:t>1.50</w:t>
            </w:r>
          </w:p>
        </w:tc>
      </w:tr>
      <w:tr>
        <w:trPr>
          <w:trHeight w:val="293" w:hRule="exact"/>
        </w:trPr>
        <w:tc>
          <w:tcPr>
            <w:tcW w:w="1351" w:type="dxa"/>
          </w:tcPr>
          <w:p>
            <w:pPr/>
          </w:p>
        </w:tc>
        <w:tc>
          <w:tcPr>
            <w:tcW w:w="1040" w:type="dxa"/>
          </w:tcPr>
          <w:p>
            <w:pPr>
              <w:pStyle w:val="TableParagraph"/>
              <w:ind w:left="0" w:right="229"/>
              <w:jc w:val="right"/>
              <w:rPr>
                <w:sz w:val="19"/>
              </w:rPr>
            </w:pPr>
            <w:r>
              <w:rPr>
                <w:sz w:val="19"/>
              </w:rPr>
              <w:t>30</w:t>
            </w:r>
          </w:p>
        </w:tc>
        <w:tc>
          <w:tcPr>
            <w:tcW w:w="1310" w:type="dxa"/>
          </w:tcPr>
          <w:p>
            <w:pPr>
              <w:pStyle w:val="TableParagraph"/>
              <w:ind w:left="231"/>
              <w:rPr>
                <w:sz w:val="19"/>
              </w:rPr>
            </w:pPr>
            <w:r>
              <w:rPr>
                <w:sz w:val="19"/>
              </w:rPr>
              <w:t>54.26</w:t>
            </w:r>
          </w:p>
        </w:tc>
        <w:tc>
          <w:tcPr>
            <w:tcW w:w="1160" w:type="dxa"/>
          </w:tcPr>
          <w:p>
            <w:pPr>
              <w:pStyle w:val="TableParagraph"/>
              <w:ind w:left="165" w:right="103"/>
              <w:rPr>
                <w:sz w:val="19"/>
              </w:rPr>
            </w:pPr>
            <w:r>
              <w:rPr>
                <w:sz w:val="19"/>
              </w:rPr>
              <w:t>2.6</w:t>
            </w:r>
          </w:p>
        </w:tc>
        <w:tc>
          <w:tcPr>
            <w:tcW w:w="1202" w:type="dxa"/>
          </w:tcPr>
          <w:p>
            <w:pPr>
              <w:pStyle w:val="TableParagraph"/>
              <w:ind w:left="106"/>
              <w:rPr>
                <w:sz w:val="19"/>
              </w:rPr>
            </w:pPr>
            <w:r>
              <w:rPr>
                <w:sz w:val="19"/>
              </w:rPr>
              <w:t>112.06</w:t>
            </w:r>
          </w:p>
        </w:tc>
        <w:tc>
          <w:tcPr>
            <w:tcW w:w="871" w:type="dxa"/>
          </w:tcPr>
          <w:p>
            <w:pPr>
              <w:pStyle w:val="TableParagraph"/>
              <w:ind w:left="77"/>
              <w:rPr>
                <w:sz w:val="19"/>
              </w:rPr>
            </w:pPr>
            <w:r>
              <w:rPr>
                <w:sz w:val="19"/>
              </w:rPr>
              <w:t>4.0</w:t>
            </w:r>
          </w:p>
        </w:tc>
        <w:tc>
          <w:tcPr>
            <w:tcW w:w="747" w:type="dxa"/>
          </w:tcPr>
          <w:p>
            <w:pPr>
              <w:pStyle w:val="TableParagraph"/>
              <w:ind w:left="80"/>
              <w:rPr>
                <w:sz w:val="19"/>
              </w:rPr>
            </w:pPr>
            <w:r>
              <w:rPr>
                <w:sz w:val="19"/>
              </w:rPr>
              <w:t>15.8</w:t>
            </w:r>
          </w:p>
        </w:tc>
        <w:tc>
          <w:tcPr>
            <w:tcW w:w="774" w:type="dxa"/>
          </w:tcPr>
          <w:p>
            <w:pPr>
              <w:pStyle w:val="TableParagraph"/>
              <w:ind w:left="98" w:right="265"/>
              <w:jc w:val="center"/>
              <w:rPr>
                <w:sz w:val="19"/>
              </w:rPr>
            </w:pPr>
            <w:r>
              <w:rPr>
                <w:sz w:val="19"/>
              </w:rPr>
              <w:t>64.2</w:t>
            </w:r>
          </w:p>
        </w:tc>
        <w:tc>
          <w:tcPr>
            <w:tcW w:w="808" w:type="dxa"/>
          </w:tcPr>
          <w:p>
            <w:pPr>
              <w:pStyle w:val="TableParagraph"/>
              <w:ind w:left="120"/>
              <w:rPr>
                <w:sz w:val="19"/>
              </w:rPr>
            </w:pPr>
            <w:r>
              <w:rPr>
                <w:sz w:val="19"/>
              </w:rPr>
              <w:t>277.8</w:t>
            </w:r>
          </w:p>
        </w:tc>
        <w:tc>
          <w:tcPr>
            <w:tcW w:w="1007" w:type="dxa"/>
          </w:tcPr>
          <w:p>
            <w:pPr>
              <w:pStyle w:val="TableParagraph"/>
              <w:ind w:left="92"/>
              <w:rPr>
                <w:sz w:val="19"/>
              </w:rPr>
            </w:pPr>
            <w:r>
              <w:rPr>
                <w:sz w:val="19"/>
              </w:rPr>
              <w:t>2.34</w:t>
            </w:r>
          </w:p>
        </w:tc>
        <w:tc>
          <w:tcPr>
            <w:tcW w:w="1376" w:type="dxa"/>
          </w:tcPr>
          <w:p>
            <w:pPr>
              <w:pStyle w:val="TableParagraph"/>
              <w:ind w:left="81"/>
              <w:rPr>
                <w:sz w:val="19"/>
              </w:rPr>
            </w:pPr>
            <w:r>
              <w:rPr>
                <w:sz w:val="19"/>
              </w:rPr>
              <w:t>2.23</w:t>
            </w:r>
          </w:p>
        </w:tc>
        <w:tc>
          <w:tcPr>
            <w:tcW w:w="1253" w:type="dxa"/>
          </w:tcPr>
          <w:p>
            <w:pPr>
              <w:pStyle w:val="TableParagraph"/>
              <w:ind w:left="82"/>
              <w:rPr>
                <w:sz w:val="19"/>
              </w:rPr>
            </w:pPr>
            <w:r>
              <w:rPr>
                <w:sz w:val="19"/>
              </w:rPr>
              <w:t>1.35</w:t>
            </w:r>
          </w:p>
        </w:tc>
      </w:tr>
      <w:tr>
        <w:trPr>
          <w:trHeight w:val="292" w:hRule="exact"/>
        </w:trPr>
        <w:tc>
          <w:tcPr>
            <w:tcW w:w="1351" w:type="dxa"/>
          </w:tcPr>
          <w:p>
            <w:pPr/>
          </w:p>
        </w:tc>
        <w:tc>
          <w:tcPr>
            <w:tcW w:w="1040" w:type="dxa"/>
          </w:tcPr>
          <w:p>
            <w:pPr>
              <w:pStyle w:val="TableParagraph"/>
              <w:ind w:left="0" w:right="229"/>
              <w:jc w:val="right"/>
              <w:rPr>
                <w:sz w:val="19"/>
              </w:rPr>
            </w:pPr>
            <w:r>
              <w:rPr>
                <w:sz w:val="19"/>
              </w:rPr>
              <w:t>45</w:t>
            </w:r>
          </w:p>
        </w:tc>
        <w:tc>
          <w:tcPr>
            <w:tcW w:w="1310" w:type="dxa"/>
          </w:tcPr>
          <w:p>
            <w:pPr>
              <w:pStyle w:val="TableParagraph"/>
              <w:ind w:left="231"/>
              <w:rPr>
                <w:sz w:val="19"/>
              </w:rPr>
            </w:pPr>
            <w:r>
              <w:rPr>
                <w:sz w:val="19"/>
              </w:rPr>
              <w:t>50.96</w:t>
            </w:r>
          </w:p>
        </w:tc>
        <w:tc>
          <w:tcPr>
            <w:tcW w:w="1160" w:type="dxa"/>
          </w:tcPr>
          <w:p>
            <w:pPr>
              <w:pStyle w:val="TableParagraph"/>
              <w:ind w:left="165" w:right="103"/>
              <w:rPr>
                <w:sz w:val="19"/>
              </w:rPr>
            </w:pPr>
            <w:r>
              <w:rPr>
                <w:sz w:val="19"/>
              </w:rPr>
              <w:t>2.2</w:t>
            </w:r>
          </w:p>
        </w:tc>
        <w:tc>
          <w:tcPr>
            <w:tcW w:w="1202" w:type="dxa"/>
          </w:tcPr>
          <w:p>
            <w:pPr>
              <w:pStyle w:val="TableParagraph"/>
              <w:ind w:left="106"/>
              <w:rPr>
                <w:sz w:val="19"/>
              </w:rPr>
            </w:pPr>
            <w:r>
              <w:rPr>
                <w:sz w:val="19"/>
              </w:rPr>
              <w:t>112.72</w:t>
            </w:r>
          </w:p>
        </w:tc>
        <w:tc>
          <w:tcPr>
            <w:tcW w:w="871" w:type="dxa"/>
          </w:tcPr>
          <w:p>
            <w:pPr>
              <w:pStyle w:val="TableParagraph"/>
              <w:ind w:left="77"/>
              <w:rPr>
                <w:sz w:val="19"/>
              </w:rPr>
            </w:pPr>
            <w:r>
              <w:rPr>
                <w:sz w:val="19"/>
              </w:rPr>
              <w:t>3.2</w:t>
            </w:r>
          </w:p>
        </w:tc>
        <w:tc>
          <w:tcPr>
            <w:tcW w:w="747" w:type="dxa"/>
          </w:tcPr>
          <w:p>
            <w:pPr>
              <w:pStyle w:val="TableParagraph"/>
              <w:ind w:left="80"/>
              <w:rPr>
                <w:sz w:val="19"/>
              </w:rPr>
            </w:pPr>
            <w:r>
              <w:rPr>
                <w:sz w:val="19"/>
              </w:rPr>
              <w:t>15.0</w:t>
            </w:r>
          </w:p>
        </w:tc>
        <w:tc>
          <w:tcPr>
            <w:tcW w:w="774" w:type="dxa"/>
          </w:tcPr>
          <w:p>
            <w:pPr>
              <w:pStyle w:val="TableParagraph"/>
              <w:ind w:left="98" w:right="265"/>
              <w:jc w:val="center"/>
              <w:rPr>
                <w:sz w:val="19"/>
              </w:rPr>
            </w:pPr>
            <w:r>
              <w:rPr>
                <w:sz w:val="19"/>
              </w:rPr>
              <w:t>55.4</w:t>
            </w:r>
          </w:p>
        </w:tc>
        <w:tc>
          <w:tcPr>
            <w:tcW w:w="808" w:type="dxa"/>
          </w:tcPr>
          <w:p>
            <w:pPr>
              <w:pStyle w:val="TableParagraph"/>
              <w:ind w:left="120"/>
              <w:rPr>
                <w:sz w:val="19"/>
              </w:rPr>
            </w:pPr>
            <w:r>
              <w:rPr>
                <w:sz w:val="19"/>
              </w:rPr>
              <w:t>296.2</w:t>
            </w:r>
          </w:p>
        </w:tc>
        <w:tc>
          <w:tcPr>
            <w:tcW w:w="1007" w:type="dxa"/>
          </w:tcPr>
          <w:p>
            <w:pPr>
              <w:pStyle w:val="TableParagraph"/>
              <w:ind w:left="92"/>
              <w:rPr>
                <w:sz w:val="19"/>
              </w:rPr>
            </w:pPr>
            <w:r>
              <w:rPr>
                <w:sz w:val="19"/>
              </w:rPr>
              <w:t>2.38</w:t>
            </w:r>
          </w:p>
        </w:tc>
        <w:tc>
          <w:tcPr>
            <w:tcW w:w="1376" w:type="dxa"/>
          </w:tcPr>
          <w:p>
            <w:pPr>
              <w:pStyle w:val="TableParagraph"/>
              <w:ind w:left="81"/>
              <w:rPr>
                <w:sz w:val="19"/>
              </w:rPr>
            </w:pPr>
            <w:r>
              <w:rPr>
                <w:sz w:val="19"/>
              </w:rPr>
              <w:t>3.02</w:t>
            </w:r>
          </w:p>
        </w:tc>
        <w:tc>
          <w:tcPr>
            <w:tcW w:w="1253" w:type="dxa"/>
          </w:tcPr>
          <w:p>
            <w:pPr>
              <w:pStyle w:val="TableParagraph"/>
              <w:ind w:left="82"/>
              <w:rPr>
                <w:sz w:val="19"/>
              </w:rPr>
            </w:pPr>
            <w:r>
              <w:rPr>
                <w:sz w:val="19"/>
              </w:rPr>
              <w:t>1.41</w:t>
            </w:r>
          </w:p>
        </w:tc>
      </w:tr>
      <w:tr>
        <w:trPr>
          <w:trHeight w:val="281" w:hRule="exact"/>
        </w:trPr>
        <w:tc>
          <w:tcPr>
            <w:tcW w:w="1351" w:type="dxa"/>
          </w:tcPr>
          <w:p>
            <w:pPr/>
          </w:p>
        </w:tc>
        <w:tc>
          <w:tcPr>
            <w:tcW w:w="1040" w:type="dxa"/>
          </w:tcPr>
          <w:p>
            <w:pPr>
              <w:pStyle w:val="TableParagraph"/>
              <w:spacing w:before="27"/>
              <w:ind w:left="0" w:right="229"/>
              <w:jc w:val="right"/>
              <w:rPr>
                <w:sz w:val="19"/>
              </w:rPr>
            </w:pPr>
            <w:r>
              <w:rPr>
                <w:sz w:val="19"/>
              </w:rPr>
              <w:t>60</w:t>
            </w:r>
          </w:p>
        </w:tc>
        <w:tc>
          <w:tcPr>
            <w:tcW w:w="1310" w:type="dxa"/>
          </w:tcPr>
          <w:p>
            <w:pPr>
              <w:pStyle w:val="TableParagraph"/>
              <w:spacing w:before="27"/>
              <w:ind w:left="231"/>
              <w:rPr>
                <w:sz w:val="19"/>
              </w:rPr>
            </w:pPr>
            <w:r>
              <w:rPr>
                <w:sz w:val="19"/>
              </w:rPr>
              <w:t>47.56</w:t>
            </w:r>
          </w:p>
        </w:tc>
        <w:tc>
          <w:tcPr>
            <w:tcW w:w="1160" w:type="dxa"/>
          </w:tcPr>
          <w:p>
            <w:pPr>
              <w:pStyle w:val="TableParagraph"/>
              <w:spacing w:before="27"/>
              <w:ind w:left="165" w:right="103"/>
              <w:rPr>
                <w:sz w:val="19"/>
              </w:rPr>
            </w:pPr>
            <w:r>
              <w:rPr>
                <w:sz w:val="19"/>
              </w:rPr>
              <w:t>0.8</w:t>
            </w:r>
          </w:p>
        </w:tc>
        <w:tc>
          <w:tcPr>
            <w:tcW w:w="1202" w:type="dxa"/>
          </w:tcPr>
          <w:p>
            <w:pPr>
              <w:pStyle w:val="TableParagraph"/>
              <w:spacing w:before="27"/>
              <w:ind w:left="106"/>
              <w:rPr>
                <w:sz w:val="19"/>
              </w:rPr>
            </w:pPr>
            <w:r>
              <w:rPr>
                <w:sz w:val="19"/>
              </w:rPr>
              <w:t>101.2</w:t>
            </w:r>
          </w:p>
        </w:tc>
        <w:tc>
          <w:tcPr>
            <w:tcW w:w="871" w:type="dxa"/>
          </w:tcPr>
          <w:p>
            <w:pPr>
              <w:pStyle w:val="TableParagraph"/>
              <w:spacing w:before="27"/>
              <w:ind w:left="77"/>
              <w:rPr>
                <w:sz w:val="19"/>
              </w:rPr>
            </w:pPr>
            <w:r>
              <w:rPr>
                <w:sz w:val="19"/>
              </w:rPr>
              <w:t>4.3</w:t>
            </w:r>
          </w:p>
        </w:tc>
        <w:tc>
          <w:tcPr>
            <w:tcW w:w="747" w:type="dxa"/>
          </w:tcPr>
          <w:p>
            <w:pPr>
              <w:pStyle w:val="TableParagraph"/>
              <w:spacing w:before="27"/>
              <w:ind w:left="80"/>
              <w:rPr>
                <w:sz w:val="19"/>
              </w:rPr>
            </w:pPr>
            <w:r>
              <w:rPr>
                <w:sz w:val="19"/>
              </w:rPr>
              <w:t>16.4</w:t>
            </w:r>
          </w:p>
        </w:tc>
        <w:tc>
          <w:tcPr>
            <w:tcW w:w="774" w:type="dxa"/>
          </w:tcPr>
          <w:p>
            <w:pPr>
              <w:pStyle w:val="TableParagraph"/>
              <w:spacing w:before="27"/>
              <w:ind w:left="98" w:right="265"/>
              <w:jc w:val="center"/>
              <w:rPr>
                <w:sz w:val="19"/>
              </w:rPr>
            </w:pPr>
            <w:r>
              <w:rPr>
                <w:sz w:val="19"/>
              </w:rPr>
              <w:t>58.0</w:t>
            </w:r>
          </w:p>
        </w:tc>
        <w:tc>
          <w:tcPr>
            <w:tcW w:w="808" w:type="dxa"/>
          </w:tcPr>
          <w:p>
            <w:pPr>
              <w:pStyle w:val="TableParagraph"/>
              <w:spacing w:before="27"/>
              <w:ind w:left="120"/>
              <w:rPr>
                <w:sz w:val="19"/>
              </w:rPr>
            </w:pPr>
            <w:r>
              <w:rPr>
                <w:sz w:val="19"/>
              </w:rPr>
              <w:t>301.6</w:t>
            </w:r>
          </w:p>
        </w:tc>
        <w:tc>
          <w:tcPr>
            <w:tcW w:w="1007" w:type="dxa"/>
          </w:tcPr>
          <w:p>
            <w:pPr>
              <w:pStyle w:val="TableParagraph"/>
              <w:spacing w:before="27"/>
              <w:ind w:left="92"/>
              <w:rPr>
                <w:sz w:val="19"/>
              </w:rPr>
            </w:pPr>
            <w:r>
              <w:rPr>
                <w:sz w:val="19"/>
              </w:rPr>
              <w:t>2.62</w:t>
            </w:r>
          </w:p>
        </w:tc>
        <w:tc>
          <w:tcPr>
            <w:tcW w:w="1376" w:type="dxa"/>
          </w:tcPr>
          <w:p>
            <w:pPr>
              <w:pStyle w:val="TableParagraph"/>
              <w:spacing w:before="27"/>
              <w:ind w:left="81"/>
              <w:rPr>
                <w:sz w:val="19"/>
              </w:rPr>
            </w:pPr>
            <w:r>
              <w:rPr>
                <w:sz w:val="19"/>
              </w:rPr>
              <w:t>3.06</w:t>
            </w:r>
          </w:p>
        </w:tc>
        <w:tc>
          <w:tcPr>
            <w:tcW w:w="1253" w:type="dxa"/>
          </w:tcPr>
          <w:p>
            <w:pPr>
              <w:pStyle w:val="TableParagraph"/>
              <w:spacing w:before="27"/>
              <w:ind w:left="82"/>
              <w:rPr>
                <w:sz w:val="19"/>
              </w:rPr>
            </w:pPr>
            <w:r>
              <w:rPr>
                <w:sz w:val="19"/>
              </w:rPr>
              <w:t>1.61</w:t>
            </w:r>
          </w:p>
        </w:tc>
      </w:tr>
      <w:tr>
        <w:trPr>
          <w:trHeight w:val="333" w:hRule="exact"/>
        </w:trPr>
        <w:tc>
          <w:tcPr>
            <w:tcW w:w="1351" w:type="dxa"/>
          </w:tcPr>
          <w:p>
            <w:pPr>
              <w:pStyle w:val="TableParagraph"/>
              <w:spacing w:before="58"/>
              <w:ind w:left="68"/>
              <w:rPr>
                <w:b/>
                <w:i/>
                <w:sz w:val="19"/>
              </w:rPr>
            </w:pPr>
            <w:r>
              <w:rPr>
                <w:b/>
                <w:i/>
                <w:sz w:val="19"/>
              </w:rPr>
              <w:t>Mean</w:t>
            </w:r>
          </w:p>
        </w:tc>
        <w:tc>
          <w:tcPr>
            <w:tcW w:w="1040" w:type="dxa"/>
          </w:tcPr>
          <w:p>
            <w:pPr/>
          </w:p>
        </w:tc>
        <w:tc>
          <w:tcPr>
            <w:tcW w:w="1310" w:type="dxa"/>
          </w:tcPr>
          <w:p>
            <w:pPr>
              <w:pStyle w:val="TableParagraph"/>
              <w:spacing w:before="26"/>
              <w:ind w:left="231"/>
              <w:rPr>
                <w:i/>
                <w:sz w:val="12"/>
              </w:rPr>
            </w:pPr>
            <w:r>
              <w:rPr>
                <w:i/>
                <w:w w:val="105"/>
                <w:sz w:val="19"/>
              </w:rPr>
              <w:t>53.55</w:t>
            </w:r>
            <w:r>
              <w:rPr>
                <w:i/>
                <w:w w:val="105"/>
                <w:position w:val="10"/>
                <w:sz w:val="12"/>
              </w:rPr>
              <w:t>b</w:t>
            </w:r>
          </w:p>
        </w:tc>
        <w:tc>
          <w:tcPr>
            <w:tcW w:w="1160" w:type="dxa"/>
          </w:tcPr>
          <w:p>
            <w:pPr>
              <w:pStyle w:val="TableParagraph"/>
              <w:spacing w:before="61"/>
              <w:ind w:left="165" w:right="103"/>
              <w:rPr>
                <w:i/>
                <w:sz w:val="19"/>
              </w:rPr>
            </w:pPr>
            <w:r>
              <w:rPr>
                <w:i/>
                <w:sz w:val="19"/>
              </w:rPr>
              <w:t>1.96</w:t>
            </w:r>
          </w:p>
        </w:tc>
        <w:tc>
          <w:tcPr>
            <w:tcW w:w="1202" w:type="dxa"/>
          </w:tcPr>
          <w:p>
            <w:pPr>
              <w:pStyle w:val="TableParagraph"/>
              <w:spacing w:before="26"/>
              <w:ind w:left="106"/>
              <w:rPr>
                <w:i/>
                <w:sz w:val="12"/>
              </w:rPr>
            </w:pPr>
            <w:r>
              <w:rPr>
                <w:i/>
                <w:w w:val="105"/>
                <w:sz w:val="19"/>
              </w:rPr>
              <w:t>105.64</w:t>
            </w:r>
            <w:r>
              <w:rPr>
                <w:i/>
                <w:w w:val="105"/>
                <w:position w:val="10"/>
                <w:sz w:val="12"/>
              </w:rPr>
              <w:t>b</w:t>
            </w:r>
          </w:p>
        </w:tc>
        <w:tc>
          <w:tcPr>
            <w:tcW w:w="871" w:type="dxa"/>
          </w:tcPr>
          <w:p>
            <w:pPr>
              <w:pStyle w:val="TableParagraph"/>
              <w:spacing w:before="61"/>
              <w:ind w:left="77"/>
              <w:rPr>
                <w:i/>
                <w:sz w:val="19"/>
              </w:rPr>
            </w:pPr>
            <w:r>
              <w:rPr>
                <w:i/>
                <w:sz w:val="19"/>
              </w:rPr>
              <w:t>3.74</w:t>
            </w:r>
          </w:p>
        </w:tc>
        <w:tc>
          <w:tcPr>
            <w:tcW w:w="747" w:type="dxa"/>
          </w:tcPr>
          <w:p>
            <w:pPr>
              <w:pStyle w:val="TableParagraph"/>
              <w:spacing w:before="26"/>
              <w:ind w:left="79"/>
              <w:rPr>
                <w:i/>
                <w:sz w:val="12"/>
              </w:rPr>
            </w:pPr>
            <w:r>
              <w:rPr>
                <w:i/>
                <w:w w:val="105"/>
                <w:sz w:val="19"/>
              </w:rPr>
              <w:t>14.92</w:t>
            </w:r>
            <w:r>
              <w:rPr>
                <w:i/>
                <w:w w:val="105"/>
                <w:position w:val="10"/>
                <w:sz w:val="12"/>
              </w:rPr>
              <w:t>b</w:t>
            </w:r>
          </w:p>
        </w:tc>
        <w:tc>
          <w:tcPr>
            <w:tcW w:w="774" w:type="dxa"/>
          </w:tcPr>
          <w:p>
            <w:pPr>
              <w:pStyle w:val="TableParagraph"/>
              <w:spacing w:before="61"/>
              <w:ind w:left="98" w:right="158"/>
              <w:jc w:val="center"/>
              <w:rPr>
                <w:i/>
                <w:sz w:val="19"/>
              </w:rPr>
            </w:pPr>
            <w:r>
              <w:rPr>
                <w:i/>
                <w:sz w:val="19"/>
              </w:rPr>
              <w:t>57.44</w:t>
            </w:r>
          </w:p>
        </w:tc>
        <w:tc>
          <w:tcPr>
            <w:tcW w:w="808" w:type="dxa"/>
          </w:tcPr>
          <w:p>
            <w:pPr>
              <w:pStyle w:val="TableParagraph"/>
              <w:spacing w:before="61"/>
              <w:ind w:left="120"/>
              <w:rPr>
                <w:i/>
                <w:sz w:val="19"/>
              </w:rPr>
            </w:pPr>
            <w:r>
              <w:rPr>
                <w:i/>
                <w:sz w:val="19"/>
              </w:rPr>
              <w:t>263.56</w:t>
            </w:r>
          </w:p>
        </w:tc>
        <w:tc>
          <w:tcPr>
            <w:tcW w:w="1007" w:type="dxa"/>
          </w:tcPr>
          <w:p>
            <w:pPr>
              <w:pStyle w:val="TableParagraph"/>
              <w:spacing w:before="26"/>
              <w:ind w:left="92"/>
              <w:rPr>
                <w:i/>
                <w:sz w:val="12"/>
              </w:rPr>
            </w:pPr>
            <w:r>
              <w:rPr>
                <w:i/>
                <w:w w:val="105"/>
                <w:sz w:val="19"/>
              </w:rPr>
              <w:t>2.38</w:t>
            </w:r>
            <w:r>
              <w:rPr>
                <w:i/>
                <w:w w:val="105"/>
                <w:position w:val="10"/>
                <w:sz w:val="12"/>
              </w:rPr>
              <w:t>b</w:t>
            </w:r>
          </w:p>
        </w:tc>
        <w:tc>
          <w:tcPr>
            <w:tcW w:w="1376" w:type="dxa"/>
          </w:tcPr>
          <w:p>
            <w:pPr>
              <w:pStyle w:val="TableParagraph"/>
              <w:spacing w:before="61"/>
              <w:ind w:left="81"/>
              <w:rPr>
                <w:i/>
                <w:sz w:val="19"/>
              </w:rPr>
            </w:pPr>
            <w:r>
              <w:rPr>
                <w:i/>
                <w:sz w:val="19"/>
              </w:rPr>
              <w:t>2.58</w:t>
            </w:r>
          </w:p>
        </w:tc>
        <w:tc>
          <w:tcPr>
            <w:tcW w:w="1253" w:type="dxa"/>
          </w:tcPr>
          <w:p>
            <w:pPr>
              <w:pStyle w:val="TableParagraph"/>
              <w:spacing w:before="26"/>
              <w:ind w:left="82"/>
              <w:rPr>
                <w:i/>
                <w:sz w:val="12"/>
              </w:rPr>
            </w:pPr>
            <w:r>
              <w:rPr>
                <w:i/>
                <w:w w:val="105"/>
                <w:sz w:val="19"/>
              </w:rPr>
              <w:t>1.37</w:t>
            </w:r>
            <w:r>
              <w:rPr>
                <w:i/>
                <w:w w:val="105"/>
                <w:position w:val="10"/>
                <w:sz w:val="12"/>
              </w:rPr>
              <w:t>a</w:t>
            </w:r>
          </w:p>
        </w:tc>
      </w:tr>
      <w:tr>
        <w:trPr>
          <w:trHeight w:val="307" w:hRule="exact"/>
        </w:trPr>
        <w:tc>
          <w:tcPr>
            <w:tcW w:w="1351" w:type="dxa"/>
          </w:tcPr>
          <w:p>
            <w:pPr>
              <w:pStyle w:val="TableParagraph"/>
              <w:spacing w:before="35"/>
              <w:ind w:left="68"/>
              <w:rPr>
                <w:b/>
                <w:sz w:val="19"/>
              </w:rPr>
            </w:pPr>
            <w:r>
              <w:rPr>
                <w:b/>
                <w:sz w:val="19"/>
              </w:rPr>
              <w:t>SBEZ</w:t>
            </w:r>
          </w:p>
        </w:tc>
        <w:tc>
          <w:tcPr>
            <w:tcW w:w="1040" w:type="dxa"/>
          </w:tcPr>
          <w:p>
            <w:pPr>
              <w:pStyle w:val="TableParagraph"/>
              <w:spacing w:before="42"/>
              <w:ind w:left="0" w:right="337"/>
              <w:jc w:val="right"/>
              <w:rPr>
                <w:sz w:val="19"/>
              </w:rPr>
            </w:pPr>
            <w:r>
              <w:rPr>
                <w:w w:val="102"/>
                <w:sz w:val="19"/>
              </w:rPr>
              <w:t>0</w:t>
            </w:r>
          </w:p>
        </w:tc>
        <w:tc>
          <w:tcPr>
            <w:tcW w:w="1310" w:type="dxa"/>
          </w:tcPr>
          <w:p>
            <w:pPr>
              <w:pStyle w:val="TableParagraph"/>
              <w:spacing w:before="42"/>
              <w:ind w:left="231"/>
              <w:rPr>
                <w:sz w:val="19"/>
              </w:rPr>
            </w:pPr>
            <w:r>
              <w:rPr>
                <w:sz w:val="19"/>
              </w:rPr>
              <w:t>55.88</w:t>
            </w:r>
          </w:p>
        </w:tc>
        <w:tc>
          <w:tcPr>
            <w:tcW w:w="1160" w:type="dxa"/>
          </w:tcPr>
          <w:p>
            <w:pPr>
              <w:pStyle w:val="TableParagraph"/>
              <w:spacing w:before="42"/>
              <w:ind w:left="165" w:right="103"/>
              <w:rPr>
                <w:sz w:val="19"/>
              </w:rPr>
            </w:pPr>
            <w:r>
              <w:rPr>
                <w:sz w:val="19"/>
              </w:rPr>
              <w:t>1.2</w:t>
            </w:r>
          </w:p>
        </w:tc>
        <w:tc>
          <w:tcPr>
            <w:tcW w:w="1202" w:type="dxa"/>
          </w:tcPr>
          <w:p>
            <w:pPr>
              <w:pStyle w:val="TableParagraph"/>
              <w:spacing w:before="42"/>
              <w:ind w:left="106"/>
              <w:rPr>
                <w:sz w:val="19"/>
              </w:rPr>
            </w:pPr>
            <w:r>
              <w:rPr>
                <w:sz w:val="19"/>
              </w:rPr>
              <w:t>91.40</w:t>
            </w:r>
          </w:p>
        </w:tc>
        <w:tc>
          <w:tcPr>
            <w:tcW w:w="871" w:type="dxa"/>
          </w:tcPr>
          <w:p>
            <w:pPr>
              <w:pStyle w:val="TableParagraph"/>
              <w:spacing w:before="42"/>
              <w:ind w:left="77"/>
              <w:rPr>
                <w:sz w:val="19"/>
              </w:rPr>
            </w:pPr>
            <w:r>
              <w:rPr>
                <w:sz w:val="19"/>
              </w:rPr>
              <w:t>2.4</w:t>
            </w:r>
          </w:p>
        </w:tc>
        <w:tc>
          <w:tcPr>
            <w:tcW w:w="747" w:type="dxa"/>
          </w:tcPr>
          <w:p>
            <w:pPr>
              <w:pStyle w:val="TableParagraph"/>
              <w:spacing w:before="42"/>
              <w:ind w:left="80"/>
              <w:rPr>
                <w:sz w:val="19"/>
              </w:rPr>
            </w:pPr>
            <w:r>
              <w:rPr>
                <w:sz w:val="19"/>
              </w:rPr>
              <w:t>17.0</w:t>
            </w:r>
          </w:p>
        </w:tc>
        <w:tc>
          <w:tcPr>
            <w:tcW w:w="774" w:type="dxa"/>
          </w:tcPr>
          <w:p>
            <w:pPr>
              <w:pStyle w:val="TableParagraph"/>
              <w:spacing w:before="42"/>
              <w:ind w:left="98" w:right="265"/>
              <w:jc w:val="center"/>
              <w:rPr>
                <w:sz w:val="19"/>
              </w:rPr>
            </w:pPr>
            <w:r>
              <w:rPr>
                <w:sz w:val="19"/>
              </w:rPr>
              <w:t>97.6</w:t>
            </w:r>
          </w:p>
        </w:tc>
        <w:tc>
          <w:tcPr>
            <w:tcW w:w="808" w:type="dxa"/>
          </w:tcPr>
          <w:p>
            <w:pPr>
              <w:pStyle w:val="TableParagraph"/>
              <w:spacing w:before="42"/>
              <w:ind w:left="120"/>
              <w:rPr>
                <w:sz w:val="19"/>
              </w:rPr>
            </w:pPr>
            <w:r>
              <w:rPr>
                <w:sz w:val="19"/>
              </w:rPr>
              <w:t>200</w:t>
            </w:r>
          </w:p>
        </w:tc>
        <w:tc>
          <w:tcPr>
            <w:tcW w:w="1007" w:type="dxa"/>
          </w:tcPr>
          <w:p>
            <w:pPr>
              <w:pStyle w:val="TableParagraph"/>
              <w:spacing w:before="42"/>
              <w:ind w:left="92"/>
              <w:rPr>
                <w:sz w:val="19"/>
              </w:rPr>
            </w:pPr>
            <w:r>
              <w:rPr>
                <w:sz w:val="19"/>
              </w:rPr>
              <w:t>2.16</w:t>
            </w:r>
          </w:p>
        </w:tc>
        <w:tc>
          <w:tcPr>
            <w:tcW w:w="1376" w:type="dxa"/>
          </w:tcPr>
          <w:p>
            <w:pPr>
              <w:pStyle w:val="TableParagraph"/>
              <w:spacing w:before="42"/>
              <w:ind w:left="81"/>
              <w:rPr>
                <w:sz w:val="19"/>
              </w:rPr>
            </w:pPr>
            <w:r>
              <w:rPr>
                <w:sz w:val="19"/>
              </w:rPr>
              <w:t>2.03</w:t>
            </w:r>
          </w:p>
        </w:tc>
        <w:tc>
          <w:tcPr>
            <w:tcW w:w="1253" w:type="dxa"/>
          </w:tcPr>
          <w:p>
            <w:pPr>
              <w:pStyle w:val="TableParagraph"/>
              <w:spacing w:before="42"/>
              <w:ind w:left="82"/>
              <w:rPr>
                <w:sz w:val="19"/>
              </w:rPr>
            </w:pPr>
            <w:r>
              <w:rPr>
                <w:sz w:val="19"/>
              </w:rPr>
              <w:t>0.92</w:t>
            </w:r>
          </w:p>
        </w:tc>
      </w:tr>
      <w:tr>
        <w:trPr>
          <w:trHeight w:val="292" w:hRule="exact"/>
        </w:trPr>
        <w:tc>
          <w:tcPr>
            <w:tcW w:w="1351" w:type="dxa"/>
          </w:tcPr>
          <w:p>
            <w:pPr/>
          </w:p>
        </w:tc>
        <w:tc>
          <w:tcPr>
            <w:tcW w:w="1040" w:type="dxa"/>
          </w:tcPr>
          <w:p>
            <w:pPr>
              <w:pStyle w:val="TableParagraph"/>
              <w:ind w:left="0" w:right="229"/>
              <w:jc w:val="right"/>
              <w:rPr>
                <w:sz w:val="19"/>
              </w:rPr>
            </w:pPr>
            <w:r>
              <w:rPr>
                <w:sz w:val="19"/>
              </w:rPr>
              <w:t>15</w:t>
            </w:r>
          </w:p>
        </w:tc>
        <w:tc>
          <w:tcPr>
            <w:tcW w:w="1310" w:type="dxa"/>
          </w:tcPr>
          <w:p>
            <w:pPr>
              <w:pStyle w:val="TableParagraph"/>
              <w:ind w:left="231"/>
              <w:rPr>
                <w:sz w:val="19"/>
              </w:rPr>
            </w:pPr>
            <w:r>
              <w:rPr>
                <w:sz w:val="19"/>
              </w:rPr>
              <w:t>54.3</w:t>
            </w:r>
          </w:p>
        </w:tc>
        <w:tc>
          <w:tcPr>
            <w:tcW w:w="1160" w:type="dxa"/>
          </w:tcPr>
          <w:p>
            <w:pPr>
              <w:pStyle w:val="TableParagraph"/>
              <w:ind w:left="165" w:right="103"/>
              <w:rPr>
                <w:sz w:val="19"/>
              </w:rPr>
            </w:pPr>
            <w:r>
              <w:rPr>
                <w:sz w:val="19"/>
              </w:rPr>
              <w:t>2.8</w:t>
            </w:r>
          </w:p>
        </w:tc>
        <w:tc>
          <w:tcPr>
            <w:tcW w:w="1202" w:type="dxa"/>
          </w:tcPr>
          <w:p>
            <w:pPr>
              <w:pStyle w:val="TableParagraph"/>
              <w:ind w:left="106"/>
              <w:rPr>
                <w:sz w:val="19"/>
              </w:rPr>
            </w:pPr>
            <w:r>
              <w:rPr>
                <w:sz w:val="19"/>
              </w:rPr>
              <w:t>94.36</w:t>
            </w:r>
          </w:p>
        </w:tc>
        <w:tc>
          <w:tcPr>
            <w:tcW w:w="871" w:type="dxa"/>
          </w:tcPr>
          <w:p>
            <w:pPr>
              <w:pStyle w:val="TableParagraph"/>
              <w:ind w:left="77"/>
              <w:rPr>
                <w:sz w:val="19"/>
              </w:rPr>
            </w:pPr>
            <w:r>
              <w:rPr>
                <w:sz w:val="19"/>
              </w:rPr>
              <w:t>3.8</w:t>
            </w:r>
          </w:p>
        </w:tc>
        <w:tc>
          <w:tcPr>
            <w:tcW w:w="747" w:type="dxa"/>
          </w:tcPr>
          <w:p>
            <w:pPr>
              <w:pStyle w:val="TableParagraph"/>
              <w:ind w:left="80"/>
              <w:rPr>
                <w:sz w:val="19"/>
              </w:rPr>
            </w:pPr>
            <w:r>
              <w:rPr>
                <w:sz w:val="19"/>
              </w:rPr>
              <w:t>9.8</w:t>
            </w:r>
          </w:p>
        </w:tc>
        <w:tc>
          <w:tcPr>
            <w:tcW w:w="774" w:type="dxa"/>
          </w:tcPr>
          <w:p>
            <w:pPr>
              <w:pStyle w:val="TableParagraph"/>
              <w:ind w:left="98" w:right="265"/>
              <w:jc w:val="center"/>
              <w:rPr>
                <w:sz w:val="19"/>
              </w:rPr>
            </w:pPr>
            <w:r>
              <w:rPr>
                <w:sz w:val="19"/>
              </w:rPr>
              <w:t>41.8</w:t>
            </w:r>
          </w:p>
        </w:tc>
        <w:tc>
          <w:tcPr>
            <w:tcW w:w="808" w:type="dxa"/>
          </w:tcPr>
          <w:p>
            <w:pPr>
              <w:pStyle w:val="TableParagraph"/>
              <w:ind w:left="120"/>
              <w:rPr>
                <w:sz w:val="19"/>
              </w:rPr>
            </w:pPr>
            <w:r>
              <w:rPr>
                <w:sz w:val="19"/>
              </w:rPr>
              <w:t>234.4</w:t>
            </w:r>
          </w:p>
        </w:tc>
        <w:tc>
          <w:tcPr>
            <w:tcW w:w="1007" w:type="dxa"/>
          </w:tcPr>
          <w:p>
            <w:pPr>
              <w:pStyle w:val="TableParagraph"/>
              <w:ind w:left="92"/>
              <w:rPr>
                <w:sz w:val="19"/>
              </w:rPr>
            </w:pPr>
            <w:r>
              <w:rPr>
                <w:sz w:val="19"/>
              </w:rPr>
              <w:t>2.34</w:t>
            </w:r>
          </w:p>
        </w:tc>
        <w:tc>
          <w:tcPr>
            <w:tcW w:w="1376" w:type="dxa"/>
          </w:tcPr>
          <w:p>
            <w:pPr>
              <w:pStyle w:val="TableParagraph"/>
              <w:ind w:left="81"/>
              <w:rPr>
                <w:sz w:val="19"/>
              </w:rPr>
            </w:pPr>
            <w:r>
              <w:rPr>
                <w:sz w:val="19"/>
              </w:rPr>
              <w:t>2.52</w:t>
            </w:r>
          </w:p>
        </w:tc>
        <w:tc>
          <w:tcPr>
            <w:tcW w:w="1253" w:type="dxa"/>
          </w:tcPr>
          <w:p>
            <w:pPr>
              <w:pStyle w:val="TableParagraph"/>
              <w:ind w:left="82"/>
              <w:rPr>
                <w:sz w:val="19"/>
              </w:rPr>
            </w:pPr>
            <w:r>
              <w:rPr>
                <w:sz w:val="19"/>
              </w:rPr>
              <w:t>1.14</w:t>
            </w:r>
          </w:p>
        </w:tc>
      </w:tr>
      <w:tr>
        <w:trPr>
          <w:trHeight w:val="292" w:hRule="exact"/>
        </w:trPr>
        <w:tc>
          <w:tcPr>
            <w:tcW w:w="1351" w:type="dxa"/>
          </w:tcPr>
          <w:p>
            <w:pPr/>
          </w:p>
        </w:tc>
        <w:tc>
          <w:tcPr>
            <w:tcW w:w="1040" w:type="dxa"/>
          </w:tcPr>
          <w:p>
            <w:pPr>
              <w:pStyle w:val="TableParagraph"/>
              <w:spacing w:before="27"/>
              <w:ind w:left="0" w:right="229"/>
              <w:jc w:val="right"/>
              <w:rPr>
                <w:sz w:val="19"/>
              </w:rPr>
            </w:pPr>
            <w:r>
              <w:rPr>
                <w:sz w:val="19"/>
              </w:rPr>
              <w:t>30</w:t>
            </w:r>
          </w:p>
        </w:tc>
        <w:tc>
          <w:tcPr>
            <w:tcW w:w="1310" w:type="dxa"/>
          </w:tcPr>
          <w:p>
            <w:pPr>
              <w:pStyle w:val="TableParagraph"/>
              <w:spacing w:before="27"/>
              <w:ind w:left="231"/>
              <w:rPr>
                <w:sz w:val="19"/>
              </w:rPr>
            </w:pPr>
            <w:r>
              <w:rPr>
                <w:sz w:val="19"/>
              </w:rPr>
              <w:t>54.74</w:t>
            </w:r>
          </w:p>
        </w:tc>
        <w:tc>
          <w:tcPr>
            <w:tcW w:w="1160" w:type="dxa"/>
          </w:tcPr>
          <w:p>
            <w:pPr>
              <w:pStyle w:val="TableParagraph"/>
              <w:spacing w:before="27"/>
              <w:ind w:left="165" w:right="103"/>
              <w:rPr>
                <w:sz w:val="19"/>
              </w:rPr>
            </w:pPr>
            <w:r>
              <w:rPr>
                <w:sz w:val="19"/>
              </w:rPr>
              <w:t>2.8</w:t>
            </w:r>
          </w:p>
        </w:tc>
        <w:tc>
          <w:tcPr>
            <w:tcW w:w="1202" w:type="dxa"/>
          </w:tcPr>
          <w:p>
            <w:pPr>
              <w:pStyle w:val="TableParagraph"/>
              <w:spacing w:before="27"/>
              <w:ind w:left="106"/>
              <w:rPr>
                <w:sz w:val="19"/>
              </w:rPr>
            </w:pPr>
            <w:r>
              <w:rPr>
                <w:sz w:val="19"/>
              </w:rPr>
              <w:t>103.44</w:t>
            </w:r>
          </w:p>
        </w:tc>
        <w:tc>
          <w:tcPr>
            <w:tcW w:w="871" w:type="dxa"/>
          </w:tcPr>
          <w:p>
            <w:pPr>
              <w:pStyle w:val="TableParagraph"/>
              <w:spacing w:before="27"/>
              <w:ind w:left="77"/>
              <w:rPr>
                <w:sz w:val="19"/>
              </w:rPr>
            </w:pPr>
            <w:r>
              <w:rPr>
                <w:sz w:val="19"/>
              </w:rPr>
              <w:t>3.7</w:t>
            </w:r>
          </w:p>
        </w:tc>
        <w:tc>
          <w:tcPr>
            <w:tcW w:w="747" w:type="dxa"/>
          </w:tcPr>
          <w:p>
            <w:pPr>
              <w:pStyle w:val="TableParagraph"/>
              <w:spacing w:before="27"/>
              <w:ind w:left="80"/>
              <w:rPr>
                <w:sz w:val="19"/>
              </w:rPr>
            </w:pPr>
            <w:r>
              <w:rPr>
                <w:sz w:val="19"/>
              </w:rPr>
              <w:t>13.6</w:t>
            </w:r>
          </w:p>
        </w:tc>
        <w:tc>
          <w:tcPr>
            <w:tcW w:w="774" w:type="dxa"/>
          </w:tcPr>
          <w:p>
            <w:pPr>
              <w:pStyle w:val="TableParagraph"/>
              <w:spacing w:before="27"/>
              <w:ind w:left="98" w:right="265"/>
              <w:jc w:val="center"/>
              <w:rPr>
                <w:sz w:val="19"/>
              </w:rPr>
            </w:pPr>
            <w:r>
              <w:rPr>
                <w:sz w:val="19"/>
              </w:rPr>
              <w:t>58.2</w:t>
            </w:r>
          </w:p>
        </w:tc>
        <w:tc>
          <w:tcPr>
            <w:tcW w:w="808" w:type="dxa"/>
          </w:tcPr>
          <w:p>
            <w:pPr>
              <w:pStyle w:val="TableParagraph"/>
              <w:spacing w:before="27"/>
              <w:ind w:left="120"/>
              <w:rPr>
                <w:sz w:val="19"/>
              </w:rPr>
            </w:pPr>
            <w:r>
              <w:rPr>
                <w:sz w:val="19"/>
              </w:rPr>
              <w:t>308.6</w:t>
            </w:r>
          </w:p>
        </w:tc>
        <w:tc>
          <w:tcPr>
            <w:tcW w:w="1007" w:type="dxa"/>
          </w:tcPr>
          <w:p>
            <w:pPr>
              <w:pStyle w:val="TableParagraph"/>
              <w:spacing w:before="27"/>
              <w:ind w:left="92"/>
              <w:rPr>
                <w:sz w:val="19"/>
              </w:rPr>
            </w:pPr>
            <w:r>
              <w:rPr>
                <w:sz w:val="19"/>
              </w:rPr>
              <w:t>2.14</w:t>
            </w:r>
          </w:p>
        </w:tc>
        <w:tc>
          <w:tcPr>
            <w:tcW w:w="1376" w:type="dxa"/>
          </w:tcPr>
          <w:p>
            <w:pPr>
              <w:pStyle w:val="TableParagraph"/>
              <w:spacing w:before="27"/>
              <w:ind w:left="81"/>
              <w:rPr>
                <w:sz w:val="19"/>
              </w:rPr>
            </w:pPr>
            <w:r>
              <w:rPr>
                <w:sz w:val="19"/>
              </w:rPr>
              <w:t>2.73</w:t>
            </w:r>
          </w:p>
        </w:tc>
        <w:tc>
          <w:tcPr>
            <w:tcW w:w="1253" w:type="dxa"/>
          </w:tcPr>
          <w:p>
            <w:pPr>
              <w:pStyle w:val="TableParagraph"/>
              <w:spacing w:before="27"/>
              <w:ind w:left="82"/>
              <w:rPr>
                <w:sz w:val="19"/>
              </w:rPr>
            </w:pPr>
            <w:r>
              <w:rPr>
                <w:sz w:val="19"/>
              </w:rPr>
              <w:t>1.31</w:t>
            </w:r>
          </w:p>
        </w:tc>
      </w:tr>
      <w:tr>
        <w:trPr>
          <w:trHeight w:val="343" w:hRule="exact"/>
        </w:trPr>
        <w:tc>
          <w:tcPr>
            <w:tcW w:w="1351" w:type="dxa"/>
          </w:tcPr>
          <w:p>
            <w:pPr/>
          </w:p>
        </w:tc>
        <w:tc>
          <w:tcPr>
            <w:tcW w:w="1040" w:type="dxa"/>
          </w:tcPr>
          <w:p>
            <w:pPr>
              <w:pStyle w:val="TableParagraph"/>
              <w:ind w:left="0" w:right="229"/>
              <w:jc w:val="right"/>
              <w:rPr>
                <w:sz w:val="19"/>
              </w:rPr>
            </w:pPr>
            <w:r>
              <w:rPr>
                <w:sz w:val="19"/>
              </w:rPr>
              <w:t>45</w:t>
            </w:r>
          </w:p>
        </w:tc>
        <w:tc>
          <w:tcPr>
            <w:tcW w:w="1310" w:type="dxa"/>
          </w:tcPr>
          <w:p>
            <w:pPr>
              <w:pStyle w:val="TableParagraph"/>
              <w:ind w:left="231"/>
              <w:rPr>
                <w:sz w:val="19"/>
              </w:rPr>
            </w:pPr>
            <w:r>
              <w:rPr>
                <w:sz w:val="19"/>
              </w:rPr>
              <w:t>52.16</w:t>
            </w:r>
          </w:p>
        </w:tc>
        <w:tc>
          <w:tcPr>
            <w:tcW w:w="1160" w:type="dxa"/>
          </w:tcPr>
          <w:p>
            <w:pPr>
              <w:pStyle w:val="TableParagraph"/>
              <w:ind w:left="165" w:right="103"/>
              <w:rPr>
                <w:sz w:val="19"/>
              </w:rPr>
            </w:pPr>
            <w:r>
              <w:rPr>
                <w:sz w:val="19"/>
              </w:rPr>
              <w:t>2.6</w:t>
            </w:r>
          </w:p>
        </w:tc>
        <w:tc>
          <w:tcPr>
            <w:tcW w:w="1202" w:type="dxa"/>
          </w:tcPr>
          <w:p>
            <w:pPr>
              <w:pStyle w:val="TableParagraph"/>
              <w:ind w:left="106"/>
              <w:rPr>
                <w:sz w:val="19"/>
              </w:rPr>
            </w:pPr>
            <w:r>
              <w:rPr>
                <w:sz w:val="19"/>
              </w:rPr>
              <w:t>107.78</w:t>
            </w:r>
          </w:p>
        </w:tc>
        <w:tc>
          <w:tcPr>
            <w:tcW w:w="871" w:type="dxa"/>
          </w:tcPr>
          <w:p>
            <w:pPr>
              <w:pStyle w:val="TableParagraph"/>
              <w:ind w:left="77"/>
              <w:rPr>
                <w:sz w:val="19"/>
              </w:rPr>
            </w:pPr>
            <w:r>
              <w:rPr>
                <w:sz w:val="19"/>
              </w:rPr>
              <w:t>2.7</w:t>
            </w:r>
          </w:p>
        </w:tc>
        <w:tc>
          <w:tcPr>
            <w:tcW w:w="747" w:type="dxa"/>
          </w:tcPr>
          <w:p>
            <w:pPr>
              <w:pStyle w:val="TableParagraph"/>
              <w:ind w:left="80"/>
              <w:rPr>
                <w:sz w:val="19"/>
              </w:rPr>
            </w:pPr>
            <w:r>
              <w:rPr>
                <w:sz w:val="19"/>
              </w:rPr>
              <w:t>11.8</w:t>
            </w:r>
          </w:p>
        </w:tc>
        <w:tc>
          <w:tcPr>
            <w:tcW w:w="774" w:type="dxa"/>
          </w:tcPr>
          <w:p>
            <w:pPr>
              <w:pStyle w:val="TableParagraph"/>
              <w:ind w:left="98" w:right="265"/>
              <w:jc w:val="center"/>
              <w:rPr>
                <w:sz w:val="19"/>
              </w:rPr>
            </w:pPr>
            <w:r>
              <w:rPr>
                <w:sz w:val="19"/>
              </w:rPr>
              <w:t>49.4</w:t>
            </w:r>
          </w:p>
        </w:tc>
        <w:tc>
          <w:tcPr>
            <w:tcW w:w="808" w:type="dxa"/>
          </w:tcPr>
          <w:p>
            <w:pPr>
              <w:pStyle w:val="TableParagraph"/>
              <w:ind w:left="120"/>
              <w:rPr>
                <w:sz w:val="19"/>
              </w:rPr>
            </w:pPr>
            <w:r>
              <w:rPr>
                <w:sz w:val="19"/>
              </w:rPr>
              <w:t>341.0</w:t>
            </w:r>
          </w:p>
        </w:tc>
        <w:tc>
          <w:tcPr>
            <w:tcW w:w="1007" w:type="dxa"/>
          </w:tcPr>
          <w:p>
            <w:pPr>
              <w:pStyle w:val="TableParagraph"/>
              <w:ind w:left="92"/>
              <w:rPr>
                <w:sz w:val="19"/>
              </w:rPr>
            </w:pPr>
            <w:r>
              <w:rPr>
                <w:sz w:val="19"/>
              </w:rPr>
              <w:t>2.40</w:t>
            </w:r>
          </w:p>
        </w:tc>
        <w:tc>
          <w:tcPr>
            <w:tcW w:w="1376" w:type="dxa"/>
          </w:tcPr>
          <w:p>
            <w:pPr>
              <w:pStyle w:val="TableParagraph"/>
              <w:ind w:left="81"/>
              <w:rPr>
                <w:sz w:val="19"/>
              </w:rPr>
            </w:pPr>
            <w:r>
              <w:rPr>
                <w:sz w:val="19"/>
              </w:rPr>
              <w:t>2.78</w:t>
            </w:r>
          </w:p>
        </w:tc>
        <w:tc>
          <w:tcPr>
            <w:tcW w:w="1253" w:type="dxa"/>
          </w:tcPr>
          <w:p>
            <w:pPr>
              <w:pStyle w:val="TableParagraph"/>
              <w:ind w:left="82"/>
              <w:rPr>
                <w:sz w:val="19"/>
              </w:rPr>
            </w:pPr>
            <w:r>
              <w:rPr>
                <w:sz w:val="19"/>
              </w:rPr>
              <w:t>1.12</w:t>
            </w:r>
          </w:p>
        </w:tc>
      </w:tr>
    </w:tbl>
    <w:p>
      <w:pPr>
        <w:spacing w:after="0"/>
        <w:rPr>
          <w:sz w:val="19"/>
        </w:rPr>
        <w:sectPr>
          <w:footerReference w:type="default" r:id="rId214"/>
          <w:pgSz w:w="16840" w:h="11900" w:orient="landscape"/>
          <w:pgMar w:footer="958" w:header="0" w:top="1100" w:bottom="1140" w:left="1920" w:right="1800"/>
          <w:pgNumType w:start="83"/>
        </w:sectPr>
      </w:pPr>
    </w:p>
    <w:p>
      <w:pPr>
        <w:pStyle w:val="BodyText"/>
        <w:rPr>
          <w:rFonts w:ascii="Times New Roman"/>
          <w:sz w:val="20"/>
        </w:rPr>
      </w:pPr>
    </w:p>
    <w:p>
      <w:pPr>
        <w:pStyle w:val="BodyText"/>
        <w:spacing w:before="6"/>
        <w:rPr>
          <w:rFonts w:ascii="Times New Roman"/>
          <w:sz w:val="24"/>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35"/>
        <w:gridCol w:w="822"/>
        <w:gridCol w:w="1151"/>
        <w:gridCol w:w="1171"/>
        <w:gridCol w:w="1174"/>
        <w:gridCol w:w="987"/>
        <w:gridCol w:w="827"/>
        <w:gridCol w:w="782"/>
        <w:gridCol w:w="781"/>
        <w:gridCol w:w="888"/>
        <w:gridCol w:w="1185"/>
        <w:gridCol w:w="1023"/>
      </w:tblGrid>
      <w:tr>
        <w:trPr>
          <w:trHeight w:val="332" w:hRule="exact"/>
        </w:trPr>
        <w:tc>
          <w:tcPr>
            <w:tcW w:w="1535" w:type="dxa"/>
          </w:tcPr>
          <w:p>
            <w:pPr/>
          </w:p>
        </w:tc>
        <w:tc>
          <w:tcPr>
            <w:tcW w:w="822" w:type="dxa"/>
          </w:tcPr>
          <w:p>
            <w:pPr>
              <w:pStyle w:val="TableParagraph"/>
              <w:spacing w:before="79"/>
              <w:ind w:left="373"/>
              <w:rPr>
                <w:sz w:val="19"/>
              </w:rPr>
            </w:pPr>
            <w:r>
              <w:rPr>
                <w:sz w:val="19"/>
              </w:rPr>
              <w:t>60</w:t>
            </w:r>
          </w:p>
        </w:tc>
        <w:tc>
          <w:tcPr>
            <w:tcW w:w="1151" w:type="dxa"/>
          </w:tcPr>
          <w:p>
            <w:pPr>
              <w:pStyle w:val="TableParagraph"/>
              <w:spacing w:before="79"/>
              <w:ind w:left="231"/>
              <w:rPr>
                <w:sz w:val="19"/>
              </w:rPr>
            </w:pPr>
            <w:r>
              <w:rPr>
                <w:sz w:val="19"/>
              </w:rPr>
              <w:t>54.92</w:t>
            </w:r>
          </w:p>
        </w:tc>
        <w:tc>
          <w:tcPr>
            <w:tcW w:w="1171" w:type="dxa"/>
          </w:tcPr>
          <w:p>
            <w:pPr>
              <w:pStyle w:val="TableParagraph"/>
              <w:spacing w:before="79"/>
              <w:ind w:left="324"/>
              <w:rPr>
                <w:sz w:val="19"/>
              </w:rPr>
            </w:pPr>
            <w:r>
              <w:rPr>
                <w:sz w:val="19"/>
              </w:rPr>
              <w:t>1.0</w:t>
            </w:r>
          </w:p>
        </w:tc>
        <w:tc>
          <w:tcPr>
            <w:tcW w:w="1174" w:type="dxa"/>
          </w:tcPr>
          <w:p>
            <w:pPr>
              <w:pStyle w:val="TableParagraph"/>
              <w:spacing w:before="79"/>
              <w:ind w:left="254"/>
              <w:rPr>
                <w:sz w:val="19"/>
              </w:rPr>
            </w:pPr>
            <w:r>
              <w:rPr>
                <w:sz w:val="19"/>
              </w:rPr>
              <w:t>110.78</w:t>
            </w:r>
          </w:p>
        </w:tc>
        <w:tc>
          <w:tcPr>
            <w:tcW w:w="987" w:type="dxa"/>
          </w:tcPr>
          <w:p>
            <w:pPr>
              <w:pStyle w:val="TableParagraph"/>
              <w:spacing w:before="79"/>
              <w:ind w:left="254"/>
              <w:rPr>
                <w:sz w:val="19"/>
              </w:rPr>
            </w:pPr>
            <w:r>
              <w:rPr>
                <w:sz w:val="19"/>
              </w:rPr>
              <w:t>4.0</w:t>
            </w:r>
          </w:p>
        </w:tc>
        <w:tc>
          <w:tcPr>
            <w:tcW w:w="827" w:type="dxa"/>
          </w:tcPr>
          <w:p>
            <w:pPr>
              <w:pStyle w:val="TableParagraph"/>
              <w:spacing w:before="79"/>
              <w:ind w:left="140"/>
              <w:rPr>
                <w:sz w:val="19"/>
              </w:rPr>
            </w:pPr>
            <w:r>
              <w:rPr>
                <w:sz w:val="19"/>
              </w:rPr>
              <w:t>12.8</w:t>
            </w:r>
          </w:p>
        </w:tc>
        <w:tc>
          <w:tcPr>
            <w:tcW w:w="782" w:type="dxa"/>
          </w:tcPr>
          <w:p>
            <w:pPr>
              <w:pStyle w:val="TableParagraph"/>
              <w:spacing w:before="79"/>
              <w:ind w:left="93"/>
              <w:rPr>
                <w:sz w:val="19"/>
              </w:rPr>
            </w:pPr>
            <w:r>
              <w:rPr>
                <w:sz w:val="19"/>
              </w:rPr>
              <w:t>49.8</w:t>
            </w:r>
          </w:p>
        </w:tc>
        <w:tc>
          <w:tcPr>
            <w:tcW w:w="781" w:type="dxa"/>
          </w:tcPr>
          <w:p>
            <w:pPr>
              <w:pStyle w:val="TableParagraph"/>
              <w:spacing w:before="79"/>
              <w:ind w:left="93"/>
              <w:rPr>
                <w:sz w:val="19"/>
              </w:rPr>
            </w:pPr>
            <w:r>
              <w:rPr>
                <w:sz w:val="19"/>
              </w:rPr>
              <w:t>333.2</w:t>
            </w:r>
          </w:p>
        </w:tc>
        <w:tc>
          <w:tcPr>
            <w:tcW w:w="888" w:type="dxa"/>
          </w:tcPr>
          <w:p>
            <w:pPr>
              <w:pStyle w:val="TableParagraph"/>
              <w:spacing w:before="79"/>
              <w:ind w:left="92"/>
              <w:rPr>
                <w:sz w:val="19"/>
              </w:rPr>
            </w:pPr>
            <w:r>
              <w:rPr>
                <w:sz w:val="19"/>
              </w:rPr>
              <w:t>4.60</w:t>
            </w:r>
          </w:p>
        </w:tc>
        <w:tc>
          <w:tcPr>
            <w:tcW w:w="1185" w:type="dxa"/>
          </w:tcPr>
          <w:p>
            <w:pPr>
              <w:pStyle w:val="TableParagraph"/>
              <w:spacing w:before="79"/>
              <w:ind w:left="200"/>
              <w:rPr>
                <w:sz w:val="19"/>
              </w:rPr>
            </w:pPr>
            <w:r>
              <w:rPr>
                <w:sz w:val="19"/>
              </w:rPr>
              <w:t>2.98</w:t>
            </w:r>
          </w:p>
        </w:tc>
        <w:tc>
          <w:tcPr>
            <w:tcW w:w="1023" w:type="dxa"/>
          </w:tcPr>
          <w:p>
            <w:pPr>
              <w:pStyle w:val="TableParagraph"/>
              <w:spacing w:before="79"/>
              <w:ind w:left="392"/>
              <w:rPr>
                <w:sz w:val="19"/>
              </w:rPr>
            </w:pPr>
            <w:r>
              <w:rPr>
                <w:sz w:val="19"/>
              </w:rPr>
              <w:t>1.31</w:t>
            </w:r>
          </w:p>
        </w:tc>
      </w:tr>
      <w:tr>
        <w:trPr>
          <w:trHeight w:val="336" w:hRule="exact"/>
        </w:trPr>
        <w:tc>
          <w:tcPr>
            <w:tcW w:w="1535" w:type="dxa"/>
          </w:tcPr>
          <w:p>
            <w:pPr>
              <w:pStyle w:val="TableParagraph"/>
              <w:spacing w:before="58"/>
              <w:ind w:left="35"/>
              <w:rPr>
                <w:b/>
                <w:i/>
                <w:sz w:val="19"/>
              </w:rPr>
            </w:pPr>
            <w:r>
              <w:rPr>
                <w:b/>
                <w:i/>
                <w:sz w:val="19"/>
              </w:rPr>
              <w:t>Mean</w:t>
            </w:r>
          </w:p>
        </w:tc>
        <w:tc>
          <w:tcPr>
            <w:tcW w:w="822" w:type="dxa"/>
          </w:tcPr>
          <w:p>
            <w:pPr/>
          </w:p>
        </w:tc>
        <w:tc>
          <w:tcPr>
            <w:tcW w:w="1151" w:type="dxa"/>
          </w:tcPr>
          <w:p>
            <w:pPr>
              <w:pStyle w:val="TableParagraph"/>
              <w:spacing w:before="26"/>
              <w:ind w:left="231"/>
              <w:rPr>
                <w:i/>
                <w:sz w:val="12"/>
              </w:rPr>
            </w:pPr>
            <w:r>
              <w:rPr>
                <w:i/>
                <w:w w:val="105"/>
                <w:sz w:val="19"/>
              </w:rPr>
              <w:t>54.4</w:t>
            </w:r>
            <w:r>
              <w:rPr>
                <w:i/>
                <w:w w:val="105"/>
                <w:position w:val="10"/>
                <w:sz w:val="12"/>
              </w:rPr>
              <w:t>b</w:t>
            </w:r>
          </w:p>
        </w:tc>
        <w:tc>
          <w:tcPr>
            <w:tcW w:w="1171" w:type="dxa"/>
          </w:tcPr>
          <w:p>
            <w:pPr>
              <w:pStyle w:val="TableParagraph"/>
              <w:spacing w:before="61"/>
              <w:ind w:left="323"/>
              <w:rPr>
                <w:i/>
                <w:sz w:val="19"/>
              </w:rPr>
            </w:pPr>
            <w:r>
              <w:rPr>
                <w:i/>
                <w:sz w:val="19"/>
              </w:rPr>
              <w:t>2.08</w:t>
            </w:r>
          </w:p>
        </w:tc>
        <w:tc>
          <w:tcPr>
            <w:tcW w:w="1174" w:type="dxa"/>
          </w:tcPr>
          <w:p>
            <w:pPr>
              <w:pStyle w:val="TableParagraph"/>
              <w:spacing w:before="26"/>
              <w:ind w:left="254"/>
              <w:rPr>
                <w:i/>
                <w:sz w:val="12"/>
              </w:rPr>
            </w:pPr>
            <w:r>
              <w:rPr>
                <w:i/>
                <w:w w:val="105"/>
                <w:sz w:val="19"/>
              </w:rPr>
              <w:t>101.47</w:t>
            </w:r>
            <w:r>
              <w:rPr>
                <w:i/>
                <w:w w:val="105"/>
                <w:position w:val="10"/>
                <w:sz w:val="12"/>
              </w:rPr>
              <w:t>b</w:t>
            </w:r>
          </w:p>
        </w:tc>
        <w:tc>
          <w:tcPr>
            <w:tcW w:w="987" w:type="dxa"/>
          </w:tcPr>
          <w:p>
            <w:pPr>
              <w:pStyle w:val="TableParagraph"/>
              <w:spacing w:before="61"/>
              <w:ind w:left="254"/>
              <w:rPr>
                <w:i/>
                <w:sz w:val="19"/>
              </w:rPr>
            </w:pPr>
            <w:r>
              <w:rPr>
                <w:i/>
                <w:sz w:val="19"/>
              </w:rPr>
              <w:t>3.36</w:t>
            </w:r>
          </w:p>
        </w:tc>
        <w:tc>
          <w:tcPr>
            <w:tcW w:w="827" w:type="dxa"/>
          </w:tcPr>
          <w:p>
            <w:pPr>
              <w:pStyle w:val="TableParagraph"/>
              <w:spacing w:before="26"/>
              <w:ind w:left="140"/>
              <w:rPr>
                <w:i/>
                <w:sz w:val="12"/>
              </w:rPr>
            </w:pPr>
            <w:r>
              <w:rPr>
                <w:i/>
                <w:w w:val="105"/>
                <w:sz w:val="19"/>
              </w:rPr>
              <w:t>13</w:t>
            </w:r>
            <w:r>
              <w:rPr>
                <w:i/>
                <w:w w:val="105"/>
                <w:position w:val="10"/>
                <w:sz w:val="12"/>
              </w:rPr>
              <w:t>b</w:t>
            </w:r>
          </w:p>
        </w:tc>
        <w:tc>
          <w:tcPr>
            <w:tcW w:w="782" w:type="dxa"/>
          </w:tcPr>
          <w:p>
            <w:pPr>
              <w:pStyle w:val="TableParagraph"/>
              <w:spacing w:before="61"/>
              <w:ind w:left="93"/>
              <w:rPr>
                <w:i/>
                <w:sz w:val="19"/>
              </w:rPr>
            </w:pPr>
            <w:r>
              <w:rPr>
                <w:i/>
                <w:sz w:val="19"/>
              </w:rPr>
              <w:t>59.36</w:t>
            </w:r>
          </w:p>
        </w:tc>
        <w:tc>
          <w:tcPr>
            <w:tcW w:w="781" w:type="dxa"/>
          </w:tcPr>
          <w:p>
            <w:pPr>
              <w:pStyle w:val="TableParagraph"/>
              <w:spacing w:before="61"/>
              <w:ind w:left="93"/>
              <w:rPr>
                <w:i/>
                <w:sz w:val="19"/>
              </w:rPr>
            </w:pPr>
            <w:r>
              <w:rPr>
                <w:i/>
                <w:sz w:val="19"/>
              </w:rPr>
              <w:t>283.44</w:t>
            </w:r>
          </w:p>
        </w:tc>
        <w:tc>
          <w:tcPr>
            <w:tcW w:w="888" w:type="dxa"/>
          </w:tcPr>
          <w:p>
            <w:pPr>
              <w:pStyle w:val="TableParagraph"/>
              <w:spacing w:before="26"/>
              <w:ind w:left="92"/>
              <w:rPr>
                <w:i/>
                <w:sz w:val="12"/>
              </w:rPr>
            </w:pPr>
            <w:r>
              <w:rPr>
                <w:i/>
                <w:w w:val="105"/>
                <w:sz w:val="19"/>
              </w:rPr>
              <w:t>2.32</w:t>
            </w:r>
            <w:r>
              <w:rPr>
                <w:i/>
                <w:w w:val="105"/>
                <w:position w:val="10"/>
                <w:sz w:val="12"/>
              </w:rPr>
              <w:t>b</w:t>
            </w:r>
          </w:p>
        </w:tc>
        <w:tc>
          <w:tcPr>
            <w:tcW w:w="1185" w:type="dxa"/>
          </w:tcPr>
          <w:p>
            <w:pPr>
              <w:pStyle w:val="TableParagraph"/>
              <w:spacing w:before="61"/>
              <w:ind w:left="200"/>
              <w:rPr>
                <w:i/>
                <w:sz w:val="19"/>
              </w:rPr>
            </w:pPr>
            <w:r>
              <w:rPr>
                <w:i/>
                <w:sz w:val="19"/>
              </w:rPr>
              <w:t>2.61</w:t>
            </w:r>
          </w:p>
        </w:tc>
        <w:tc>
          <w:tcPr>
            <w:tcW w:w="1023" w:type="dxa"/>
          </w:tcPr>
          <w:p>
            <w:pPr>
              <w:pStyle w:val="TableParagraph"/>
              <w:spacing w:before="26"/>
              <w:ind w:left="392"/>
              <w:rPr>
                <w:i/>
                <w:sz w:val="12"/>
              </w:rPr>
            </w:pPr>
            <w:r>
              <w:rPr>
                <w:i/>
                <w:w w:val="105"/>
                <w:sz w:val="19"/>
              </w:rPr>
              <w:t>1.16</w:t>
            </w:r>
            <w:r>
              <w:rPr>
                <w:i/>
                <w:w w:val="105"/>
                <w:position w:val="10"/>
                <w:sz w:val="12"/>
              </w:rPr>
              <w:t>b</w:t>
            </w:r>
          </w:p>
        </w:tc>
      </w:tr>
      <w:tr>
        <w:trPr>
          <w:trHeight w:val="308" w:hRule="exact"/>
        </w:trPr>
        <w:tc>
          <w:tcPr>
            <w:tcW w:w="1535" w:type="dxa"/>
          </w:tcPr>
          <w:p>
            <w:pPr>
              <w:pStyle w:val="TableParagraph"/>
              <w:spacing w:before="39"/>
              <w:ind w:left="35"/>
              <w:rPr>
                <w:b/>
                <w:sz w:val="19"/>
              </w:rPr>
            </w:pPr>
            <w:r>
              <w:rPr>
                <w:b/>
                <w:sz w:val="19"/>
              </w:rPr>
              <w:t>SEM Pooled</w:t>
            </w:r>
          </w:p>
        </w:tc>
        <w:tc>
          <w:tcPr>
            <w:tcW w:w="822" w:type="dxa"/>
          </w:tcPr>
          <w:p>
            <w:pPr/>
          </w:p>
        </w:tc>
        <w:tc>
          <w:tcPr>
            <w:tcW w:w="1151" w:type="dxa"/>
          </w:tcPr>
          <w:p>
            <w:pPr>
              <w:pStyle w:val="TableParagraph"/>
              <w:spacing w:before="44"/>
              <w:ind w:left="231"/>
              <w:rPr>
                <w:sz w:val="19"/>
              </w:rPr>
            </w:pPr>
            <w:r>
              <w:rPr>
                <w:sz w:val="19"/>
              </w:rPr>
              <w:t>0.168</w:t>
            </w:r>
          </w:p>
        </w:tc>
        <w:tc>
          <w:tcPr>
            <w:tcW w:w="1171" w:type="dxa"/>
          </w:tcPr>
          <w:p>
            <w:pPr>
              <w:pStyle w:val="TableParagraph"/>
              <w:spacing w:before="44"/>
              <w:ind w:left="324"/>
              <w:rPr>
                <w:sz w:val="19"/>
              </w:rPr>
            </w:pPr>
            <w:r>
              <w:rPr>
                <w:sz w:val="19"/>
              </w:rPr>
              <w:t>0.0478</w:t>
            </w:r>
          </w:p>
        </w:tc>
        <w:tc>
          <w:tcPr>
            <w:tcW w:w="1174" w:type="dxa"/>
          </w:tcPr>
          <w:p>
            <w:pPr>
              <w:pStyle w:val="TableParagraph"/>
              <w:spacing w:before="44"/>
              <w:ind w:left="254"/>
              <w:rPr>
                <w:sz w:val="19"/>
              </w:rPr>
            </w:pPr>
            <w:r>
              <w:rPr>
                <w:sz w:val="19"/>
              </w:rPr>
              <w:t>0.388</w:t>
            </w:r>
          </w:p>
        </w:tc>
        <w:tc>
          <w:tcPr>
            <w:tcW w:w="987" w:type="dxa"/>
          </w:tcPr>
          <w:p>
            <w:pPr>
              <w:pStyle w:val="TableParagraph"/>
              <w:spacing w:before="44"/>
              <w:ind w:left="254"/>
              <w:rPr>
                <w:sz w:val="19"/>
              </w:rPr>
            </w:pPr>
            <w:r>
              <w:rPr>
                <w:sz w:val="19"/>
              </w:rPr>
              <w:t>0.0499</w:t>
            </w:r>
          </w:p>
        </w:tc>
        <w:tc>
          <w:tcPr>
            <w:tcW w:w="827" w:type="dxa"/>
          </w:tcPr>
          <w:p>
            <w:pPr>
              <w:pStyle w:val="TableParagraph"/>
              <w:spacing w:before="44"/>
              <w:ind w:left="140"/>
              <w:rPr>
                <w:sz w:val="19"/>
              </w:rPr>
            </w:pPr>
            <w:r>
              <w:rPr>
                <w:sz w:val="19"/>
              </w:rPr>
              <w:t>0.1191</w:t>
            </w:r>
          </w:p>
        </w:tc>
        <w:tc>
          <w:tcPr>
            <w:tcW w:w="782" w:type="dxa"/>
          </w:tcPr>
          <w:p>
            <w:pPr>
              <w:pStyle w:val="TableParagraph"/>
              <w:spacing w:before="44"/>
              <w:ind w:left="93"/>
              <w:rPr>
                <w:sz w:val="19"/>
              </w:rPr>
            </w:pPr>
            <w:r>
              <w:rPr>
                <w:sz w:val="19"/>
              </w:rPr>
              <w:t>0.6937</w:t>
            </w:r>
          </w:p>
        </w:tc>
        <w:tc>
          <w:tcPr>
            <w:tcW w:w="781" w:type="dxa"/>
          </w:tcPr>
          <w:p>
            <w:pPr>
              <w:pStyle w:val="TableParagraph"/>
              <w:spacing w:before="44"/>
              <w:ind w:left="93"/>
              <w:rPr>
                <w:sz w:val="19"/>
              </w:rPr>
            </w:pPr>
            <w:r>
              <w:rPr>
                <w:sz w:val="19"/>
              </w:rPr>
              <w:t>2.56</w:t>
            </w:r>
          </w:p>
        </w:tc>
        <w:tc>
          <w:tcPr>
            <w:tcW w:w="888" w:type="dxa"/>
          </w:tcPr>
          <w:p>
            <w:pPr>
              <w:pStyle w:val="TableParagraph"/>
              <w:spacing w:before="44"/>
              <w:ind w:left="92"/>
              <w:rPr>
                <w:sz w:val="19"/>
              </w:rPr>
            </w:pPr>
            <w:r>
              <w:rPr>
                <w:sz w:val="19"/>
              </w:rPr>
              <w:t>0.0254</w:t>
            </w:r>
          </w:p>
        </w:tc>
        <w:tc>
          <w:tcPr>
            <w:tcW w:w="1185" w:type="dxa"/>
          </w:tcPr>
          <w:p>
            <w:pPr>
              <w:pStyle w:val="TableParagraph"/>
              <w:spacing w:before="44"/>
              <w:ind w:left="200"/>
              <w:rPr>
                <w:sz w:val="19"/>
              </w:rPr>
            </w:pPr>
            <w:r>
              <w:rPr>
                <w:sz w:val="19"/>
              </w:rPr>
              <w:t>0.0165</w:t>
            </w:r>
          </w:p>
        </w:tc>
        <w:tc>
          <w:tcPr>
            <w:tcW w:w="1023" w:type="dxa"/>
          </w:tcPr>
          <w:p>
            <w:pPr>
              <w:pStyle w:val="TableParagraph"/>
              <w:spacing w:before="44"/>
              <w:ind w:left="392"/>
              <w:rPr>
                <w:sz w:val="19"/>
              </w:rPr>
            </w:pPr>
            <w:r>
              <w:rPr>
                <w:sz w:val="19"/>
              </w:rPr>
              <w:t>0.0086</w:t>
            </w:r>
          </w:p>
        </w:tc>
      </w:tr>
      <w:tr>
        <w:trPr>
          <w:trHeight w:val="293" w:hRule="exact"/>
        </w:trPr>
        <w:tc>
          <w:tcPr>
            <w:tcW w:w="1535" w:type="dxa"/>
          </w:tcPr>
          <w:p>
            <w:pPr>
              <w:pStyle w:val="TableParagraph"/>
              <w:ind w:left="35"/>
              <w:rPr>
                <w:b/>
                <w:sz w:val="19"/>
              </w:rPr>
            </w:pPr>
            <w:r>
              <w:rPr>
                <w:b/>
                <w:i/>
                <w:sz w:val="19"/>
              </w:rPr>
              <w:t>P</w:t>
            </w:r>
            <w:r>
              <w:rPr>
                <w:b/>
                <w:sz w:val="19"/>
              </w:rPr>
              <w:t>-value</w:t>
            </w:r>
          </w:p>
        </w:tc>
        <w:tc>
          <w:tcPr>
            <w:tcW w:w="822" w:type="dxa"/>
          </w:tcPr>
          <w:p>
            <w:pPr/>
          </w:p>
        </w:tc>
        <w:tc>
          <w:tcPr>
            <w:tcW w:w="1151" w:type="dxa"/>
          </w:tcPr>
          <w:p>
            <w:pPr/>
          </w:p>
        </w:tc>
        <w:tc>
          <w:tcPr>
            <w:tcW w:w="1171" w:type="dxa"/>
          </w:tcPr>
          <w:p>
            <w:pPr/>
          </w:p>
        </w:tc>
        <w:tc>
          <w:tcPr>
            <w:tcW w:w="1174" w:type="dxa"/>
          </w:tcPr>
          <w:p>
            <w:pPr/>
          </w:p>
        </w:tc>
        <w:tc>
          <w:tcPr>
            <w:tcW w:w="987" w:type="dxa"/>
          </w:tcPr>
          <w:p>
            <w:pPr/>
          </w:p>
        </w:tc>
        <w:tc>
          <w:tcPr>
            <w:tcW w:w="827" w:type="dxa"/>
          </w:tcPr>
          <w:p>
            <w:pPr/>
          </w:p>
        </w:tc>
        <w:tc>
          <w:tcPr>
            <w:tcW w:w="782" w:type="dxa"/>
          </w:tcPr>
          <w:p>
            <w:pPr/>
          </w:p>
        </w:tc>
        <w:tc>
          <w:tcPr>
            <w:tcW w:w="781" w:type="dxa"/>
          </w:tcPr>
          <w:p>
            <w:pPr/>
          </w:p>
        </w:tc>
        <w:tc>
          <w:tcPr>
            <w:tcW w:w="888" w:type="dxa"/>
          </w:tcPr>
          <w:p>
            <w:pPr/>
          </w:p>
        </w:tc>
        <w:tc>
          <w:tcPr>
            <w:tcW w:w="1185" w:type="dxa"/>
          </w:tcPr>
          <w:p>
            <w:pPr/>
          </w:p>
        </w:tc>
        <w:tc>
          <w:tcPr>
            <w:tcW w:w="1023" w:type="dxa"/>
          </w:tcPr>
          <w:p>
            <w:pPr/>
          </w:p>
        </w:tc>
      </w:tr>
      <w:tr>
        <w:trPr>
          <w:trHeight w:val="295" w:hRule="exact"/>
        </w:trPr>
        <w:tc>
          <w:tcPr>
            <w:tcW w:w="1535" w:type="dxa"/>
          </w:tcPr>
          <w:p>
            <w:pPr>
              <w:pStyle w:val="TableParagraph"/>
              <w:ind w:left="35"/>
              <w:rPr>
                <w:b/>
                <w:sz w:val="19"/>
              </w:rPr>
            </w:pPr>
            <w:r>
              <w:rPr>
                <w:b/>
                <w:sz w:val="19"/>
              </w:rPr>
              <w:t>Treatment</w:t>
            </w:r>
          </w:p>
        </w:tc>
        <w:tc>
          <w:tcPr>
            <w:tcW w:w="822" w:type="dxa"/>
          </w:tcPr>
          <w:p>
            <w:pPr/>
          </w:p>
        </w:tc>
        <w:tc>
          <w:tcPr>
            <w:tcW w:w="1151" w:type="dxa"/>
          </w:tcPr>
          <w:p>
            <w:pPr>
              <w:pStyle w:val="TableParagraph"/>
              <w:spacing w:before="35"/>
              <w:ind w:left="231"/>
              <w:rPr>
                <w:sz w:val="19"/>
              </w:rPr>
            </w:pPr>
            <w:r>
              <w:rPr>
                <w:sz w:val="19"/>
              </w:rPr>
              <w:t>0.0456</w:t>
            </w:r>
          </w:p>
        </w:tc>
        <w:tc>
          <w:tcPr>
            <w:tcW w:w="1171" w:type="dxa"/>
          </w:tcPr>
          <w:p>
            <w:pPr>
              <w:pStyle w:val="TableParagraph"/>
              <w:spacing w:before="35"/>
              <w:ind w:left="324"/>
              <w:rPr>
                <w:sz w:val="19"/>
              </w:rPr>
            </w:pPr>
            <w:r>
              <w:rPr>
                <w:sz w:val="19"/>
              </w:rPr>
              <w:t>0.9623</w:t>
            </w:r>
          </w:p>
        </w:tc>
        <w:tc>
          <w:tcPr>
            <w:tcW w:w="1174" w:type="dxa"/>
          </w:tcPr>
          <w:p>
            <w:pPr>
              <w:pStyle w:val="TableParagraph"/>
              <w:spacing w:before="35"/>
              <w:ind w:left="254"/>
              <w:rPr>
                <w:sz w:val="19"/>
              </w:rPr>
            </w:pPr>
            <w:r>
              <w:rPr>
                <w:sz w:val="19"/>
              </w:rPr>
              <w:t>0.0572</w:t>
            </w:r>
          </w:p>
        </w:tc>
        <w:tc>
          <w:tcPr>
            <w:tcW w:w="987" w:type="dxa"/>
          </w:tcPr>
          <w:p>
            <w:pPr>
              <w:pStyle w:val="TableParagraph"/>
              <w:spacing w:before="35"/>
              <w:ind w:left="254"/>
              <w:rPr>
                <w:sz w:val="19"/>
              </w:rPr>
            </w:pPr>
            <w:r>
              <w:rPr>
                <w:sz w:val="19"/>
              </w:rPr>
              <w:t>0.2804</w:t>
            </w:r>
          </w:p>
        </w:tc>
        <w:tc>
          <w:tcPr>
            <w:tcW w:w="827" w:type="dxa"/>
          </w:tcPr>
          <w:p>
            <w:pPr>
              <w:pStyle w:val="TableParagraph"/>
              <w:spacing w:before="35"/>
              <w:ind w:left="140"/>
              <w:rPr>
                <w:sz w:val="19"/>
              </w:rPr>
            </w:pPr>
            <w:r>
              <w:rPr>
                <w:sz w:val="19"/>
              </w:rPr>
              <w:t>0.0426</w:t>
            </w:r>
          </w:p>
        </w:tc>
        <w:tc>
          <w:tcPr>
            <w:tcW w:w="782" w:type="dxa"/>
          </w:tcPr>
          <w:p>
            <w:pPr>
              <w:pStyle w:val="TableParagraph"/>
              <w:spacing w:before="35"/>
              <w:ind w:left="93"/>
              <w:rPr>
                <w:sz w:val="19"/>
              </w:rPr>
            </w:pPr>
            <w:r>
              <w:rPr>
                <w:sz w:val="19"/>
              </w:rPr>
              <w:t>0.9806</w:t>
            </w:r>
          </w:p>
        </w:tc>
        <w:tc>
          <w:tcPr>
            <w:tcW w:w="781" w:type="dxa"/>
          </w:tcPr>
          <w:p>
            <w:pPr>
              <w:pStyle w:val="TableParagraph"/>
              <w:spacing w:before="35"/>
              <w:ind w:left="93"/>
              <w:rPr>
                <w:sz w:val="19"/>
              </w:rPr>
            </w:pPr>
            <w:r>
              <w:rPr>
                <w:sz w:val="19"/>
              </w:rPr>
              <w:t>0.8041</w:t>
            </w:r>
          </w:p>
        </w:tc>
        <w:tc>
          <w:tcPr>
            <w:tcW w:w="888" w:type="dxa"/>
          </w:tcPr>
          <w:p>
            <w:pPr>
              <w:pStyle w:val="TableParagraph"/>
              <w:spacing w:before="35"/>
              <w:ind w:left="92"/>
              <w:rPr>
                <w:sz w:val="19"/>
              </w:rPr>
            </w:pPr>
            <w:r>
              <w:rPr>
                <w:sz w:val="19"/>
              </w:rPr>
              <w:t>0.0066</w:t>
            </w:r>
          </w:p>
        </w:tc>
        <w:tc>
          <w:tcPr>
            <w:tcW w:w="1185" w:type="dxa"/>
          </w:tcPr>
          <w:p>
            <w:pPr>
              <w:pStyle w:val="TableParagraph"/>
              <w:spacing w:before="35"/>
              <w:ind w:left="200"/>
              <w:rPr>
                <w:sz w:val="19"/>
              </w:rPr>
            </w:pPr>
            <w:r>
              <w:rPr>
                <w:sz w:val="19"/>
              </w:rPr>
              <w:t>0.3983</w:t>
            </w:r>
          </w:p>
        </w:tc>
        <w:tc>
          <w:tcPr>
            <w:tcW w:w="1023" w:type="dxa"/>
          </w:tcPr>
          <w:p>
            <w:pPr>
              <w:pStyle w:val="TableParagraph"/>
              <w:spacing w:before="35"/>
              <w:ind w:left="392"/>
              <w:rPr>
                <w:sz w:val="19"/>
              </w:rPr>
            </w:pPr>
            <w:r>
              <w:rPr>
                <w:sz w:val="19"/>
              </w:rPr>
              <w:t>0.0227</w:t>
            </w:r>
          </w:p>
        </w:tc>
      </w:tr>
      <w:tr>
        <w:trPr>
          <w:trHeight w:val="346" w:hRule="exact"/>
        </w:trPr>
        <w:tc>
          <w:tcPr>
            <w:tcW w:w="1535" w:type="dxa"/>
          </w:tcPr>
          <w:p>
            <w:pPr>
              <w:pStyle w:val="TableParagraph"/>
              <w:spacing w:before="23"/>
              <w:ind w:left="35"/>
              <w:rPr>
                <w:b/>
                <w:sz w:val="19"/>
              </w:rPr>
            </w:pPr>
            <w:r>
              <w:rPr>
                <w:b/>
                <w:sz w:val="19"/>
              </w:rPr>
              <w:t>Time</w:t>
            </w:r>
          </w:p>
        </w:tc>
        <w:tc>
          <w:tcPr>
            <w:tcW w:w="822" w:type="dxa"/>
          </w:tcPr>
          <w:p>
            <w:pPr/>
          </w:p>
        </w:tc>
        <w:tc>
          <w:tcPr>
            <w:tcW w:w="1151" w:type="dxa"/>
          </w:tcPr>
          <w:p>
            <w:pPr>
              <w:pStyle w:val="TableParagraph"/>
              <w:spacing w:before="30"/>
              <w:ind w:left="231"/>
              <w:rPr>
                <w:sz w:val="19"/>
              </w:rPr>
            </w:pPr>
            <w:r>
              <w:rPr>
                <w:sz w:val="19"/>
              </w:rPr>
              <w:t>0.0177</w:t>
            </w:r>
          </w:p>
        </w:tc>
        <w:tc>
          <w:tcPr>
            <w:tcW w:w="1171" w:type="dxa"/>
          </w:tcPr>
          <w:p>
            <w:pPr>
              <w:pStyle w:val="TableParagraph"/>
              <w:spacing w:before="30"/>
              <w:ind w:left="324"/>
              <w:rPr>
                <w:sz w:val="19"/>
              </w:rPr>
            </w:pPr>
            <w:r>
              <w:rPr>
                <w:sz w:val="19"/>
              </w:rPr>
              <w:t>0.0001</w:t>
            </w:r>
          </w:p>
        </w:tc>
        <w:tc>
          <w:tcPr>
            <w:tcW w:w="1174" w:type="dxa"/>
          </w:tcPr>
          <w:p>
            <w:pPr>
              <w:pStyle w:val="TableParagraph"/>
              <w:spacing w:before="30"/>
              <w:ind w:left="254"/>
              <w:rPr>
                <w:sz w:val="19"/>
              </w:rPr>
            </w:pPr>
            <w:r>
              <w:rPr>
                <w:sz w:val="19"/>
              </w:rPr>
              <w:t>0.0001</w:t>
            </w:r>
          </w:p>
        </w:tc>
        <w:tc>
          <w:tcPr>
            <w:tcW w:w="987" w:type="dxa"/>
          </w:tcPr>
          <w:p>
            <w:pPr>
              <w:pStyle w:val="TableParagraph"/>
              <w:spacing w:before="30"/>
              <w:ind w:left="254"/>
              <w:rPr>
                <w:sz w:val="19"/>
              </w:rPr>
            </w:pPr>
            <w:r>
              <w:rPr>
                <w:sz w:val="19"/>
              </w:rPr>
              <w:t>0.0001</w:t>
            </w:r>
          </w:p>
        </w:tc>
        <w:tc>
          <w:tcPr>
            <w:tcW w:w="827" w:type="dxa"/>
          </w:tcPr>
          <w:p>
            <w:pPr>
              <w:pStyle w:val="TableParagraph"/>
              <w:spacing w:before="30"/>
              <w:ind w:left="140"/>
              <w:rPr>
                <w:sz w:val="19"/>
              </w:rPr>
            </w:pPr>
            <w:r>
              <w:rPr>
                <w:sz w:val="19"/>
              </w:rPr>
              <w:t>0.0082</w:t>
            </w:r>
          </w:p>
        </w:tc>
        <w:tc>
          <w:tcPr>
            <w:tcW w:w="782" w:type="dxa"/>
          </w:tcPr>
          <w:p>
            <w:pPr>
              <w:pStyle w:val="TableParagraph"/>
              <w:spacing w:before="30"/>
              <w:ind w:left="93"/>
              <w:rPr>
                <w:sz w:val="19"/>
              </w:rPr>
            </w:pPr>
            <w:r>
              <w:rPr>
                <w:sz w:val="19"/>
              </w:rPr>
              <w:t>0.0213</w:t>
            </w:r>
          </w:p>
        </w:tc>
        <w:tc>
          <w:tcPr>
            <w:tcW w:w="781" w:type="dxa"/>
          </w:tcPr>
          <w:p>
            <w:pPr>
              <w:pStyle w:val="TableParagraph"/>
              <w:spacing w:before="30"/>
              <w:ind w:left="93"/>
              <w:rPr>
                <w:sz w:val="19"/>
              </w:rPr>
            </w:pPr>
            <w:r>
              <w:rPr>
                <w:sz w:val="19"/>
              </w:rPr>
              <w:t>0.0001</w:t>
            </w:r>
          </w:p>
        </w:tc>
        <w:tc>
          <w:tcPr>
            <w:tcW w:w="888" w:type="dxa"/>
          </w:tcPr>
          <w:p>
            <w:pPr>
              <w:pStyle w:val="TableParagraph"/>
              <w:spacing w:before="30"/>
              <w:ind w:left="92"/>
              <w:rPr>
                <w:sz w:val="19"/>
              </w:rPr>
            </w:pPr>
            <w:r>
              <w:rPr>
                <w:sz w:val="19"/>
              </w:rPr>
              <w:t>0.0002</w:t>
            </w:r>
          </w:p>
        </w:tc>
        <w:tc>
          <w:tcPr>
            <w:tcW w:w="1185" w:type="dxa"/>
          </w:tcPr>
          <w:p>
            <w:pPr>
              <w:pStyle w:val="TableParagraph"/>
              <w:spacing w:before="30"/>
              <w:ind w:left="200"/>
              <w:rPr>
                <w:sz w:val="19"/>
              </w:rPr>
            </w:pPr>
            <w:r>
              <w:rPr>
                <w:sz w:val="19"/>
              </w:rPr>
              <w:t>0.0001</w:t>
            </w:r>
          </w:p>
        </w:tc>
        <w:tc>
          <w:tcPr>
            <w:tcW w:w="1023" w:type="dxa"/>
          </w:tcPr>
          <w:p>
            <w:pPr>
              <w:pStyle w:val="TableParagraph"/>
              <w:spacing w:before="30"/>
              <w:ind w:left="392"/>
              <w:rPr>
                <w:sz w:val="19"/>
              </w:rPr>
            </w:pPr>
            <w:r>
              <w:rPr>
                <w:sz w:val="19"/>
              </w:rPr>
              <w:t>0.0001</w:t>
            </w:r>
          </w:p>
        </w:tc>
      </w:tr>
    </w:tbl>
    <w:p>
      <w:pPr>
        <w:pStyle w:val="BodyText"/>
        <w:spacing w:before="7"/>
        <w:rPr>
          <w:rFonts w:ascii="Times New Roman"/>
          <w:sz w:val="11"/>
        </w:rPr>
      </w:pPr>
    </w:p>
    <w:p>
      <w:pPr>
        <w:spacing w:line="237" w:lineRule="auto" w:before="79"/>
        <w:ind w:left="152" w:right="102" w:firstLine="0"/>
        <w:jc w:val="both"/>
        <w:rPr>
          <w:sz w:val="21"/>
        </w:rPr>
      </w:pPr>
      <w:r>
        <w:rPr>
          <w:sz w:val="21"/>
        </w:rPr>
        <w:t>SB, </w:t>
      </w:r>
      <w:r>
        <w:rPr>
          <w:i/>
          <w:sz w:val="21"/>
        </w:rPr>
        <w:t>S. babylonica </w:t>
      </w:r>
      <w:r>
        <w:rPr>
          <w:sz w:val="21"/>
        </w:rPr>
        <w:t>L. extract; EZ, exogenous enzyme; EZSB, </w:t>
      </w:r>
      <w:r>
        <w:rPr>
          <w:i/>
          <w:sz w:val="21"/>
        </w:rPr>
        <w:t>S.babylonica </w:t>
      </w:r>
      <w:r>
        <w:rPr>
          <w:sz w:val="21"/>
        </w:rPr>
        <w:t>L. extract + exogenous enzyme; BUN; blood urea nitrogen, ALT, alanine aminotransferase or glutamic pyruvate transaminase; AST, aspartate aminotransferase or glutamic oxalacetic transaminase; ALP, alkaline phosphatase; SEM, Standard error of  the mean.</w:t>
      </w:r>
      <w:r>
        <w:rPr>
          <w:position w:val="10"/>
          <w:sz w:val="13"/>
        </w:rPr>
        <w:t>a,  b</w:t>
      </w:r>
      <w:r>
        <w:rPr>
          <w:sz w:val="21"/>
        </w:rPr>
        <w:t>Different  superscripts following treatments mean  in  the column indicate differences at </w:t>
      </w:r>
      <w:r>
        <w:rPr>
          <w:spacing w:val="9"/>
          <w:sz w:val="21"/>
        </w:rPr>
        <w:t> </w:t>
      </w:r>
      <w:r>
        <w:rPr>
          <w:i/>
          <w:sz w:val="21"/>
        </w:rPr>
        <w:t>P</w:t>
      </w:r>
      <w:r>
        <w:rPr>
          <w:sz w:val="21"/>
        </w:rPr>
        <w:t>&lt;0.05.</w:t>
      </w:r>
    </w:p>
    <w:p>
      <w:pPr>
        <w:spacing w:after="0" w:line="237" w:lineRule="auto"/>
        <w:jc w:val="both"/>
        <w:rPr>
          <w:sz w:val="21"/>
        </w:rPr>
        <w:sectPr>
          <w:pgSz w:w="16840" w:h="11900" w:orient="landscape"/>
          <w:pgMar w:header="0" w:footer="958" w:top="1100" w:bottom="1140" w:left="1940" w:right="1980"/>
        </w:sectPr>
      </w:pPr>
    </w:p>
    <w:p>
      <w:pPr>
        <w:pStyle w:val="BodyText"/>
        <w:rPr>
          <w:sz w:val="20"/>
        </w:rPr>
      </w:pPr>
    </w:p>
    <w:p>
      <w:pPr>
        <w:pStyle w:val="BodyText"/>
        <w:spacing w:before="5"/>
        <w:rPr>
          <w:sz w:val="16"/>
        </w:rPr>
      </w:pPr>
    </w:p>
    <w:p>
      <w:pPr>
        <w:pStyle w:val="Heading1"/>
        <w:numPr>
          <w:ilvl w:val="1"/>
          <w:numId w:val="14"/>
        </w:numPr>
        <w:tabs>
          <w:tab w:pos="587" w:val="left" w:leader="none"/>
        </w:tabs>
        <w:spacing w:line="280" w:lineRule="auto" w:before="74" w:after="0"/>
        <w:ind w:left="116" w:right="118" w:firstLine="0"/>
        <w:jc w:val="both"/>
      </w:pPr>
      <w:r>
        <w:rPr/>
        <w:t>Artículo Haematological and biochemical profile in lambs and goats that consumed </w:t>
      </w:r>
      <w:r>
        <w:rPr>
          <w:i/>
        </w:rPr>
        <w:t>Salix babylonica </w:t>
      </w:r>
      <w:r>
        <w:rPr/>
        <w:t>extract, exogenous enzyme and  their  combination as feed</w:t>
      </w:r>
      <w:r>
        <w:rPr>
          <w:spacing w:val="35"/>
        </w:rPr>
        <w:t> </w:t>
      </w:r>
      <w:r>
        <w:rPr/>
        <w:t>additives.</w:t>
      </w:r>
    </w:p>
    <w:p>
      <w:pPr>
        <w:pStyle w:val="BodyText"/>
        <w:rPr>
          <w:b/>
          <w:sz w:val="22"/>
        </w:rPr>
      </w:pPr>
    </w:p>
    <w:p>
      <w:pPr>
        <w:pStyle w:val="BodyText"/>
        <w:spacing w:before="1"/>
        <w:rPr>
          <w:b/>
          <w:sz w:val="21"/>
        </w:rPr>
      </w:pPr>
    </w:p>
    <w:p>
      <w:pPr>
        <w:spacing w:line="364" w:lineRule="auto" w:before="0"/>
        <w:ind w:left="257" w:right="263" w:hanging="1"/>
        <w:jc w:val="center"/>
        <w:rPr>
          <w:b/>
          <w:sz w:val="23"/>
        </w:rPr>
      </w:pPr>
      <w:r>
        <w:rPr>
          <w:b/>
          <w:sz w:val="23"/>
        </w:rPr>
        <w:t>Haematological and biochemical profile in lambs and goats that consumed </w:t>
      </w:r>
      <w:r>
        <w:rPr>
          <w:b/>
          <w:i/>
          <w:sz w:val="23"/>
        </w:rPr>
        <w:t>Salix babylonica </w:t>
      </w:r>
      <w:r>
        <w:rPr>
          <w:b/>
          <w:sz w:val="23"/>
        </w:rPr>
        <w:t>extract, exogenous enzyme and their combination as feed additives.</w:t>
      </w:r>
    </w:p>
    <w:p>
      <w:pPr>
        <w:spacing w:before="7"/>
        <w:ind w:left="116" w:right="0" w:firstLine="0"/>
        <w:jc w:val="both"/>
        <w:rPr>
          <w:b/>
          <w:sz w:val="23"/>
        </w:rPr>
      </w:pPr>
      <w:r>
        <w:rPr>
          <w:b/>
          <w:sz w:val="23"/>
        </w:rPr>
        <w:t>ABSTRACT</w:t>
      </w:r>
    </w:p>
    <w:p>
      <w:pPr>
        <w:pStyle w:val="BodyText"/>
        <w:rPr>
          <w:b/>
          <w:sz w:val="22"/>
        </w:rPr>
      </w:pPr>
    </w:p>
    <w:p>
      <w:pPr>
        <w:pStyle w:val="BodyText"/>
        <w:spacing w:before="1"/>
        <w:rPr>
          <w:b/>
          <w:sz w:val="25"/>
        </w:rPr>
      </w:pPr>
    </w:p>
    <w:p>
      <w:pPr>
        <w:pStyle w:val="BodyText"/>
        <w:spacing w:line="364" w:lineRule="auto"/>
        <w:ind w:left="115" w:right="116"/>
        <w:jc w:val="both"/>
      </w:pPr>
      <w:r>
        <w:rPr/>
        <w:t>A study was conducted to investigate the effect of exogenous enzyme (EZ), </w:t>
      </w:r>
      <w:r>
        <w:rPr>
          <w:i/>
        </w:rPr>
        <w:t>Salix </w:t>
      </w:r>
      <w:r>
        <w:rPr>
          <w:i/>
        </w:rPr>
        <w:t>babylonica </w:t>
      </w:r>
      <w:r>
        <w:rPr/>
        <w:t>(SB) extract and their combination as feed additives on haematological and biochemical profile in lambs and goats. Four suffolk lambs of 3 to 4-months-old with 24 kg body weight (BW) and four saanen goats of 5 to 8-months-old with 20   </w:t>
      </w:r>
      <w:r>
        <w:rPr>
          <w:spacing w:val="-4"/>
        </w:rPr>
        <w:t>BW </w:t>
      </w:r>
      <w:r>
        <w:rPr/>
        <w:t>were used. After 2 weeks of adaptation to the basal diet; the animals were weighed and randomly distributed into 4 groups of one animal (lambs or goats).   The animals were housed in metabolic cages in a completely randomized design and the experiment was conducted in four periods of 15 days (60 days). The treatments were: 1. control: animals were fed the basal diet plus 30ml </w:t>
      </w:r>
      <w:r>
        <w:rPr>
          <w:spacing w:val="-3"/>
        </w:rPr>
        <w:t>of </w:t>
      </w:r>
      <w:r>
        <w:rPr/>
        <w:t>destilled water, 2. EZ: lambs were fed the basal diet plus 1µl/g/DM intake  of  xylanase (Dyadic International Inc. Jupiter, FL) in 30ml of destilled water 3. SB: lambs were fed the basal diet plus 30 ml of Salix babylonica extract, and 4. EZSB: lambs were fed the basal diet plus 1µl/g/DM intake of xylanase (Dyadic International Inc.  Jupiter, FL) in 30ml of destilled water and 30 ml of S</w:t>
      </w:r>
      <w:r>
        <w:rPr>
          <w:i/>
        </w:rPr>
        <w:t>. babylonica </w:t>
      </w:r>
      <w:r>
        <w:rPr/>
        <w:t>extract. The daily dose of treatments was given orally before the morning feeding. Five milliliters of blood samples were collected on day 15 of each period and analyzed for haematological and biochemical profile. The treatments has effects on HMT (p = 0.0259) in lambs and eosinophils (p = 0.0191) and glucose (p = 0.0334) in goats. </w:t>
      </w:r>
      <w:r>
        <w:rPr>
          <w:color w:val="221E1F"/>
        </w:rPr>
        <w:t>Since all the studied blood parameters were within the normal range for healthy goats and there were</w:t>
      </w:r>
      <w:r>
        <w:rPr/>
        <w:t>no signs of disease, it is concluded that EZ, SB and their combination did not pose any threat to the health of the animals under the  conditions of the experiment both feed additives are </w:t>
      </w:r>
      <w:r>
        <w:rPr>
          <w:spacing w:val="5"/>
        </w:rPr>
        <w:t> </w:t>
      </w:r>
      <w:r>
        <w:rPr/>
        <w:t>innocuous.</w:t>
      </w:r>
    </w:p>
    <w:p>
      <w:pPr>
        <w:spacing w:after="0" w:line="364" w:lineRule="auto"/>
        <w:jc w:val="both"/>
        <w:sectPr>
          <w:footerReference w:type="default" r:id="rId215"/>
          <w:pgSz w:w="11900" w:h="16840"/>
          <w:pgMar w:footer="1679" w:header="0" w:top="1600" w:bottom="1860" w:left="1540" w:right="1520"/>
          <w:pgNumType w:start="85"/>
        </w:sectPr>
      </w:pPr>
    </w:p>
    <w:p>
      <w:pPr>
        <w:pStyle w:val="BodyText"/>
        <w:rPr>
          <w:sz w:val="20"/>
        </w:rPr>
      </w:pPr>
    </w:p>
    <w:p>
      <w:pPr>
        <w:pStyle w:val="BodyText"/>
        <w:spacing w:before="5"/>
        <w:rPr>
          <w:sz w:val="16"/>
        </w:rPr>
      </w:pPr>
    </w:p>
    <w:p>
      <w:pPr>
        <w:spacing w:line="364" w:lineRule="auto" w:before="74"/>
        <w:ind w:left="116" w:right="121" w:firstLine="0"/>
        <w:jc w:val="both"/>
        <w:rPr>
          <w:sz w:val="23"/>
        </w:rPr>
      </w:pPr>
      <w:r>
        <w:rPr>
          <w:b/>
          <w:color w:val="221E1F"/>
          <w:sz w:val="23"/>
        </w:rPr>
        <w:t>Key words</w:t>
      </w:r>
      <w:r>
        <w:rPr>
          <w:color w:val="221E1F"/>
          <w:sz w:val="23"/>
        </w:rPr>
        <w:t>: haematological and biochemical profile, lambs, goats, exogenous enzyme, </w:t>
      </w:r>
      <w:r>
        <w:rPr>
          <w:i/>
          <w:color w:val="221E1F"/>
          <w:sz w:val="23"/>
        </w:rPr>
        <w:t>S. babylonica </w:t>
      </w:r>
      <w:r>
        <w:rPr>
          <w:color w:val="221E1F"/>
          <w:sz w:val="23"/>
        </w:rPr>
        <w:t>extract.</w:t>
      </w:r>
    </w:p>
    <w:p>
      <w:pPr>
        <w:pStyle w:val="Heading1"/>
        <w:spacing w:before="5"/>
      </w:pPr>
      <w:r>
        <w:rPr/>
        <w:t>INTRODUCTION</w:t>
      </w:r>
    </w:p>
    <w:p>
      <w:pPr>
        <w:pStyle w:val="BodyText"/>
        <w:rPr>
          <w:b/>
          <w:sz w:val="22"/>
        </w:rPr>
      </w:pPr>
    </w:p>
    <w:p>
      <w:pPr>
        <w:pStyle w:val="BodyText"/>
        <w:spacing w:before="1"/>
        <w:rPr>
          <w:b/>
          <w:sz w:val="25"/>
        </w:rPr>
      </w:pPr>
    </w:p>
    <w:p>
      <w:pPr>
        <w:pStyle w:val="BodyText"/>
        <w:ind w:left="115"/>
        <w:jc w:val="both"/>
      </w:pPr>
      <w:r>
        <w:rPr/>
        <w:t>In recent years the use the feed additives had been increased because with its   use</w:t>
      </w:r>
    </w:p>
    <w:p>
      <w:pPr>
        <w:pStyle w:val="BodyText"/>
        <w:spacing w:line="364" w:lineRule="auto" w:before="141"/>
        <w:ind w:left="115" w:right="119"/>
        <w:jc w:val="both"/>
      </w:pPr>
      <w:r>
        <w:rPr/>
        <w:t>i) decrease the cost of alimentation, which upon more than 50% the cost of production, 2) enhance productive parameters 3) improve health and well-being animal (Salem et al., 2006, Salem et al., 2010, Provenza and Villalba, 2010, Arriola et al., 2011, Lu, 2011, Chung et al., 2012).</w:t>
      </w:r>
    </w:p>
    <w:p>
      <w:pPr>
        <w:pStyle w:val="BodyText"/>
        <w:rPr>
          <w:sz w:val="22"/>
        </w:rPr>
      </w:pPr>
    </w:p>
    <w:p>
      <w:pPr>
        <w:pStyle w:val="BodyText"/>
        <w:spacing w:line="364" w:lineRule="auto" w:before="155"/>
        <w:ind w:left="115" w:right="117"/>
        <w:jc w:val="both"/>
      </w:pPr>
      <w:r>
        <w:rPr/>
        <w:t>Exogenous enzyme has positive effects improve feed utilization and animal performance by enhancing fiber degradation, increase live weigh gain (16%) by increase in to nutrients digestibility, </w:t>
      </w:r>
      <w:r>
        <w:rPr>
          <w:color w:val="221E1F"/>
        </w:rPr>
        <w:t>fibrolytic enzyme increased the digestibility of DM, CP, neutral detergent fiber, and acid detergent fiber and the efficiency of milk production in dairy cows </w:t>
      </w:r>
      <w:r>
        <w:rPr/>
        <w:t>(Arriola et al., 2011, Salem et al., 2013 ). The exogenous enzyme has positive relation with palatability, feed intake, rumen microbial N synthesis, digestibility and improve animal performance as milk production, live weight gain, feed efficiency and some enzyme products has potential immunostimulatory (Arriola et al., 2011, Gado et al., 2011, Salem et al., 2011a, Bedford and Cowieson, 2012). Ii function is dependent the specificactivity of the enzymes, their mode and level of application,as well as the type of animal and its diet, may affect enzymeefficacy (Salem et al., 2013</w:t>
      </w:r>
      <w:r>
        <w:rPr>
          <w:spacing w:val="53"/>
        </w:rPr>
        <w:t> </w:t>
      </w:r>
      <w:r>
        <w:rPr/>
        <w:t>)</w:t>
      </w:r>
    </w:p>
    <w:p>
      <w:pPr>
        <w:pStyle w:val="BodyText"/>
        <w:rPr>
          <w:sz w:val="22"/>
        </w:rPr>
      </w:pPr>
    </w:p>
    <w:p>
      <w:pPr>
        <w:pStyle w:val="BodyText"/>
        <w:spacing w:line="367" w:lineRule="auto" w:before="153"/>
        <w:ind w:left="116" w:right="117"/>
        <w:jc w:val="both"/>
      </w:pPr>
      <w:r>
        <w:rPr/>
        <w:t>Secondary metabolites presents in </w:t>
      </w:r>
      <w:r>
        <w:rPr>
          <w:i/>
        </w:rPr>
        <w:t>Salix babylonica </w:t>
      </w:r>
      <w:r>
        <w:rPr/>
        <w:t>extract at low doses and in appropriate mixtures can have beneficial effects on animal nutrition and health, at high doses can negative effects on metabolic and cellular process, reduce forage intake cause weight loss and in some cases the death in animals intolerance or    with any physiological damage (Provenza and Villalba, </w:t>
      </w:r>
      <w:r>
        <w:rPr>
          <w:spacing w:val="5"/>
        </w:rPr>
        <w:t> </w:t>
      </w:r>
      <w:r>
        <w:rPr/>
        <w:t>2010).</w:t>
      </w:r>
    </w:p>
    <w:p>
      <w:pPr>
        <w:pStyle w:val="BodyText"/>
        <w:rPr>
          <w:sz w:val="22"/>
        </w:rPr>
      </w:pPr>
    </w:p>
    <w:p>
      <w:pPr>
        <w:pStyle w:val="BodyText"/>
        <w:spacing w:line="367" w:lineRule="auto" w:before="148"/>
        <w:ind w:left="116" w:right="119"/>
        <w:jc w:val="both"/>
      </w:pPr>
      <w:r>
        <w:rPr/>
        <w:t>In animal production secondary metabolites have positive effects on daily gain, voluntary  intake,  milk  production  and  ruminal  fermentation  parameters,  have </w:t>
      </w:r>
      <w:r>
        <w:rPr>
          <w:spacing w:val="50"/>
        </w:rPr>
        <w:t> </w:t>
      </w:r>
      <w:r>
        <w:rPr/>
        <w:t>a</w:t>
      </w:r>
    </w:p>
    <w:p>
      <w:pPr>
        <w:spacing w:after="0" w:line="367"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19"/>
        <w:jc w:val="both"/>
      </w:pPr>
      <w:r>
        <w:rPr/>
        <w:t>protective effect on the protein in the rumen to promote duodenal absorption, minimizes the excretion of nitrogen, modify the acetate to propionate ratio in rumen fluid and decrease parasitic load (Athanasiadou and Kyriazakis, 2004, Rivero et al., 2012).</w:t>
      </w:r>
    </w:p>
    <w:p>
      <w:pPr>
        <w:pStyle w:val="BodyText"/>
        <w:rPr>
          <w:sz w:val="22"/>
        </w:rPr>
      </w:pPr>
    </w:p>
    <w:p>
      <w:pPr>
        <w:pStyle w:val="BodyText"/>
        <w:spacing w:line="364" w:lineRule="auto" w:before="155"/>
        <w:ind w:left="115" w:right="117"/>
        <w:jc w:val="both"/>
      </w:pPr>
      <w:r>
        <w:rPr/>
        <w:t>There are studies that indicate than secondary metabolites  can be cause anemia  by destruction to erythrocytes, decrease in with blood cells, damage in liver and kidney </w:t>
      </w:r>
      <w:r>
        <w:rPr>
          <w:color w:val="212121"/>
        </w:rPr>
        <w:t>even deathif consumedfor a considerable timeat high doses (Mahgoub et    al., 2008a, Mahgoub et al.,</w:t>
      </w:r>
      <w:r>
        <w:rPr>
          <w:color w:val="212121"/>
          <w:spacing w:val="37"/>
        </w:rPr>
        <w:t> </w:t>
      </w:r>
      <w:r>
        <w:rPr>
          <w:color w:val="212121"/>
        </w:rPr>
        <w:t>2008b)</w:t>
      </w:r>
      <w:r>
        <w:rPr/>
        <w:t>.</w:t>
      </w:r>
    </w:p>
    <w:p>
      <w:pPr>
        <w:pStyle w:val="BodyText"/>
        <w:rPr>
          <w:sz w:val="22"/>
        </w:rPr>
      </w:pPr>
    </w:p>
    <w:p>
      <w:pPr>
        <w:pStyle w:val="BodyText"/>
        <w:spacing w:line="364" w:lineRule="auto" w:before="155"/>
        <w:ind w:left="115" w:right="117"/>
        <w:jc w:val="both"/>
      </w:pPr>
      <w:r>
        <w:rPr/>
        <w:t>In other hand there are jobs that indicate the secondary metabolites presents in a big diversity of plants not produced negative effects on animal health principally in goats because its possible that these have the ability to avoid consuming browse in amounts exceeding their capacity to detoxify and it has enhanced capacity to detoxify tannins in comparison with other ruminant species (Silanikove et al., 1996, Olafadehan,</w:t>
      </w:r>
      <w:r>
        <w:rPr>
          <w:spacing w:val="19"/>
        </w:rPr>
        <w:t> </w:t>
      </w:r>
      <w:r>
        <w:rPr/>
        <w:t>2011).</w:t>
      </w:r>
    </w:p>
    <w:p>
      <w:pPr>
        <w:pStyle w:val="BodyText"/>
        <w:rPr>
          <w:sz w:val="22"/>
        </w:rPr>
      </w:pPr>
    </w:p>
    <w:p>
      <w:pPr>
        <w:pStyle w:val="BodyText"/>
        <w:spacing w:line="364" w:lineRule="auto" w:before="155"/>
        <w:ind w:left="115" w:right="117"/>
        <w:jc w:val="both"/>
      </w:pPr>
      <w:r>
        <w:rPr/>
        <w:t>Blood contains diagnostically relevant parameters which act as a pathological reflector of the status of animals exposed to toxicants and is the fastest means for ascertaining toxicity of ingested feed in animals (Olafadehan, 2011). In the present experiment haematological and biochemical data were used as an indication of health status the experimental animals.</w:t>
      </w:r>
    </w:p>
    <w:p>
      <w:pPr>
        <w:pStyle w:val="BodyText"/>
        <w:rPr>
          <w:sz w:val="22"/>
        </w:rPr>
      </w:pPr>
    </w:p>
    <w:p>
      <w:pPr>
        <w:pStyle w:val="Heading1"/>
        <w:spacing w:before="153"/>
      </w:pPr>
      <w:r>
        <w:rPr/>
        <w:t>MATERIAL AND METHODS</w:t>
      </w:r>
    </w:p>
    <w:p>
      <w:pPr>
        <w:pStyle w:val="BodyText"/>
        <w:rPr>
          <w:b/>
          <w:sz w:val="22"/>
        </w:rPr>
      </w:pPr>
    </w:p>
    <w:p>
      <w:pPr>
        <w:pStyle w:val="BodyText"/>
        <w:spacing w:before="3"/>
        <w:rPr>
          <w:b/>
          <w:sz w:val="25"/>
        </w:rPr>
      </w:pPr>
    </w:p>
    <w:p>
      <w:pPr>
        <w:pStyle w:val="BodyText"/>
        <w:spacing w:line="364" w:lineRule="auto" w:before="1"/>
        <w:ind w:left="115" w:right="119"/>
        <w:jc w:val="both"/>
      </w:pPr>
      <w:r>
        <w:rPr/>
        <w:t>This study was conducted at the experimental farm and </w:t>
      </w:r>
      <w:r>
        <w:rPr>
          <w:color w:val="212121"/>
        </w:rPr>
        <w:t>Research andAdvanced Studiesin Animal Health </w:t>
      </w:r>
      <w:r>
        <w:rPr/>
        <w:t>of the Faculty of Veterinary Medicine of the Autonomous University of Mexico State. The handling of animals was done according to international bioethical standards and NOM-062 -  ZOO-1999.</w:t>
      </w:r>
    </w:p>
    <w:p>
      <w:pPr>
        <w:spacing w:after="0" w:line="364" w:lineRule="auto"/>
        <w:jc w:val="both"/>
        <w:sectPr>
          <w:pgSz w:w="11900" w:h="16840"/>
          <w:pgMar w:header="0" w:footer="1679" w:top="1600" w:bottom="1860" w:left="1540" w:right="15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p>
    <w:p>
      <w:pPr>
        <w:pStyle w:val="BodyText"/>
        <w:spacing w:before="74"/>
        <w:ind w:left="115"/>
        <w:jc w:val="both"/>
      </w:pPr>
      <w:r>
        <w:rPr/>
        <w:t>Animals and treatments</w:t>
      </w:r>
    </w:p>
    <w:p>
      <w:pPr>
        <w:pStyle w:val="BodyText"/>
        <w:rPr>
          <w:sz w:val="22"/>
        </w:rPr>
      </w:pPr>
    </w:p>
    <w:p>
      <w:pPr>
        <w:pStyle w:val="BodyText"/>
        <w:spacing w:before="10"/>
        <w:rPr>
          <w:sz w:val="24"/>
        </w:rPr>
      </w:pPr>
    </w:p>
    <w:p>
      <w:pPr>
        <w:pStyle w:val="BodyText"/>
        <w:spacing w:line="364" w:lineRule="auto"/>
        <w:ind w:left="115" w:right="117"/>
        <w:jc w:val="both"/>
      </w:pPr>
      <w:r>
        <w:rPr/>
        <w:t>The animals used in this were study four suffolk lambs of 3 to 4-months-old with 24 kg body weight (BW) and four saanen goats of 5 to 8-months-old with 20 </w:t>
      </w:r>
      <w:r>
        <w:rPr>
          <w:spacing w:val="2"/>
        </w:rPr>
        <w:t>BW. </w:t>
      </w:r>
      <w:r>
        <w:rPr/>
        <w:t>After  2 weeks of adaptation to the basal diet, formulated according to NRC (National Research Council. Committee on Nutrient Requirements of Small, 2007) nutrient requirements; the animals were weighed and randomly distributed into 4 groups of one animal (lambs or goats). The animals were housed in metabolic cages in a completely randomized design and the experiment was conducted in four  periods  of 15 days (60 days). The treatments were: 1. control: animals were fed the basal diet plus 30ml of destilled water, 2. EZ: lambs were fed the basal  diet  plus  1µl/g/DM intake of Dyadic (International Inc. Jupiter, FL) in 30ml of   </w:t>
      </w:r>
      <w:r>
        <w:rPr>
          <w:spacing w:val="13"/>
        </w:rPr>
        <w:t> </w:t>
      </w:r>
      <w:r>
        <w:rPr/>
        <w:t>destilled water,</w:t>
      </w:r>
    </w:p>
    <w:p>
      <w:pPr>
        <w:pStyle w:val="BodyText"/>
        <w:spacing w:line="367" w:lineRule="auto"/>
        <w:ind w:left="116" w:right="116"/>
        <w:jc w:val="both"/>
      </w:pPr>
      <w:r>
        <w:rPr/>
        <w:t>3. SB: lambs were fed the basal diet plus 30 ml </w:t>
      </w:r>
      <w:r>
        <w:rPr>
          <w:spacing w:val="-3"/>
        </w:rPr>
        <w:t>of </w:t>
      </w:r>
      <w:r>
        <w:rPr>
          <w:i/>
        </w:rPr>
        <w:t>Salix babylonica</w:t>
      </w:r>
      <w:r>
        <w:rPr/>
        <w:t>extract, and 4. EZSB: lambs were fed the basal diet plus 30 ml of exogenous enzyme preparation and 30 ml of S</w:t>
      </w:r>
      <w:r>
        <w:rPr>
          <w:i/>
        </w:rPr>
        <w:t>. babylonica </w:t>
      </w:r>
      <w:r>
        <w:rPr/>
        <w:t>extract. The daily dose of treatments was given orally before the morning feeding. The chemical composition of the basal diets is presented in (Table</w:t>
      </w:r>
      <w:r>
        <w:rPr>
          <w:spacing w:val="23"/>
        </w:rPr>
        <w:t> </w:t>
      </w:r>
      <w:r>
        <w:rPr/>
        <w:t>1).</w:t>
      </w:r>
    </w:p>
    <w:p>
      <w:pPr>
        <w:pStyle w:val="BodyText"/>
        <w:rPr>
          <w:sz w:val="22"/>
        </w:rPr>
      </w:pPr>
    </w:p>
    <w:p>
      <w:pPr>
        <w:pStyle w:val="BodyText"/>
        <w:spacing w:before="152"/>
        <w:ind w:left="116"/>
        <w:jc w:val="both"/>
      </w:pPr>
      <w:r>
        <w:rPr/>
        <w:t>Preparation of extract</w:t>
      </w:r>
    </w:p>
    <w:p>
      <w:pPr>
        <w:pStyle w:val="BodyText"/>
        <w:rPr>
          <w:sz w:val="22"/>
        </w:rPr>
      </w:pPr>
    </w:p>
    <w:p>
      <w:pPr>
        <w:pStyle w:val="BodyText"/>
        <w:spacing w:before="1"/>
        <w:rPr>
          <w:sz w:val="25"/>
        </w:rPr>
      </w:pPr>
    </w:p>
    <w:p>
      <w:pPr>
        <w:pStyle w:val="BodyText"/>
        <w:spacing w:line="364" w:lineRule="auto"/>
        <w:ind w:left="116" w:right="118"/>
        <w:jc w:val="both"/>
      </w:pPr>
      <w:r>
        <w:rPr/>
        <w:t>The S. babylonica extract was prepared as described by Salem et al. 2011(Salem  et al., 2011b). Briefly, fresh leaves of S. babylonica were collected randomly from several young and mature trees (minimum 5 different trees) in autumn and were chopped (1-2 cm) and immediately extracted in the proportion of 1g leaf per 8 ml of solvent mixture. The mixture of solvents contained 10ml methanol (99.8/100, analytical grade, Fermont®, Monterrey, Mexico), 10 ethanol ml (99/100, analytical grade, Fermont®, Monterrey, Mexico) and 80ml distilled water.  Leaves  were  soaked and incubated in solvent in the laboratory at </w:t>
      </w:r>
      <w:r>
        <w:rPr>
          <w:spacing w:val="-8"/>
        </w:rPr>
        <w:t>25-30°C </w:t>
      </w:r>
      <w:r>
        <w:rPr/>
        <w:t>for 48-72 h in closed flasks. After incubation, all flasks were incubated in a water bath at </w:t>
      </w:r>
      <w:r>
        <w:rPr>
          <w:spacing w:val="-13"/>
        </w:rPr>
        <w:t>39°C  </w:t>
      </w:r>
      <w:r>
        <w:rPr/>
        <w:t>for   </w:t>
      </w:r>
      <w:r>
        <w:rPr>
          <w:spacing w:val="16"/>
        </w:rPr>
        <w:t> </w:t>
      </w:r>
      <w:r>
        <w:rPr/>
        <w:t>one h</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67"/>
        <w:jc w:val="both"/>
      </w:pPr>
      <w:r>
        <w:rPr/>
        <w:t>and then immediately filtered and the filtrate collected and stored at 4°C for further use.</w:t>
      </w:r>
    </w:p>
    <w:p>
      <w:pPr>
        <w:pStyle w:val="BodyText"/>
        <w:spacing w:before="5"/>
        <w:ind w:left="115"/>
        <w:jc w:val="both"/>
      </w:pPr>
      <w:r>
        <w:rPr/>
        <w:t>Sampling and measurements</w:t>
      </w:r>
    </w:p>
    <w:p>
      <w:pPr>
        <w:pStyle w:val="BodyText"/>
        <w:rPr>
          <w:sz w:val="22"/>
        </w:rPr>
      </w:pPr>
    </w:p>
    <w:p>
      <w:pPr>
        <w:pStyle w:val="BodyText"/>
        <w:spacing w:before="10"/>
        <w:rPr>
          <w:sz w:val="24"/>
        </w:rPr>
      </w:pPr>
    </w:p>
    <w:p>
      <w:pPr>
        <w:pStyle w:val="BodyText"/>
        <w:spacing w:line="364" w:lineRule="auto"/>
        <w:ind w:left="115" w:right="119"/>
        <w:jc w:val="both"/>
      </w:pPr>
      <w:r>
        <w:rPr/>
        <w:t>Five milliliters of blood samples were collected from eachanimal in plain glass vacutainers or with EDTA (BD tube, Monterrey, Mexico) by jugularvenipuncture on day 15 of each period. The samples collected in glasses with EDTA were maintained to cooling temperature and the collected in plain vacutainers were conserved</w:t>
      </w:r>
      <w:r>
        <w:rPr>
          <w:spacing w:val="31"/>
        </w:rPr>
        <w:t> </w:t>
      </w:r>
      <w:r>
        <w:rPr/>
        <w:t>at</w:t>
      </w:r>
      <w:r>
        <w:rPr>
          <w:spacing w:val="31"/>
        </w:rPr>
        <w:t> </w:t>
      </w:r>
      <w:r>
        <w:rPr/>
        <w:t>room</w:t>
      </w:r>
      <w:r>
        <w:rPr>
          <w:spacing w:val="31"/>
        </w:rPr>
        <w:t> </w:t>
      </w:r>
      <w:r>
        <w:rPr/>
        <w:t>temperature</w:t>
      </w:r>
      <w:r>
        <w:rPr>
          <w:spacing w:val="29"/>
        </w:rPr>
        <w:t> </w:t>
      </w:r>
      <w:r>
        <w:rPr/>
        <w:t>until</w:t>
      </w:r>
      <w:r>
        <w:rPr>
          <w:spacing w:val="30"/>
        </w:rPr>
        <w:t> </w:t>
      </w:r>
      <w:r>
        <w:rPr/>
        <w:t>it</w:t>
      </w:r>
      <w:r>
        <w:rPr>
          <w:spacing w:val="29"/>
        </w:rPr>
        <w:t> </w:t>
      </w:r>
      <w:r>
        <w:rPr/>
        <w:t>processing,</w:t>
      </w:r>
      <w:r>
        <w:rPr>
          <w:spacing w:val="31"/>
        </w:rPr>
        <w:t> </w:t>
      </w:r>
      <w:r>
        <w:rPr/>
        <w:t>after</w:t>
      </w:r>
      <w:r>
        <w:rPr>
          <w:spacing w:val="28"/>
        </w:rPr>
        <w:t> </w:t>
      </w:r>
      <w:r>
        <w:rPr/>
        <w:t>were</w:t>
      </w:r>
      <w:r>
        <w:rPr>
          <w:spacing w:val="26"/>
        </w:rPr>
        <w:t> </w:t>
      </w:r>
      <w:r>
        <w:rPr/>
        <w:t>centrifuged</w:t>
      </w:r>
      <w:r>
        <w:rPr>
          <w:spacing w:val="26"/>
        </w:rPr>
        <w:t> </w:t>
      </w:r>
      <w:r>
        <w:rPr/>
        <w:t>to</w:t>
      </w:r>
      <w:r>
        <w:rPr>
          <w:spacing w:val="31"/>
        </w:rPr>
        <w:t> </w:t>
      </w:r>
      <w:r>
        <w:rPr/>
        <w:t>1500</w:t>
      </w:r>
    </w:p>
    <w:p>
      <w:pPr>
        <w:pStyle w:val="BodyText"/>
        <w:spacing w:line="333" w:lineRule="auto" w:before="5"/>
        <w:ind w:left="115" w:right="122"/>
        <w:jc w:val="both"/>
      </w:pPr>
      <w:r>
        <w:rPr/>
        <w:t>rpm for 10 min and extracted the serum which was stored in eppendorf tubes the 1.5ml to -20</w:t>
      </w:r>
      <w:r>
        <w:rPr>
          <w:position w:val="11"/>
          <w:sz w:val="15"/>
        </w:rPr>
        <w:t>o</w:t>
      </w:r>
      <w:r>
        <w:rPr/>
        <w:t>C according to groups for further biochemical  analysis.</w:t>
      </w:r>
    </w:p>
    <w:p>
      <w:pPr>
        <w:pStyle w:val="BodyText"/>
        <w:spacing w:before="1"/>
        <w:rPr>
          <w:sz w:val="37"/>
        </w:rPr>
      </w:pPr>
    </w:p>
    <w:p>
      <w:pPr>
        <w:pStyle w:val="BodyText"/>
        <w:spacing w:line="364" w:lineRule="auto"/>
        <w:ind w:left="115" w:right="119"/>
        <w:jc w:val="both"/>
      </w:pPr>
      <w:r>
        <w:rPr/>
        <w:t>Samples of diet were also collected during the experimental period and stored at - 20 C for later chemical</w:t>
      </w:r>
      <w:r>
        <w:rPr>
          <w:spacing w:val="31"/>
        </w:rPr>
        <w:t> </w:t>
      </w:r>
      <w:r>
        <w:rPr/>
        <w:t>analysis.</w:t>
      </w:r>
    </w:p>
    <w:p>
      <w:pPr>
        <w:pStyle w:val="BodyText"/>
        <w:rPr>
          <w:sz w:val="22"/>
        </w:rPr>
      </w:pPr>
    </w:p>
    <w:p>
      <w:pPr>
        <w:pStyle w:val="BodyText"/>
        <w:spacing w:line="364" w:lineRule="auto" w:before="155"/>
        <w:ind w:left="115" w:right="119"/>
        <w:jc w:val="both"/>
      </w:pPr>
      <w:r>
        <w:rPr/>
        <w:t>Two samples of the diet and SB extract were collected weekly during the 60 days   of experiment. Each sample of diet or extract were pooled and stored for further analysis.</w:t>
      </w:r>
    </w:p>
    <w:p>
      <w:pPr>
        <w:pStyle w:val="BodyText"/>
        <w:rPr>
          <w:sz w:val="22"/>
        </w:rPr>
      </w:pPr>
    </w:p>
    <w:p>
      <w:pPr>
        <w:pStyle w:val="BodyText"/>
        <w:spacing w:before="153"/>
        <w:ind w:left="115"/>
        <w:jc w:val="both"/>
      </w:pPr>
      <w:r>
        <w:rPr/>
        <w:t>Sample analysis</w:t>
      </w:r>
    </w:p>
    <w:p>
      <w:pPr>
        <w:pStyle w:val="BodyText"/>
        <w:rPr>
          <w:sz w:val="22"/>
        </w:rPr>
      </w:pPr>
    </w:p>
    <w:p>
      <w:pPr>
        <w:pStyle w:val="BodyText"/>
        <w:spacing w:before="1"/>
        <w:rPr>
          <w:sz w:val="25"/>
        </w:rPr>
      </w:pPr>
    </w:p>
    <w:p>
      <w:pPr>
        <w:pStyle w:val="BodyText"/>
        <w:spacing w:line="364" w:lineRule="auto"/>
        <w:ind w:left="115" w:right="117"/>
        <w:jc w:val="both"/>
      </w:pPr>
      <w:r>
        <w:rPr/>
        <w:t>The samples collected in glasses with EDTA were analyzed for red blood cell count (RBC), the differential white cell count: neutrophils, lymphocytes, basophils, eosinophils and monocytes, packed cell volume (PCV), hemoglobin (HMG), mean corpuscular volume (MCV), mean corpuscular hemoglobin concentration (MCHC), white blood cell count (WBC), and plasma protein concentration. Haemoglobin concentration was determined using the  cyanmethaemoglobin  method.  Haematocrit was determined by microhaematocrit technique. Erythrocyte and total leucocytes and differential leucocyte counts were determined using the haemocytometer method. Total plasma proteins were determined using a refractometer</w:t>
      </w:r>
      <w:r>
        <w:rPr>
          <w:spacing w:val="53"/>
        </w:rPr>
        <w:t> </w:t>
      </w:r>
      <w:r>
        <w:rPr/>
        <w:t>(Archer</w:t>
      </w:r>
      <w:r>
        <w:rPr>
          <w:spacing w:val="55"/>
        </w:rPr>
        <w:t> </w:t>
      </w:r>
      <w:r>
        <w:rPr/>
        <w:t>and</w:t>
      </w:r>
      <w:r>
        <w:rPr>
          <w:spacing w:val="51"/>
        </w:rPr>
        <w:t> </w:t>
      </w:r>
      <w:r>
        <w:rPr/>
        <w:t>Jeffcott,</w:t>
      </w:r>
      <w:r>
        <w:rPr>
          <w:spacing w:val="54"/>
        </w:rPr>
        <w:t> </w:t>
      </w:r>
      <w:r>
        <w:rPr/>
        <w:t>1977).</w:t>
      </w:r>
      <w:r>
        <w:rPr>
          <w:spacing w:val="54"/>
        </w:rPr>
        <w:t> </w:t>
      </w:r>
      <w:r>
        <w:rPr/>
        <w:t>Mean</w:t>
      </w:r>
      <w:r>
        <w:rPr>
          <w:spacing w:val="51"/>
        </w:rPr>
        <w:t> </w:t>
      </w:r>
      <w:r>
        <w:rPr/>
        <w:t>corpuscular</w:t>
      </w:r>
      <w:r>
        <w:rPr>
          <w:spacing w:val="53"/>
        </w:rPr>
        <w:t> </w:t>
      </w:r>
      <w:r>
        <w:rPr/>
        <w:t>volume</w:t>
      </w:r>
      <w:r>
        <w:rPr>
          <w:spacing w:val="51"/>
        </w:rPr>
        <w:t> </w:t>
      </w:r>
      <w:r>
        <w:rPr/>
        <w:t>(MCV)</w:t>
      </w:r>
      <w:r>
        <w:rPr>
          <w:spacing w:val="53"/>
        </w:rPr>
        <w:t> </w:t>
      </w:r>
      <w:r>
        <w:rPr/>
        <w:t>and</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20"/>
        <w:jc w:val="both"/>
      </w:pPr>
      <w:r>
        <w:rPr/>
        <w:t>MCHC (Mean Corpuscular Hemoglobin Concentration) were  calculated  to  diagnose any type of anaemia by taking into account the values of erythrocytes, haemoglobin and haematocrit predetermined (Coffin et al., 1959, Smith, </w:t>
      </w:r>
      <w:r>
        <w:rPr>
          <w:spacing w:val="25"/>
        </w:rPr>
        <w:t> </w:t>
      </w:r>
      <w:r>
        <w:rPr/>
        <w:t>2007).</w:t>
      </w:r>
    </w:p>
    <w:p>
      <w:pPr>
        <w:pStyle w:val="BodyText"/>
        <w:rPr>
          <w:sz w:val="20"/>
        </w:rPr>
      </w:pPr>
    </w:p>
    <w:p>
      <w:pPr>
        <w:pStyle w:val="BodyText"/>
        <w:spacing w:before="1"/>
        <w:rPr>
          <w:sz w:val="24"/>
        </w:rPr>
      </w:pPr>
    </w:p>
    <w:p>
      <w:pPr>
        <w:spacing w:after="0"/>
        <w:rPr>
          <w:sz w:val="24"/>
        </w:rPr>
        <w:sectPr>
          <w:footerReference w:type="default" r:id="rId216"/>
          <w:pgSz w:w="11900" w:h="16840"/>
          <w:pgMar w:footer="1679" w:header="0" w:top="1600" w:bottom="1860" w:left="1540" w:right="1520"/>
          <w:pgNumType w:start="90"/>
        </w:sectPr>
      </w:pPr>
    </w:p>
    <w:p>
      <w:pPr>
        <w:pStyle w:val="BodyText"/>
        <w:spacing w:before="9"/>
        <w:rPr>
          <w:sz w:val="20"/>
        </w:rPr>
      </w:pPr>
    </w:p>
    <w:p>
      <w:pPr>
        <w:pStyle w:val="BodyText"/>
        <w:jc w:val="right"/>
        <w:rPr>
          <w:rFonts w:ascii="Cambria Math"/>
        </w:rPr>
      </w:pPr>
      <w:r>
        <w:rPr/>
        <w:pict>
          <v:line style="position:absolute;mso-position-horizontal-relative:page;mso-position-vertical-relative:paragraph;z-index:-135136" from="267.720001pt,7.626626pt" to="367.799999pt,7.626626pt" stroked="true" strokeweight=".84pt" strokecolor="#000000">
            <w10:wrap type="none"/>
          </v:line>
        </w:pict>
      </w:r>
      <w:r>
        <w:rPr>
          <w:rFonts w:ascii="Cambria Math"/>
          <w:w w:val="105"/>
        </w:rPr>
        <w:t>MCV =</w:t>
      </w:r>
    </w:p>
    <w:p>
      <w:pPr>
        <w:pStyle w:val="BodyText"/>
        <w:spacing w:line="297" w:lineRule="auto" w:before="64"/>
        <w:ind w:left="116" w:right="1875" w:hanging="94"/>
        <w:rPr>
          <w:rFonts w:ascii="Cambria Math" w:hAnsi="Cambria Math"/>
        </w:rPr>
      </w:pPr>
      <w:r>
        <w:rPr/>
        <w:br w:type="column"/>
      </w:r>
      <w:r>
        <w:rPr>
          <w:rFonts w:ascii="Cambria Math" w:hAnsi="Cambria Math"/>
          <w:w w:val="110"/>
        </w:rPr>
        <w:t>Hematocrit% × 10 Erytrocyte count</w:t>
      </w:r>
    </w:p>
    <w:p>
      <w:pPr>
        <w:spacing w:after="0" w:line="297" w:lineRule="auto"/>
        <w:rPr>
          <w:rFonts w:ascii="Cambria Math" w:hAnsi="Cambria Math"/>
        </w:rPr>
        <w:sectPr>
          <w:type w:val="continuous"/>
          <w:pgSz w:w="11900" w:h="16840"/>
          <w:pgMar w:top="1600" w:bottom="1860" w:left="1540" w:right="1520"/>
          <w:cols w:num="2" w:equalWidth="0">
            <w:col w:w="3752" w:space="40"/>
            <w:col w:w="5048"/>
          </w:cols>
        </w:sectPr>
      </w:pPr>
    </w:p>
    <w:p>
      <w:pPr>
        <w:pStyle w:val="BodyText"/>
        <w:spacing w:before="2"/>
        <w:rPr>
          <w:rFonts w:ascii="Cambria Math"/>
          <w:sz w:val="16"/>
        </w:rPr>
      </w:pPr>
    </w:p>
    <w:p>
      <w:pPr>
        <w:spacing w:after="0"/>
        <w:rPr>
          <w:rFonts w:ascii="Cambria Math"/>
          <w:sz w:val="16"/>
        </w:rPr>
        <w:sectPr>
          <w:type w:val="continuous"/>
          <w:pgSz w:w="11900" w:h="16840"/>
          <w:pgMar w:top="1600" w:bottom="1860" w:left="1540" w:right="1520"/>
        </w:sectPr>
      </w:pPr>
    </w:p>
    <w:p>
      <w:pPr>
        <w:pStyle w:val="BodyText"/>
        <w:spacing w:before="7"/>
        <w:rPr>
          <w:rFonts w:ascii="Cambria Math"/>
          <w:sz w:val="20"/>
        </w:rPr>
      </w:pPr>
    </w:p>
    <w:p>
      <w:pPr>
        <w:pStyle w:val="BodyText"/>
        <w:jc w:val="right"/>
        <w:rPr>
          <w:rFonts w:ascii="Cambria Math"/>
        </w:rPr>
      </w:pPr>
      <w:r>
        <w:rPr/>
        <w:pict>
          <v:line style="position:absolute;mso-position-horizontal-relative:page;mso-position-vertical-relative:paragraph;z-index:-135112" from="258.959991pt,7.626654pt" to="384.959989pt,7.626654pt" stroked="true" strokeweight=".84pt" strokecolor="#000000">
            <w10:wrap type="none"/>
          </v:line>
        </w:pict>
      </w:r>
      <w:r>
        <w:rPr>
          <w:rFonts w:ascii="Cambria Math"/>
          <w:w w:val="105"/>
        </w:rPr>
        <w:t>MCHC =</w:t>
      </w:r>
    </w:p>
    <w:p>
      <w:pPr>
        <w:pStyle w:val="BodyText"/>
        <w:spacing w:line="297" w:lineRule="auto" w:before="64"/>
        <w:ind w:left="575" w:right="1344" w:hanging="550"/>
        <w:rPr>
          <w:rFonts w:ascii="Cambria Math" w:hAnsi="Cambria Math"/>
        </w:rPr>
      </w:pPr>
      <w:r>
        <w:rPr/>
        <w:br w:type="column"/>
      </w:r>
      <w:r>
        <w:rPr>
          <w:rFonts w:ascii="Cambria Math" w:hAnsi="Cambria Math"/>
          <w:w w:val="105"/>
        </w:rPr>
        <w:t>Hemoglobin g/dL × 100 Hematocrit%</w:t>
      </w:r>
    </w:p>
    <w:p>
      <w:pPr>
        <w:spacing w:after="0" w:line="297" w:lineRule="auto"/>
        <w:rPr>
          <w:rFonts w:ascii="Cambria Math" w:hAnsi="Cambria Math"/>
        </w:rPr>
        <w:sectPr>
          <w:type w:val="continuous"/>
          <w:pgSz w:w="11900" w:h="16840"/>
          <w:pgMar w:top="1600" w:bottom="1860" w:left="1540" w:right="1520"/>
          <w:cols w:num="2" w:equalWidth="0">
            <w:col w:w="3574" w:space="40"/>
            <w:col w:w="5226"/>
          </w:cols>
        </w:sectPr>
      </w:pPr>
    </w:p>
    <w:p>
      <w:pPr>
        <w:pStyle w:val="BodyText"/>
        <w:spacing w:before="4"/>
        <w:rPr>
          <w:rFonts w:ascii="Cambria Math"/>
          <w:sz w:val="14"/>
        </w:rPr>
      </w:pPr>
    </w:p>
    <w:p>
      <w:pPr>
        <w:pStyle w:val="BodyText"/>
        <w:spacing w:before="74"/>
        <w:ind w:left="115"/>
        <w:jc w:val="both"/>
      </w:pPr>
      <w:r>
        <w:rPr/>
        <w:t>(Smith, 2007)</w:t>
      </w:r>
    </w:p>
    <w:p>
      <w:pPr>
        <w:pStyle w:val="BodyText"/>
        <w:rPr>
          <w:sz w:val="22"/>
        </w:rPr>
      </w:pPr>
    </w:p>
    <w:p>
      <w:pPr>
        <w:pStyle w:val="BodyText"/>
        <w:spacing w:before="1"/>
        <w:rPr>
          <w:sz w:val="25"/>
        </w:rPr>
      </w:pPr>
    </w:p>
    <w:p>
      <w:pPr>
        <w:pStyle w:val="BodyText"/>
        <w:spacing w:line="364" w:lineRule="auto"/>
        <w:ind w:left="115" w:right="121"/>
        <w:jc w:val="both"/>
      </w:pPr>
      <w:r>
        <w:rPr/>
        <w:t>The serum samples were analysed for total protein, glucose, creatinine, urea, alanine aminotransferase or glutamic pyruvate transaminase  (ALT/  GPT),  aspartate aminotransferase or glutamic oxalacetic transaminase (AST / GOT), calcium, phosphorus and</w:t>
      </w:r>
      <w:r>
        <w:rPr>
          <w:spacing w:val="46"/>
        </w:rPr>
        <w:t> </w:t>
      </w:r>
      <w:r>
        <w:rPr/>
        <w:t>magnesium.</w:t>
      </w:r>
    </w:p>
    <w:p>
      <w:pPr>
        <w:pStyle w:val="BodyText"/>
        <w:rPr>
          <w:sz w:val="22"/>
        </w:rPr>
      </w:pPr>
    </w:p>
    <w:p>
      <w:pPr>
        <w:pStyle w:val="BodyText"/>
        <w:spacing w:line="364" w:lineRule="auto" w:before="155"/>
        <w:ind w:left="115" w:right="117"/>
        <w:jc w:val="both"/>
      </w:pPr>
      <w:r>
        <w:rPr/>
        <w:t>All metabolites were determined using IL test´s Total protein (Cat. 0018481300), Glucose (Cat. 0018480000), Creatinine (Cat. 0018480900), Urea (Cat. 0018480400),  ALT  (Cat.  0018480700),  AST  (Cat.  0018480800),  Calcium  </w:t>
      </w:r>
      <w:r>
        <w:rPr>
          <w:spacing w:val="33"/>
        </w:rPr>
        <w:t> </w:t>
      </w:r>
      <w:r>
        <w:rPr/>
        <w:t>(Cat.</w:t>
      </w:r>
    </w:p>
    <w:p>
      <w:pPr>
        <w:pStyle w:val="BodyText"/>
        <w:spacing w:line="364" w:lineRule="auto" w:before="7"/>
        <w:ind w:left="115" w:right="119"/>
        <w:jc w:val="both"/>
      </w:pPr>
      <w:r>
        <w:rPr/>
        <w:t>0018258840), Phosphorus (Cat. 0018481900) and Magnesium (Cat. 0018481600) this analysis was made with spectrophotometry analysis using a BTS  350  Chemistry System analyser (Instrumentation Laboratory, </w:t>
      </w:r>
      <w:r>
        <w:rPr>
          <w:spacing w:val="8"/>
        </w:rPr>
        <w:t> </w:t>
      </w:r>
      <w:r>
        <w:rPr/>
        <w:t>Mexico).</w:t>
      </w:r>
    </w:p>
    <w:p>
      <w:pPr>
        <w:pStyle w:val="BodyText"/>
        <w:rPr>
          <w:sz w:val="22"/>
        </w:rPr>
      </w:pPr>
    </w:p>
    <w:p>
      <w:pPr>
        <w:pStyle w:val="BodyText"/>
        <w:spacing w:line="364" w:lineRule="auto" w:before="153"/>
        <w:ind w:left="115" w:right="117"/>
        <w:jc w:val="both"/>
      </w:pPr>
      <w:r>
        <w:rPr/>
        <w:t>Samples of dietwere analysed for DM, ash, nitrogen (N), according  to  AOAC  (1997) (AOAC, 1997). The neutral detergent fibre (NDF) (Van Soest et al., 1991), acid detergent fibre (ADF) and lignin (AOAC, 1997) were analysed using an  ANKOM 200 Fibre Analyser Unit (ANKOM Technology Corporation, Macedon, NY, USA). The NDF was assayed without use of α-amylase but with sodium sulphite in the NDF. Both NDF and ADF are expressed without residual </w:t>
      </w:r>
      <w:r>
        <w:rPr>
          <w:spacing w:val="13"/>
        </w:rPr>
        <w:t> </w:t>
      </w:r>
      <w:r>
        <w:rPr/>
        <w:t>ash.</w:t>
      </w:r>
    </w:p>
    <w:p>
      <w:pPr>
        <w:spacing w:after="0" w:line="364" w:lineRule="auto"/>
        <w:jc w:val="both"/>
        <w:sectPr>
          <w:type w:val="continuous"/>
          <w:pgSz w:w="11900" w:h="16840"/>
          <w:pgMar w:top="1600" w:bottom="1860" w:left="1540" w:right="1520"/>
        </w:sectPr>
      </w:pPr>
    </w:p>
    <w:p>
      <w:pPr>
        <w:pStyle w:val="BodyText"/>
        <w:rPr>
          <w:sz w:val="20"/>
        </w:rPr>
      </w:pPr>
    </w:p>
    <w:p>
      <w:pPr>
        <w:pStyle w:val="BodyText"/>
        <w:spacing w:before="7"/>
        <w:rPr>
          <w:sz w:val="16"/>
        </w:rPr>
      </w:pPr>
    </w:p>
    <w:p>
      <w:pPr>
        <w:pStyle w:val="BodyText"/>
        <w:spacing w:line="355" w:lineRule="auto" w:before="74"/>
        <w:ind w:left="115" w:right="116"/>
        <w:jc w:val="both"/>
      </w:pPr>
      <w:r>
        <w:rPr/>
        <w:t>Plant secondary metabolites were determined using 10ml of extract liquor and fractionated by funnel separation with a double volume of ethyl acetate (99.7/100, analytical grade, Fermont</w:t>
      </w:r>
      <w:r>
        <w:rPr>
          <w:position w:val="11"/>
          <w:sz w:val="15"/>
        </w:rPr>
        <w:t>®</w:t>
      </w:r>
      <w:r>
        <w:rPr/>
        <w:t>, Monterrey, Mexico) to determine total phenolics by drying and to quantify the total phenolics layer in the funnel. After total phenolics separation, a double volume of n-butanol (99.9/100, analytical grade, Fermont</w:t>
      </w:r>
      <w:r>
        <w:rPr>
          <w:position w:val="11"/>
          <w:sz w:val="15"/>
        </w:rPr>
        <w:t>®</w:t>
      </w:r>
      <w:r>
        <w:rPr/>
        <w:t>, Monterrey, Mexico) was added to fractionate saponins (Ahmed et al., 1990). The remaining solution  was considered to  be the aqueous  fraction  which  contains the</w:t>
      </w:r>
    </w:p>
    <w:p>
      <w:pPr>
        <w:pStyle w:val="BodyText"/>
        <w:spacing w:line="364" w:lineRule="auto" w:before="17"/>
        <w:ind w:left="116" w:right="119"/>
        <w:jc w:val="both"/>
      </w:pPr>
      <w:r>
        <w:rPr/>
        <w:t>other secondary metabolites lectins, polypeptides and starch (Cowan, 1999) (Table 1).</w:t>
      </w:r>
    </w:p>
    <w:p>
      <w:pPr>
        <w:pStyle w:val="BodyText"/>
        <w:rPr>
          <w:sz w:val="22"/>
        </w:rPr>
      </w:pPr>
    </w:p>
    <w:p>
      <w:pPr>
        <w:pStyle w:val="BodyText"/>
        <w:spacing w:before="155"/>
        <w:ind w:left="116"/>
        <w:jc w:val="both"/>
      </w:pPr>
      <w:r>
        <w:rPr/>
        <w:t>Statistical analyses</w:t>
      </w:r>
    </w:p>
    <w:p>
      <w:pPr>
        <w:pStyle w:val="BodyText"/>
        <w:rPr>
          <w:sz w:val="22"/>
        </w:rPr>
      </w:pPr>
    </w:p>
    <w:p>
      <w:pPr>
        <w:pStyle w:val="BodyText"/>
        <w:spacing w:before="1"/>
        <w:rPr>
          <w:sz w:val="25"/>
        </w:rPr>
      </w:pPr>
    </w:p>
    <w:p>
      <w:pPr>
        <w:pStyle w:val="BodyText"/>
        <w:spacing w:line="364" w:lineRule="auto"/>
        <w:ind w:left="116" w:right="119"/>
        <w:jc w:val="both"/>
      </w:pPr>
      <w:r>
        <w:rPr/>
        <w:t>Data were analyzed using the PROC GLM procedure of SAS (2002) with Latin square design (four animals, four treatments and four periods) (Littell et al., 1998). Results reported in tables and in text  with their corresponding standard errors  of  the mean (SAS, 2002). The significant differences between treatment means, were determined with a value to significance of P&lt;0.05 with </w:t>
      </w:r>
      <w:r>
        <w:rPr>
          <w:spacing w:val="2"/>
        </w:rPr>
        <w:t> </w:t>
      </w:r>
      <w:r>
        <w:rPr/>
        <w:t>Tukey.</w:t>
      </w:r>
    </w:p>
    <w:p>
      <w:pPr>
        <w:pStyle w:val="BodyText"/>
        <w:rPr>
          <w:sz w:val="22"/>
        </w:rPr>
      </w:pPr>
    </w:p>
    <w:p>
      <w:pPr>
        <w:pStyle w:val="Heading1"/>
        <w:spacing w:before="153"/>
        <w:ind w:left="116"/>
      </w:pPr>
      <w:r>
        <w:rPr/>
        <w:t>RESULTS</w:t>
      </w:r>
    </w:p>
    <w:p>
      <w:pPr>
        <w:pStyle w:val="BodyText"/>
        <w:rPr>
          <w:b/>
          <w:sz w:val="22"/>
        </w:rPr>
      </w:pPr>
    </w:p>
    <w:p>
      <w:pPr>
        <w:pStyle w:val="BodyText"/>
        <w:spacing w:before="3"/>
        <w:rPr>
          <w:b/>
          <w:sz w:val="25"/>
        </w:rPr>
      </w:pPr>
    </w:p>
    <w:p>
      <w:pPr>
        <w:pStyle w:val="BodyText"/>
        <w:spacing w:line="364" w:lineRule="auto" w:before="1"/>
        <w:ind w:left="116" w:right="117"/>
        <w:jc w:val="both"/>
      </w:pPr>
      <w:r>
        <w:rPr/>
        <w:t>In the case of lambs the treatments CX, EZ, SB and EZSB didn’t produced differences in RBC, HMG, MCV, MCHC, WBC, SGN, LYM, BAS, EOS, but in HMT there are significant differences (P = 0.0259), the groups SB and EZSB had the highest values compared with CX and EZ. For serological parameters  no there were significant statistical differences in all parameters measured (Table </w:t>
      </w:r>
      <w:r>
        <w:rPr>
          <w:spacing w:val="16"/>
        </w:rPr>
        <w:t> </w:t>
      </w:r>
      <w:r>
        <w:rPr/>
        <w:t>2).</w:t>
      </w:r>
    </w:p>
    <w:p>
      <w:pPr>
        <w:pStyle w:val="BodyText"/>
        <w:rPr>
          <w:sz w:val="22"/>
        </w:rPr>
      </w:pPr>
    </w:p>
    <w:p>
      <w:pPr>
        <w:pStyle w:val="BodyText"/>
        <w:spacing w:line="364" w:lineRule="auto" w:before="155"/>
        <w:ind w:left="116" w:right="120"/>
        <w:jc w:val="both"/>
      </w:pPr>
      <w:r>
        <w:rPr/>
        <w:t>For goats the results were similar but in this case there were statistical differences   in eosinophils (P = 0.01901) the highest values were observed in CX and EZ compared with the others two treatments. In the serological analysis there were significant statistical differences only in Glucose (P = 0.0334) obtaining the lowest values  of  this  parameter  in  the  groups  EZSB  compared  with  the  others </w:t>
      </w:r>
      <w:r>
        <w:rPr>
          <w:spacing w:val="54"/>
        </w:rPr>
        <w:t> </w:t>
      </w:r>
      <w:r>
        <w:rPr/>
        <w:t>three</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22"/>
        <w:jc w:val="both"/>
      </w:pPr>
      <w:r>
        <w:rPr/>
        <w:t>groups, for the rest of parameters no there were statistical differences between the four treatments (Table 3).</w:t>
      </w:r>
    </w:p>
    <w:p>
      <w:pPr>
        <w:pStyle w:val="BodyText"/>
        <w:rPr>
          <w:sz w:val="22"/>
        </w:rPr>
      </w:pPr>
    </w:p>
    <w:p>
      <w:pPr>
        <w:pStyle w:val="BodyText"/>
        <w:spacing w:line="364" w:lineRule="auto" w:before="155"/>
        <w:ind w:left="115" w:right="117"/>
        <w:jc w:val="both"/>
      </w:pPr>
      <w:r>
        <w:rPr/>
        <w:t>In this experiment observed that both lambs and goats were a similar behavior in  the parameters measured and the animals never showed sign of disease (Table 2 and</w:t>
      </w:r>
      <w:r>
        <w:rPr>
          <w:spacing w:val="5"/>
        </w:rPr>
        <w:t> </w:t>
      </w:r>
      <w:r>
        <w:rPr/>
        <w:t>3)</w:t>
      </w:r>
    </w:p>
    <w:p>
      <w:pPr>
        <w:pStyle w:val="BodyText"/>
        <w:rPr>
          <w:sz w:val="22"/>
        </w:rPr>
      </w:pPr>
    </w:p>
    <w:p>
      <w:pPr>
        <w:pStyle w:val="Heading1"/>
        <w:spacing w:before="153"/>
      </w:pPr>
      <w:r>
        <w:rPr/>
        <w:t>DISCUSSION</w:t>
      </w:r>
    </w:p>
    <w:p>
      <w:pPr>
        <w:pStyle w:val="BodyText"/>
        <w:rPr>
          <w:b/>
          <w:sz w:val="22"/>
        </w:rPr>
      </w:pPr>
    </w:p>
    <w:p>
      <w:pPr>
        <w:pStyle w:val="BodyText"/>
        <w:spacing w:before="10"/>
        <w:rPr>
          <w:b/>
          <w:sz w:val="24"/>
        </w:rPr>
      </w:pPr>
    </w:p>
    <w:p>
      <w:pPr>
        <w:pStyle w:val="BodyText"/>
        <w:spacing w:line="367" w:lineRule="auto"/>
        <w:ind w:left="116" w:right="120"/>
        <w:jc w:val="both"/>
      </w:pPr>
      <w:r>
        <w:rPr/>
        <w:t>The objective of this experiment was analyze the effect </w:t>
      </w:r>
      <w:r>
        <w:rPr>
          <w:spacing w:val="-3"/>
        </w:rPr>
        <w:t>of </w:t>
      </w:r>
      <w:r>
        <w:rPr>
          <w:i/>
        </w:rPr>
        <w:t>Salix babylonica </w:t>
      </w:r>
      <w:r>
        <w:rPr/>
        <w:t>extract, exogenous enzyme and their combination on haematological and serum  biochemical blood parameters in growing lambs and goats, the results suggest that treatments didn’t produced negative effects on parameter measured as  an  indicators for animal</w:t>
      </w:r>
      <w:r>
        <w:rPr>
          <w:spacing w:val="25"/>
        </w:rPr>
        <w:t> </w:t>
      </w:r>
      <w:r>
        <w:rPr/>
        <w:t>health.</w:t>
      </w:r>
    </w:p>
    <w:p>
      <w:pPr>
        <w:pStyle w:val="BodyText"/>
        <w:rPr>
          <w:sz w:val="22"/>
        </w:rPr>
      </w:pPr>
    </w:p>
    <w:p>
      <w:pPr>
        <w:pStyle w:val="BodyText"/>
        <w:spacing w:line="364" w:lineRule="auto" w:before="152"/>
        <w:ind w:left="116" w:right="117"/>
        <w:jc w:val="both"/>
      </w:pPr>
      <w:r>
        <w:rPr/>
        <w:t>For lambs the values to PCV were modified by treatment observed the highest values in SB and EZSB compared with the others two groups, this parameter is a rapid screening technique for seeking anemia and is used as indicator to animal hydration. The anemia its cause by blood loss, inadequate erythrocyte production and increased erythrocyte destruction or haemolysis (Archer and Jeffcott, 1977, Smith, 2007).</w:t>
      </w:r>
    </w:p>
    <w:p>
      <w:pPr>
        <w:pStyle w:val="BodyText"/>
        <w:rPr>
          <w:sz w:val="22"/>
        </w:rPr>
      </w:pPr>
    </w:p>
    <w:p>
      <w:pPr>
        <w:pStyle w:val="BodyText"/>
        <w:spacing w:line="364" w:lineRule="auto" w:before="155"/>
        <w:ind w:left="116" w:right="117"/>
        <w:jc w:val="both"/>
      </w:pPr>
      <w:r>
        <w:rPr/>
        <w:t>In the present study the modified in the values to PCV by treatments are not considered as indicator to anemia or dehydration because this values were within references values for sheep’s (0.27 – 0.45 L/L) (Archer and Jeffcott, 1977, Smith, 2007).</w:t>
      </w:r>
    </w:p>
    <w:p>
      <w:pPr>
        <w:pStyle w:val="BodyText"/>
        <w:rPr>
          <w:sz w:val="22"/>
        </w:rPr>
      </w:pPr>
    </w:p>
    <w:p>
      <w:pPr>
        <w:pStyle w:val="BodyText"/>
        <w:spacing w:line="364" w:lineRule="auto" w:before="155"/>
        <w:ind w:left="116" w:right="117"/>
        <w:jc w:val="both"/>
      </w:pPr>
      <w:r>
        <w:rPr/>
        <w:t>Mahgoub et al 2008 reported dicrease in PCV in sheep after to fed with no - conventional feeds containing phenols and condensed tannins (Mahgoub et al., 2008a) but this dicrease were within normal range for sheep healthy and can’t be</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18"/>
        <w:jc w:val="both"/>
      </w:pPr>
      <w:r>
        <w:rPr/>
        <w:t>considered as an indicator of injury or disease (Smith, 2007). In contrast to this  study in our study we didn’t observed decease in lymphocytes and </w:t>
      </w:r>
      <w:r>
        <w:rPr>
          <w:spacing w:val="28"/>
        </w:rPr>
        <w:t> </w:t>
      </w:r>
      <w:r>
        <w:rPr/>
        <w:t>eosinophils.</w:t>
      </w:r>
    </w:p>
    <w:p>
      <w:pPr>
        <w:pStyle w:val="BodyText"/>
        <w:spacing w:line="364" w:lineRule="auto" w:before="5"/>
        <w:ind w:left="115" w:right="117"/>
        <w:jc w:val="both"/>
      </w:pPr>
      <w:r>
        <w:rPr/>
        <w:t>Parallel results were obtained by Olafadeha (2011) who reported low PCV in goats fed with tannins- rich forage, but equal to our study RBC were in range and reject </w:t>
      </w:r>
      <w:r>
        <w:rPr>
          <w:color w:val="221E1F"/>
        </w:rPr>
        <w:t>haemolytic anaemia and depression of erythrogenesis </w:t>
      </w:r>
      <w:r>
        <w:rPr/>
        <w:t>(Olafadehan,  2011).</w:t>
      </w:r>
    </w:p>
    <w:p>
      <w:pPr>
        <w:pStyle w:val="BodyText"/>
        <w:rPr>
          <w:sz w:val="22"/>
        </w:rPr>
      </w:pPr>
    </w:p>
    <w:p>
      <w:pPr>
        <w:pStyle w:val="BodyText"/>
        <w:spacing w:line="364" w:lineRule="auto" w:before="155"/>
        <w:ind w:left="116" w:right="117"/>
        <w:jc w:val="both"/>
      </w:pPr>
      <w:r>
        <w:rPr/>
        <w:t>HMG MCV and MCHC were in normal range </w:t>
      </w:r>
      <w:r>
        <w:rPr>
          <w:color w:val="221E1F"/>
        </w:rPr>
        <w:t>suggesting theabsence of microcytic hypochromic anaemia occasioned by iron deficiency and improperutilization for the formation of  Hb, the values  of  blood indices  (MCV=28 - 40 fL and MCHC=310    –</w:t>
      </w:r>
    </w:p>
    <w:p>
      <w:pPr>
        <w:pStyle w:val="BodyText"/>
        <w:spacing w:line="364" w:lineRule="auto" w:before="5"/>
        <w:ind w:left="116" w:right="122"/>
        <w:jc w:val="both"/>
      </w:pPr>
      <w:r>
        <w:rPr>
          <w:color w:val="221E1F"/>
        </w:rPr>
        <w:t>340 g/L) confirm that the animals were no anemic (Smith,  2007,  Olafadehan,  2011).</w:t>
      </w:r>
    </w:p>
    <w:p>
      <w:pPr>
        <w:pStyle w:val="BodyText"/>
        <w:rPr>
          <w:sz w:val="22"/>
        </w:rPr>
      </w:pPr>
    </w:p>
    <w:p>
      <w:pPr>
        <w:pStyle w:val="BodyText"/>
        <w:spacing w:line="364" w:lineRule="auto" w:before="155"/>
        <w:ind w:left="115" w:right="117"/>
        <w:jc w:val="both"/>
      </w:pPr>
      <w:r>
        <w:rPr/>
        <w:t>Phosphorus and magnesium levels were increased as this increase were in all treatments include CX group we conclude that it can be due to supra- nutritional levels because its levels in serum are influenced for food supply (Turner et al.,  2005, Smith, 2007). In 2008 Mahgoub et al observed the same increase in both minerals but these are not  explained (Mahgoub et al., </w:t>
      </w:r>
      <w:r>
        <w:rPr>
          <w:spacing w:val="11"/>
        </w:rPr>
        <w:t> </w:t>
      </w:r>
      <w:r>
        <w:rPr/>
        <w:t>2008a).</w:t>
      </w:r>
    </w:p>
    <w:p>
      <w:pPr>
        <w:pStyle w:val="BodyText"/>
        <w:rPr>
          <w:sz w:val="22"/>
        </w:rPr>
      </w:pPr>
    </w:p>
    <w:p>
      <w:pPr>
        <w:pStyle w:val="BodyText"/>
        <w:spacing w:line="364" w:lineRule="auto" w:before="155"/>
        <w:ind w:left="115" w:right="117"/>
        <w:jc w:val="both"/>
      </w:pPr>
      <w:r>
        <w:rPr/>
        <w:t>In the case on goats there were statistical differences for eosinophils in the hematology analysis and glucose in serum biochemical analysis. Eosinophils are produced in bone marrow and are more important in regulating inflammatory an allergic reactions   but principally controlling parasitic infection (Smith,  2007).</w:t>
      </w:r>
    </w:p>
    <w:p>
      <w:pPr>
        <w:pStyle w:val="BodyText"/>
        <w:rPr>
          <w:sz w:val="22"/>
        </w:rPr>
      </w:pPr>
    </w:p>
    <w:p>
      <w:pPr>
        <w:pStyle w:val="BodyText"/>
        <w:spacing w:line="355" w:lineRule="auto" w:before="155"/>
        <w:ind w:left="115" w:right="118"/>
        <w:jc w:val="both"/>
      </w:pPr>
      <w:r>
        <w:rPr/>
        <w:t>The present study the levels of eosinophils were in normal range (0.05 – 0.65 x 10</w:t>
      </w:r>
      <w:r>
        <w:rPr>
          <w:position w:val="11"/>
          <w:sz w:val="15"/>
        </w:rPr>
        <w:t>9</w:t>
      </w:r>
      <w:r>
        <w:rPr/>
        <w:t>/L) (Archer and Jeffcott, 1977, Smith, 2007) in the four treatments. Moreover    this study demonstrate that the use to feed additives as EZ and SB in animal nutrition</w:t>
      </w:r>
      <w:r>
        <w:rPr>
          <w:spacing w:val="26"/>
        </w:rPr>
        <w:t> </w:t>
      </w:r>
      <w:r>
        <w:rPr/>
        <w:t>have</w:t>
      </w:r>
      <w:r>
        <w:rPr>
          <w:spacing w:val="26"/>
        </w:rPr>
        <w:t> </w:t>
      </w:r>
      <w:r>
        <w:rPr/>
        <w:t>positive</w:t>
      </w:r>
      <w:r>
        <w:rPr>
          <w:spacing w:val="24"/>
        </w:rPr>
        <w:t> </w:t>
      </w:r>
      <w:r>
        <w:rPr/>
        <w:t>effects</w:t>
      </w:r>
      <w:r>
        <w:rPr>
          <w:spacing w:val="27"/>
        </w:rPr>
        <w:t> </w:t>
      </w:r>
      <w:r>
        <w:rPr/>
        <w:t>on</w:t>
      </w:r>
      <w:r>
        <w:rPr>
          <w:spacing w:val="24"/>
        </w:rPr>
        <w:t> </w:t>
      </w:r>
      <w:r>
        <w:rPr/>
        <w:t>levels</w:t>
      </w:r>
      <w:r>
        <w:rPr>
          <w:spacing w:val="25"/>
        </w:rPr>
        <w:t> </w:t>
      </w:r>
      <w:r>
        <w:rPr/>
        <w:t>to</w:t>
      </w:r>
      <w:r>
        <w:rPr>
          <w:spacing w:val="24"/>
        </w:rPr>
        <w:t> </w:t>
      </w:r>
      <w:r>
        <w:rPr/>
        <w:t>eosinophils</w:t>
      </w:r>
      <w:r>
        <w:rPr>
          <w:spacing w:val="25"/>
        </w:rPr>
        <w:t> </w:t>
      </w:r>
      <w:r>
        <w:rPr/>
        <w:t>in</w:t>
      </w:r>
      <w:r>
        <w:rPr>
          <w:spacing w:val="26"/>
        </w:rPr>
        <w:t> </w:t>
      </w:r>
      <w:r>
        <w:rPr/>
        <w:t>blood</w:t>
      </w:r>
      <w:r>
        <w:rPr>
          <w:spacing w:val="26"/>
        </w:rPr>
        <w:t> </w:t>
      </w:r>
      <w:r>
        <w:rPr/>
        <w:t>because</w:t>
      </w:r>
      <w:r>
        <w:rPr>
          <w:spacing w:val="24"/>
        </w:rPr>
        <w:t> </w:t>
      </w:r>
      <w:r>
        <w:rPr/>
        <w:t>the</w:t>
      </w:r>
      <w:r>
        <w:rPr>
          <w:spacing w:val="26"/>
        </w:rPr>
        <w:t> </w:t>
      </w:r>
      <w:r>
        <w:rPr/>
        <w:t>levels</w:t>
      </w:r>
    </w:p>
    <w:p>
      <w:pPr>
        <w:pStyle w:val="BodyText"/>
        <w:spacing w:line="364" w:lineRule="auto" w:before="17"/>
        <w:ind w:left="116" w:right="119"/>
        <w:jc w:val="both"/>
      </w:pPr>
      <w:r>
        <w:rPr/>
        <w:t>of this parameter were lower in CX group in contrast to the other three groups that consuming EZ or SB. The enzyme by indirect effect and the </w:t>
      </w:r>
      <w:r>
        <w:rPr>
          <w:i/>
        </w:rPr>
        <w:t>S.  extract</w:t>
      </w:r>
      <w:r>
        <w:rPr/>
        <w:t>by the  content to secondary metabolites as saponins and tannins (Nayak, 2010, Owusu- Asiedu et al., 2010) (Harikrishnan et al., 2011, Lu,</w:t>
      </w:r>
      <w:r>
        <w:rPr>
          <w:spacing w:val="60"/>
        </w:rPr>
        <w:t> </w:t>
      </w:r>
      <w:r>
        <w:rPr/>
        <w:t>2011).</w:t>
      </w:r>
    </w:p>
    <w:p>
      <w:pPr>
        <w:spacing w:after="0" w:line="364" w:lineRule="auto"/>
        <w:jc w:val="both"/>
        <w:sectPr>
          <w:pgSz w:w="11900" w:h="16840"/>
          <w:pgMar w:header="0" w:footer="1679" w:top="1600" w:bottom="1860" w:left="1540" w:right="1520"/>
        </w:sectPr>
      </w:pPr>
    </w:p>
    <w:p>
      <w:pPr>
        <w:pStyle w:val="BodyText"/>
        <w:rPr>
          <w:sz w:val="20"/>
        </w:rPr>
      </w:pPr>
    </w:p>
    <w:p>
      <w:pPr>
        <w:pStyle w:val="BodyText"/>
        <w:rPr>
          <w:sz w:val="20"/>
        </w:rPr>
      </w:pPr>
    </w:p>
    <w:p>
      <w:pPr>
        <w:pStyle w:val="BodyText"/>
        <w:rPr>
          <w:sz w:val="20"/>
        </w:rPr>
      </w:pPr>
    </w:p>
    <w:p>
      <w:pPr>
        <w:pStyle w:val="BodyText"/>
        <w:spacing w:before="1"/>
        <w:rPr>
          <w:sz w:val="18"/>
        </w:rPr>
      </w:pPr>
    </w:p>
    <w:p>
      <w:pPr>
        <w:pStyle w:val="BodyText"/>
        <w:spacing w:line="364" w:lineRule="auto"/>
        <w:ind w:left="115" w:right="117"/>
        <w:jc w:val="both"/>
      </w:pPr>
      <w:r>
        <w:rPr/>
        <w:t>In a experiment did in lambs grazing willow (Salix spp) fodders blocks the increase in the levels of eosinophils were observed but also observed increase in </w:t>
      </w:r>
      <w:r>
        <w:rPr>
          <w:spacing w:val="2"/>
        </w:rPr>
        <w:t>WBC </w:t>
      </w:r>
      <w:r>
        <w:rPr/>
        <w:t>and lymphocytes, This suggests that, in addition to the rumen escape protein benefit, feeding tannin condensed -containing forages may stimulate cell-mediated immune response (Ramirez-Restrepo et al., 2010a, Ramirez-Restrepo et al., 2010b). Moreover its known than secondary metabolites as saponnins and fenolic compounds can modulating the immune system and eosinophils play an important role as of the innate immune response (Provenza and Villalba, </w:t>
      </w:r>
      <w:r>
        <w:rPr>
          <w:spacing w:val="17"/>
        </w:rPr>
        <w:t> </w:t>
      </w:r>
      <w:r>
        <w:rPr/>
        <w:t>2010).</w:t>
      </w:r>
    </w:p>
    <w:p>
      <w:pPr>
        <w:pStyle w:val="BodyText"/>
        <w:rPr>
          <w:sz w:val="22"/>
        </w:rPr>
      </w:pPr>
    </w:p>
    <w:p>
      <w:pPr>
        <w:pStyle w:val="BodyText"/>
        <w:spacing w:line="364" w:lineRule="auto" w:before="155"/>
        <w:ind w:left="115" w:right="117"/>
        <w:jc w:val="both"/>
      </w:pPr>
      <w:r>
        <w:rPr/>
        <w:t>These results on eosinophils were different to observed by Mahgoub et al (2008) and Olafadehan (2011) who reported lower WBC, lymphocytes and monocytes but not eosinophils in sheeps and goats fed with tannins rich non- conventional feeds and tannins- rich forage respectively but these parameters in both experiments  were within the range, </w:t>
      </w:r>
      <w:r>
        <w:rPr>
          <w:color w:val="221E1F"/>
        </w:rPr>
        <w:t>and confirmed that the concentration of tannins in these experiments were lower than the level that could have induced toxicity or ill health   in the animals (Mahgoub et al., 2008a, Olafadehan,</w:t>
      </w:r>
      <w:r>
        <w:rPr>
          <w:color w:val="221E1F"/>
          <w:spacing w:val="62"/>
        </w:rPr>
        <w:t> </w:t>
      </w:r>
      <w:r>
        <w:rPr>
          <w:color w:val="221E1F"/>
        </w:rPr>
        <w:t>2011).</w:t>
      </w:r>
    </w:p>
    <w:p>
      <w:pPr>
        <w:pStyle w:val="BodyText"/>
        <w:rPr>
          <w:sz w:val="22"/>
        </w:rPr>
      </w:pPr>
    </w:p>
    <w:p>
      <w:pPr>
        <w:pStyle w:val="BodyText"/>
        <w:spacing w:line="364" w:lineRule="auto" w:before="155"/>
        <w:ind w:left="115" w:right="117"/>
        <w:jc w:val="both"/>
      </w:pPr>
      <w:r>
        <w:rPr/>
        <w:t>The levels of glucose were modified for the treatments, were lower in EZSB and similar in CX, EZ and EZSB but this decrease in no significant because the levels are in normal range in the four treatments (2.66 – 2.49mmol/L)  (Archer  and  Jeffcott, 1977, Smith, 2007). Mahgoub et al indicate that decease in this metabolite can be due to food consumption with reduced nutritive value (Mahgoub et al., 2008a). In previous studies with similar results mentioned that depressed </w:t>
      </w:r>
      <w:r>
        <w:rPr>
          <w:color w:val="221E1F"/>
        </w:rPr>
        <w:t>serum glucose is not due to tannicacid intoxication, but that the dietary energy was sufficiently utilized for growth and theanimals were not surviving at the expense of body tissues (Olafadehan,</w:t>
      </w:r>
      <w:r>
        <w:rPr>
          <w:color w:val="221E1F"/>
          <w:spacing w:val="36"/>
        </w:rPr>
        <w:t> </w:t>
      </w:r>
      <w:r>
        <w:rPr>
          <w:color w:val="221E1F"/>
        </w:rPr>
        <w:t>2011).</w:t>
      </w:r>
    </w:p>
    <w:p>
      <w:pPr>
        <w:pStyle w:val="BodyText"/>
        <w:rPr>
          <w:sz w:val="22"/>
        </w:rPr>
      </w:pPr>
    </w:p>
    <w:p>
      <w:pPr>
        <w:pStyle w:val="BodyText"/>
        <w:spacing w:line="364" w:lineRule="auto" w:before="155"/>
        <w:ind w:left="115" w:right="118"/>
        <w:jc w:val="both"/>
      </w:pPr>
      <w:r>
        <w:rPr/>
        <w:t>MCV were increased it is a reflection of mean erythrocyte size, in goats this  increase is a common problem by inadequate spinning of blood which causes a spurious</w:t>
      </w:r>
      <w:r>
        <w:rPr>
          <w:spacing w:val="23"/>
        </w:rPr>
        <w:t> </w:t>
      </w:r>
      <w:r>
        <w:rPr/>
        <w:t>of</w:t>
      </w:r>
      <w:r>
        <w:rPr>
          <w:spacing w:val="22"/>
        </w:rPr>
        <w:t> </w:t>
      </w:r>
      <w:r>
        <w:rPr/>
        <w:t>MCV</w:t>
      </w:r>
      <w:r>
        <w:rPr>
          <w:spacing w:val="19"/>
        </w:rPr>
        <w:t> </w:t>
      </w:r>
      <w:r>
        <w:rPr/>
        <w:t>by</w:t>
      </w:r>
      <w:r>
        <w:rPr>
          <w:spacing w:val="17"/>
        </w:rPr>
        <w:t> </w:t>
      </w:r>
      <w:r>
        <w:rPr/>
        <w:t>trapped</w:t>
      </w:r>
      <w:r>
        <w:rPr>
          <w:spacing w:val="22"/>
        </w:rPr>
        <w:t> </w:t>
      </w:r>
      <w:r>
        <w:rPr/>
        <w:t>plasma</w:t>
      </w:r>
      <w:r>
        <w:rPr>
          <w:spacing w:val="18"/>
        </w:rPr>
        <w:t> </w:t>
      </w:r>
      <w:r>
        <w:rPr/>
        <w:t>(Smith,</w:t>
      </w:r>
      <w:r>
        <w:rPr>
          <w:spacing w:val="22"/>
        </w:rPr>
        <w:t> </w:t>
      </w:r>
      <w:r>
        <w:rPr/>
        <w:t>2007)</w:t>
      </w:r>
      <w:r>
        <w:rPr>
          <w:spacing w:val="17"/>
        </w:rPr>
        <w:t> </w:t>
      </w:r>
      <w:r>
        <w:rPr/>
        <w:t>for</w:t>
      </w:r>
      <w:r>
        <w:rPr>
          <w:spacing w:val="17"/>
        </w:rPr>
        <w:t> </w:t>
      </w:r>
      <w:r>
        <w:rPr/>
        <w:t>this</w:t>
      </w:r>
      <w:r>
        <w:rPr>
          <w:spacing w:val="19"/>
        </w:rPr>
        <w:t> </w:t>
      </w:r>
      <w:r>
        <w:rPr/>
        <w:t>reason</w:t>
      </w:r>
      <w:r>
        <w:rPr>
          <w:spacing w:val="22"/>
        </w:rPr>
        <w:t> </w:t>
      </w:r>
      <w:r>
        <w:rPr/>
        <w:t>in</w:t>
      </w:r>
      <w:r>
        <w:rPr>
          <w:spacing w:val="18"/>
        </w:rPr>
        <w:t> </w:t>
      </w:r>
      <w:r>
        <w:rPr/>
        <w:t>all</w:t>
      </w:r>
      <w:r>
        <w:rPr>
          <w:spacing w:val="19"/>
        </w:rPr>
        <w:t> </w:t>
      </w:r>
      <w:r>
        <w:rPr/>
        <w:t>treatments</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19"/>
        <w:jc w:val="both"/>
      </w:pPr>
      <w:r>
        <w:rPr/>
        <w:t>had higher values than normal range (16 – 25 fl) (Archer and Jeffcott, 1977). In a study realized in 2008 in sheep the values to MCV were lower than normal range  but this increase was not produced by the treatments (Mahgoub et al., </w:t>
      </w:r>
      <w:r>
        <w:rPr>
          <w:spacing w:val="24"/>
        </w:rPr>
        <w:t> </w:t>
      </w:r>
      <w:r>
        <w:rPr/>
        <w:t>2008a).</w:t>
      </w:r>
    </w:p>
    <w:p>
      <w:pPr>
        <w:pStyle w:val="BodyText"/>
        <w:rPr>
          <w:sz w:val="22"/>
        </w:rPr>
      </w:pPr>
    </w:p>
    <w:p>
      <w:pPr>
        <w:pStyle w:val="BodyText"/>
        <w:spacing w:line="364" w:lineRule="auto" w:before="153"/>
        <w:ind w:left="115" w:right="117"/>
        <w:jc w:val="both"/>
      </w:pPr>
      <w:r>
        <w:rPr/>
        <w:t>With respect to the others parameters evaluated the treatments  didn’t produced  any effect and it were in normal range for both lambs and goats. Discard anemia because the levels of RBC, HMG, MCV, and MCHC were within range (Silanikove  et al., 1996, Smith, 2007, Mahgoub et al., 2008a, Olafadehan, 2011). The presents results of no impact of treatments on blood parameters is an important finding in   the case of those lambs and goats that consumed extract of </w:t>
      </w:r>
      <w:r>
        <w:rPr>
          <w:i/>
        </w:rPr>
        <w:t>S. babylonica </w:t>
      </w:r>
      <w:r>
        <w:rPr/>
        <w:t>because they contain secondary metabolites which could be expected to have a detrimental effect on cellular components and protein in blood mainly by  the  presence  of tannins and saponins (hemolytic activity when it was used in high concentration)(Khalil and El-Adawy, 1994, Wang et al., </w:t>
      </w:r>
      <w:r>
        <w:rPr>
          <w:spacing w:val="3"/>
        </w:rPr>
        <w:t> </w:t>
      </w:r>
      <w:r>
        <w:rPr/>
        <w:t>2007).</w:t>
      </w:r>
    </w:p>
    <w:p>
      <w:pPr>
        <w:pStyle w:val="BodyText"/>
        <w:rPr>
          <w:sz w:val="22"/>
        </w:rPr>
      </w:pPr>
    </w:p>
    <w:p>
      <w:pPr>
        <w:pStyle w:val="BodyText"/>
        <w:spacing w:line="364" w:lineRule="auto" w:before="155"/>
        <w:ind w:left="115" w:right="117"/>
        <w:jc w:val="both"/>
      </w:pPr>
      <w:r>
        <w:rPr/>
        <w:t>These results are similar to obtained by Remirez-Restrepo 2011 who didn’t observed consistent effects the grazing willow (</w:t>
      </w:r>
      <w:r>
        <w:rPr>
          <w:i/>
        </w:rPr>
        <w:t>Salix spp</w:t>
      </w:r>
      <w:r>
        <w:rPr/>
        <w:t>.) fodder blocks on RBC, HMG, MCV and MCHC (Ramirez-Restrepo et al., 2010a, Ramirez-Restrepo et al., 2010b).</w:t>
      </w:r>
    </w:p>
    <w:p>
      <w:pPr>
        <w:pStyle w:val="BodyText"/>
        <w:rPr>
          <w:sz w:val="22"/>
        </w:rPr>
      </w:pPr>
    </w:p>
    <w:p>
      <w:pPr>
        <w:pStyle w:val="BodyText"/>
        <w:spacing w:line="364" w:lineRule="auto" w:before="155"/>
        <w:ind w:left="115" w:right="117"/>
        <w:jc w:val="both"/>
      </w:pPr>
      <w:r>
        <w:rPr/>
        <w:t>The biochemical analysis indicates than treatments didn’t  produced  negative  effects on kidney, liver and animal health. The enzyme ALT, AST were unaffected  by treatments </w:t>
      </w:r>
      <w:r>
        <w:rPr>
          <w:color w:val="221E1F"/>
        </w:rPr>
        <w:t>are those used fordomestic animal hepatic damage, ALT, which is a liver specific hepatocellular enzyme released by hepatocellular damage and both were within the normal ranges for sheeps and goats suggest that no damage to the liver occurred (Silanikove et al., 1996, Mahgoub et al., 2008a, Olafadehan, 2011, Mahgoub et al.,</w:t>
      </w:r>
      <w:r>
        <w:rPr>
          <w:color w:val="221E1F"/>
          <w:spacing w:val="26"/>
        </w:rPr>
        <w:t> </w:t>
      </w:r>
      <w:r>
        <w:rPr>
          <w:color w:val="221E1F"/>
        </w:rPr>
        <w:t>2008b).</w:t>
      </w:r>
    </w:p>
    <w:p>
      <w:pPr>
        <w:pStyle w:val="BodyText"/>
        <w:rPr>
          <w:sz w:val="22"/>
        </w:rPr>
      </w:pPr>
    </w:p>
    <w:p>
      <w:pPr>
        <w:pStyle w:val="BodyText"/>
        <w:spacing w:line="364" w:lineRule="auto" w:before="155"/>
        <w:ind w:left="116" w:right="117"/>
        <w:jc w:val="both"/>
      </w:pPr>
      <w:r>
        <w:rPr>
          <w:color w:val="221E1F"/>
        </w:rPr>
        <w:t>Damage to the kidneys has been implicated for renal failure and changes in serum BUN, creatinine, uric acid and mineral concentrations. Lack of increase in these metabolites above the normal values suggests that necrotic damage to the kidney</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00"/>
        <w:jc w:val="both"/>
      </w:pPr>
      <w:r>
        <w:rPr>
          <w:color w:val="221E1F"/>
        </w:rPr>
        <w:t>did not occur in our experiment (Silanikove et al., 1996, Mahgoub et al., 2008a, Olafadehan, 2011).</w:t>
      </w:r>
    </w:p>
    <w:p>
      <w:pPr>
        <w:pStyle w:val="BodyText"/>
        <w:rPr>
          <w:sz w:val="22"/>
        </w:rPr>
      </w:pPr>
    </w:p>
    <w:p>
      <w:pPr>
        <w:pStyle w:val="BodyText"/>
        <w:spacing w:line="364" w:lineRule="auto" w:before="155"/>
        <w:ind w:left="115" w:right="99"/>
        <w:jc w:val="both"/>
      </w:pPr>
      <w:r>
        <w:rPr>
          <w:color w:val="221E1F"/>
        </w:rPr>
        <w:t>The experimental animals, particularly those consuming S. babylonica extract whichcontained secondary metabolites, did not show clinical signs of ill health or signs of tannin toxicity suchas brisket oedema, diarrhoea, constipation, anorexia, hard pelleted faeces coated withblood and mucous (Olafadehan,  2011).</w:t>
      </w:r>
    </w:p>
    <w:p>
      <w:pPr>
        <w:pStyle w:val="BodyText"/>
        <w:rPr>
          <w:sz w:val="22"/>
        </w:rPr>
      </w:pPr>
    </w:p>
    <w:p>
      <w:pPr>
        <w:pStyle w:val="BodyText"/>
        <w:spacing w:line="364" w:lineRule="auto" w:before="155"/>
        <w:ind w:left="115" w:right="98"/>
        <w:jc w:val="both"/>
      </w:pPr>
      <w:r>
        <w:rPr>
          <w:color w:val="221E1F"/>
        </w:rPr>
        <w:t>In previous studies had been observed that tannins which can be consumed by goats without signs of toxic effect may betoxic for cattle and sheep because the secretion of proline rich proteins is higher during eating in goats than in sheep. The parotid saliva of goats is relatively richin proline (6.5%), glutamine (16.5%) and glycine (6.1%), which is known to have hightannin-binding capacity, by enhancing the affi</w:t>
      </w:r>
      <w:r>
        <w:rPr/>
        <w:t>nity</w:t>
      </w:r>
      <w:r>
        <w:rPr>
          <w:color w:val="221E1F"/>
        </w:rPr>
        <w:t>proteins to tannins, Moreover theability of goats to consume large  amounts of tannin-rich fodder without exhibiting toxiceffects has been related to  their ability to avoid consuming browse in amounts exceedingtheir capacity to detoxify and their enhanced capacity, in comparison with other ruminantspecies, to detoxify tannins (Silanikove et al., 1996, Olafadehan, 2011, Lu, 2011). In our study didn’t observed signs of toxic effects in lambs or goats, and confirm that EZ and SB are innocuous (Rivero et al., 2012) in both species when are used  as  feed  additives to 1µL g/DM and 30ml / animal/day respectively. Maybe this results is different to others studies by the kind of secondary </w:t>
      </w:r>
      <w:r>
        <w:rPr>
          <w:color w:val="221E1F"/>
          <w:spacing w:val="2"/>
        </w:rPr>
        <w:t> </w:t>
      </w:r>
      <w:r>
        <w:rPr>
          <w:color w:val="221E1F"/>
        </w:rPr>
        <w:t>compounds.</w:t>
      </w:r>
    </w:p>
    <w:p>
      <w:pPr>
        <w:pStyle w:val="BodyText"/>
        <w:rPr>
          <w:sz w:val="22"/>
        </w:rPr>
      </w:pPr>
    </w:p>
    <w:p>
      <w:pPr>
        <w:pStyle w:val="Heading1"/>
        <w:spacing w:before="153"/>
      </w:pPr>
      <w:r>
        <w:rPr/>
        <w:t>CONCLUSSION</w:t>
      </w:r>
    </w:p>
    <w:p>
      <w:pPr>
        <w:pStyle w:val="BodyText"/>
        <w:rPr>
          <w:b/>
          <w:sz w:val="22"/>
        </w:rPr>
      </w:pPr>
    </w:p>
    <w:p>
      <w:pPr>
        <w:pStyle w:val="BodyText"/>
        <w:spacing w:before="3"/>
        <w:rPr>
          <w:b/>
          <w:sz w:val="25"/>
        </w:rPr>
      </w:pPr>
    </w:p>
    <w:p>
      <w:pPr>
        <w:pStyle w:val="BodyText"/>
        <w:spacing w:line="364" w:lineRule="auto" w:before="1"/>
        <w:ind w:left="115" w:right="98"/>
        <w:jc w:val="both"/>
      </w:pPr>
      <w:r>
        <w:rPr>
          <w:color w:val="221E1F"/>
        </w:rPr>
        <w:t>The absence of clinical signs of ill health, tannin toxicity symptoms and the  findings</w:t>
      </w:r>
      <w:r>
        <w:rPr/>
        <w:t>of all </w:t>
      </w:r>
      <w:r>
        <w:rPr>
          <w:color w:val="221E1F"/>
        </w:rPr>
        <w:t>the haematological and serum metabolites within the established ranges for healthy lambs and goats suggest that </w:t>
      </w:r>
      <w:r>
        <w:rPr/>
        <w:t>EZ, EZSB and their combination </w:t>
      </w:r>
      <w:r>
        <w:rPr>
          <w:color w:val="221E1F"/>
        </w:rPr>
        <w:t>were well tolerated </w:t>
      </w:r>
      <w:r>
        <w:rPr/>
        <w:t>are innocuous in lambs and goats</w:t>
      </w:r>
      <w:r>
        <w:rPr>
          <w:color w:val="221E1F"/>
        </w:rPr>
        <w:t>, because did not cause any major health</w:t>
      </w:r>
      <w:r>
        <w:rPr>
          <w:color w:val="221E1F"/>
          <w:spacing w:val="25"/>
        </w:rPr>
        <w:t> </w:t>
      </w:r>
      <w:r>
        <w:rPr>
          <w:color w:val="221E1F"/>
        </w:rPr>
        <w:t>disorders.</w:t>
      </w:r>
    </w:p>
    <w:p>
      <w:pPr>
        <w:spacing w:after="0" w:line="364" w:lineRule="auto"/>
        <w:jc w:val="both"/>
        <w:sectPr>
          <w:pgSz w:w="11900" w:h="16840"/>
          <w:pgMar w:header="0" w:footer="1679" w:top="1600" w:bottom="1860" w:left="1540" w:right="1540"/>
        </w:sectPr>
      </w:pPr>
    </w:p>
    <w:p>
      <w:pPr>
        <w:pStyle w:val="BodyText"/>
        <w:rPr>
          <w:sz w:val="20"/>
        </w:rPr>
      </w:pPr>
    </w:p>
    <w:p>
      <w:pPr>
        <w:pStyle w:val="BodyText"/>
        <w:spacing w:before="5"/>
        <w:rPr>
          <w:sz w:val="16"/>
        </w:rPr>
      </w:pPr>
    </w:p>
    <w:p>
      <w:pPr>
        <w:pStyle w:val="Heading1"/>
        <w:spacing w:before="74"/>
        <w:ind w:right="224"/>
        <w:jc w:val="left"/>
      </w:pPr>
      <w:r>
        <w:rPr/>
        <w:t>ACKNOWLEDGMENT</w:t>
      </w:r>
    </w:p>
    <w:p>
      <w:pPr>
        <w:pStyle w:val="BodyText"/>
        <w:rPr>
          <w:b/>
          <w:sz w:val="22"/>
        </w:rPr>
      </w:pPr>
    </w:p>
    <w:p>
      <w:pPr>
        <w:pStyle w:val="BodyText"/>
        <w:spacing w:before="3"/>
        <w:rPr>
          <w:b/>
          <w:sz w:val="25"/>
        </w:rPr>
      </w:pPr>
    </w:p>
    <w:p>
      <w:pPr>
        <w:pStyle w:val="BodyText"/>
        <w:spacing w:line="364" w:lineRule="auto" w:before="1"/>
        <w:ind w:left="115" w:right="119"/>
        <w:jc w:val="both"/>
      </w:pPr>
      <w:r>
        <w:rPr/>
        <w:t>The authors acknowledge the financial support from the IAEA, Vienna, Austria, Research Contract number MEX16307 within the D3.10.27 Coordinated Research Project. First author wish also to thank the National Council for Science and Technology (CONACYT, Mexico) for the scholarship for her PhD in Science from  the Universidad Autónoma del Estado de</w:t>
      </w:r>
      <w:r>
        <w:rPr>
          <w:spacing w:val="55"/>
        </w:rPr>
        <w:t> </w:t>
      </w:r>
      <w:r>
        <w:rPr/>
        <w:t>México.</w:t>
      </w:r>
    </w:p>
    <w:p>
      <w:pPr>
        <w:pStyle w:val="BodyText"/>
        <w:rPr>
          <w:sz w:val="22"/>
        </w:rPr>
      </w:pPr>
    </w:p>
    <w:p>
      <w:pPr>
        <w:pStyle w:val="Heading1"/>
        <w:spacing w:before="153"/>
        <w:ind w:right="224"/>
        <w:jc w:val="left"/>
      </w:pPr>
      <w:r>
        <w:rPr/>
        <w:t>REFERENCES</w:t>
      </w:r>
    </w:p>
    <w:p>
      <w:pPr>
        <w:pStyle w:val="BodyText"/>
        <w:rPr>
          <w:b/>
          <w:sz w:val="22"/>
        </w:rPr>
      </w:pPr>
    </w:p>
    <w:p>
      <w:pPr>
        <w:pStyle w:val="BodyText"/>
        <w:spacing w:before="3"/>
        <w:rPr>
          <w:b/>
          <w:sz w:val="25"/>
        </w:rPr>
      </w:pPr>
    </w:p>
    <w:p>
      <w:pPr>
        <w:pStyle w:val="BodyText"/>
        <w:spacing w:line="364" w:lineRule="auto" w:before="1"/>
        <w:ind w:left="816" w:right="224" w:hanging="701"/>
      </w:pPr>
      <w:r>
        <w:rPr/>
        <w:t>AHMED, V. U., PERVEEN, S. &amp; BANO, S. (1990) Saponin from the leaves of Guaiacum officinale. </w:t>
      </w:r>
      <w:r>
        <w:rPr>
          <w:i/>
        </w:rPr>
        <w:t>Phytochemistry, </w:t>
      </w:r>
      <w:r>
        <w:rPr/>
        <w:t>29</w:t>
      </w:r>
      <w:r>
        <w:rPr>
          <w:b/>
        </w:rPr>
        <w:t>,</w:t>
      </w:r>
      <w:r>
        <w:rPr>
          <w:b/>
          <w:spacing w:val="55"/>
        </w:rPr>
        <w:t> </w:t>
      </w:r>
      <w:r>
        <w:rPr/>
        <w:t>3287-3290.</w:t>
      </w:r>
    </w:p>
    <w:p>
      <w:pPr>
        <w:spacing w:line="364" w:lineRule="auto" w:before="5"/>
        <w:ind w:left="116" w:right="120" w:firstLine="0"/>
        <w:jc w:val="both"/>
        <w:rPr>
          <w:sz w:val="23"/>
        </w:rPr>
      </w:pPr>
      <w:r>
        <w:rPr>
          <w:sz w:val="23"/>
        </w:rPr>
        <w:t>AOAC, A. O. O. A. C. (1997) </w:t>
      </w:r>
      <w:r>
        <w:rPr>
          <w:i/>
          <w:sz w:val="23"/>
        </w:rPr>
        <w:t>Official Methods of Analysis, </w:t>
      </w:r>
      <w:r>
        <w:rPr>
          <w:sz w:val="23"/>
        </w:rPr>
        <w:t>Arlington, VA, USA. ARCHER,  R.  K.  &amp;  JEFFCOTT,  L.  B.  (1977)  </w:t>
      </w:r>
      <w:r>
        <w:rPr>
          <w:i/>
          <w:sz w:val="23"/>
        </w:rPr>
        <w:t>Comparative  clinical haematology</w:t>
      </w:r>
      <w:r>
        <w:rPr>
          <w:sz w:val="23"/>
        </w:rPr>
        <w:t>,</w:t>
      </w:r>
    </w:p>
    <w:p>
      <w:pPr>
        <w:pStyle w:val="BodyText"/>
        <w:spacing w:before="5"/>
        <w:ind w:left="816" w:right="224"/>
      </w:pPr>
      <w:r>
        <w:rPr/>
        <w:t>Blackwell Scientific Publications.</w:t>
      </w:r>
    </w:p>
    <w:p>
      <w:pPr>
        <w:pStyle w:val="BodyText"/>
        <w:spacing w:before="141"/>
        <w:ind w:left="116" w:right="224"/>
      </w:pPr>
      <w:r>
        <w:rPr/>
        <w:t>ARRIOLA, K. G., KIM, S. C., STAPLES, C. R. &amp; ADESOGAN, A. T. (2011) Effect</w:t>
      </w:r>
    </w:p>
    <w:p>
      <w:pPr>
        <w:pStyle w:val="BodyText"/>
        <w:spacing w:line="364" w:lineRule="auto" w:before="136"/>
        <w:ind w:left="816" w:right="224"/>
      </w:pPr>
      <w:r>
        <w:rPr/>
        <w:t>of fibrolytic enzyme application to low- and high-concentrate diets on the performance of lactating dairy cattle. </w:t>
      </w:r>
      <w:r>
        <w:rPr>
          <w:i/>
        </w:rPr>
        <w:t>J Dairy Sci, </w:t>
      </w:r>
      <w:r>
        <w:rPr/>
        <w:t>94</w:t>
      </w:r>
      <w:r>
        <w:rPr>
          <w:b/>
        </w:rPr>
        <w:t>,  </w:t>
      </w:r>
      <w:r>
        <w:rPr/>
        <w:t>832-841.</w:t>
      </w:r>
    </w:p>
    <w:p>
      <w:pPr>
        <w:pStyle w:val="BodyText"/>
        <w:spacing w:line="364" w:lineRule="auto" w:before="5"/>
        <w:ind w:left="816" w:right="117" w:hanging="701"/>
        <w:jc w:val="both"/>
      </w:pPr>
      <w:r>
        <w:rPr/>
        <w:t>ATHANASIADOU, S. &amp; KYRIAZAKIS, I. (2004) Plant secondary metabolites: antiparasitic effects and their role in ruminant production systems. </w:t>
      </w:r>
      <w:r>
        <w:rPr>
          <w:i/>
        </w:rPr>
        <w:t>Proc Nutr </w:t>
      </w:r>
      <w:r>
        <w:rPr>
          <w:i/>
        </w:rPr>
        <w:t>Soc, </w:t>
      </w:r>
      <w:r>
        <w:rPr/>
        <w:t>63</w:t>
      </w:r>
      <w:r>
        <w:rPr>
          <w:b/>
        </w:rPr>
        <w:t>, </w:t>
      </w:r>
      <w:r>
        <w:rPr/>
        <w:t>631 - 639.</w:t>
      </w:r>
    </w:p>
    <w:p>
      <w:pPr>
        <w:pStyle w:val="BodyText"/>
        <w:spacing w:line="364" w:lineRule="auto" w:before="7"/>
        <w:ind w:left="816" w:right="224" w:hanging="701"/>
      </w:pPr>
      <w:r>
        <w:rPr/>
        <w:t>BEDFORD, M. R. &amp; COWIESON, A. J. (2012) Exogenous enzymes and  their effects on intestinal microbiology. </w:t>
      </w:r>
      <w:r>
        <w:rPr>
          <w:i/>
        </w:rPr>
        <w:t>Animl Feed Sci Tech, </w:t>
      </w:r>
      <w:r>
        <w:rPr/>
        <w:t>173</w:t>
      </w:r>
      <w:r>
        <w:rPr>
          <w:b/>
        </w:rPr>
        <w:t>, </w:t>
      </w:r>
      <w:r>
        <w:rPr>
          <w:b/>
          <w:spacing w:val="8"/>
        </w:rPr>
        <w:t> </w:t>
      </w:r>
      <w:r>
        <w:rPr/>
        <w:t>76-85.</w:t>
      </w:r>
    </w:p>
    <w:p>
      <w:pPr>
        <w:spacing w:line="364" w:lineRule="auto" w:before="5"/>
        <w:ind w:left="816" w:right="224" w:hanging="701"/>
        <w:jc w:val="left"/>
        <w:rPr>
          <w:sz w:val="23"/>
        </w:rPr>
      </w:pPr>
      <w:r>
        <w:rPr>
          <w:sz w:val="23"/>
        </w:rPr>
        <w:t>COFFIN, D. L., SANTIBÁÑEZ, J. &amp; SANZ, J. U. (1959) </w:t>
      </w:r>
      <w:r>
        <w:rPr>
          <w:i/>
          <w:sz w:val="23"/>
        </w:rPr>
        <w:t>Laboratorio clinico en </w:t>
      </w:r>
      <w:r>
        <w:rPr>
          <w:i/>
          <w:sz w:val="23"/>
        </w:rPr>
        <w:t>medicina veterinaria</w:t>
      </w:r>
      <w:r>
        <w:rPr>
          <w:sz w:val="23"/>
        </w:rPr>
        <w:t>, La Prensa Medica</w:t>
      </w:r>
      <w:r>
        <w:rPr>
          <w:spacing w:val="52"/>
          <w:sz w:val="23"/>
        </w:rPr>
        <w:t> </w:t>
      </w:r>
      <w:r>
        <w:rPr>
          <w:sz w:val="23"/>
        </w:rPr>
        <w:t>Mexicana.</w:t>
      </w:r>
    </w:p>
    <w:p>
      <w:pPr>
        <w:spacing w:before="7"/>
        <w:ind w:left="116" w:right="224" w:firstLine="0"/>
        <w:jc w:val="left"/>
        <w:rPr>
          <w:i/>
          <w:sz w:val="23"/>
        </w:rPr>
      </w:pPr>
      <w:r>
        <w:rPr>
          <w:sz w:val="23"/>
        </w:rPr>
        <w:t>COWAN, M. M. (1999) Plant products as antimicrobial agents. </w:t>
      </w:r>
      <w:r>
        <w:rPr>
          <w:i/>
          <w:sz w:val="23"/>
        </w:rPr>
        <w:t>Clin Microbiol Rev,</w:t>
      </w:r>
    </w:p>
    <w:p>
      <w:pPr>
        <w:pStyle w:val="BodyText"/>
        <w:spacing w:before="136"/>
        <w:ind w:left="816" w:right="224"/>
      </w:pPr>
      <w:r>
        <w:rPr/>
        <w:t>12</w:t>
      </w:r>
      <w:r>
        <w:rPr>
          <w:b/>
        </w:rPr>
        <w:t>, </w:t>
      </w:r>
      <w:r>
        <w:rPr/>
        <w:t>564-582.</w:t>
      </w:r>
    </w:p>
    <w:p>
      <w:pPr>
        <w:pStyle w:val="BodyText"/>
        <w:tabs>
          <w:tab w:pos="1279" w:val="left" w:leader="none"/>
          <w:tab w:pos="2112" w:val="left" w:leader="none"/>
          <w:tab w:pos="3079" w:val="left" w:leader="none"/>
          <w:tab w:pos="3646" w:val="left" w:leader="none"/>
          <w:tab w:pos="5702" w:val="left" w:leader="none"/>
          <w:tab w:pos="6204" w:val="left" w:leader="none"/>
          <w:tab w:pos="7923" w:val="left" w:leader="none"/>
          <w:tab w:pos="8362" w:val="left" w:leader="none"/>
        </w:tabs>
        <w:spacing w:line="364" w:lineRule="auto" w:before="143"/>
        <w:ind w:left="816" w:right="118" w:hanging="701"/>
      </w:pPr>
      <w:r>
        <w:rPr/>
        <w:t>CHUNG,</w:t>
        <w:tab/>
        <w:t>Y.-H.,</w:t>
        <w:tab/>
        <w:t>ZHOU,</w:t>
        <w:tab/>
        <w:t>M.,</w:t>
        <w:tab/>
        <w:t>HOLTSHAUSEN,</w:t>
        <w:tab/>
        <w:t>L.,</w:t>
        <w:tab/>
        <w:t>ALEXANDER,</w:t>
        <w:tab/>
        <w:t>T.</w:t>
        <w:tab/>
        <w:t>W., MCALLISTER,</w:t>
      </w:r>
      <w:r>
        <w:rPr>
          <w:spacing w:val="25"/>
        </w:rPr>
        <w:t> </w:t>
      </w:r>
      <w:r>
        <w:rPr/>
        <w:t>T.</w:t>
      </w:r>
      <w:r>
        <w:rPr>
          <w:spacing w:val="22"/>
        </w:rPr>
        <w:t> </w:t>
      </w:r>
      <w:r>
        <w:rPr/>
        <w:t>A.,</w:t>
      </w:r>
      <w:r>
        <w:rPr>
          <w:spacing w:val="20"/>
        </w:rPr>
        <w:t> </w:t>
      </w:r>
      <w:r>
        <w:rPr/>
        <w:t>GUAN,</w:t>
      </w:r>
      <w:r>
        <w:rPr>
          <w:spacing w:val="22"/>
        </w:rPr>
        <w:t> </w:t>
      </w:r>
      <w:r>
        <w:rPr/>
        <w:t>L.</w:t>
      </w:r>
      <w:r>
        <w:rPr>
          <w:spacing w:val="25"/>
        </w:rPr>
        <w:t> </w:t>
      </w:r>
      <w:r>
        <w:rPr/>
        <w:t>L.,</w:t>
      </w:r>
      <w:r>
        <w:rPr>
          <w:spacing w:val="25"/>
        </w:rPr>
        <w:t> </w:t>
      </w:r>
      <w:r>
        <w:rPr/>
        <w:t>OBA,</w:t>
      </w:r>
      <w:r>
        <w:rPr>
          <w:spacing w:val="22"/>
        </w:rPr>
        <w:t> </w:t>
      </w:r>
      <w:r>
        <w:rPr/>
        <w:t>M.</w:t>
      </w:r>
      <w:r>
        <w:rPr>
          <w:spacing w:val="25"/>
        </w:rPr>
        <w:t> </w:t>
      </w:r>
      <w:r>
        <w:rPr/>
        <w:t>&amp;</w:t>
      </w:r>
      <w:r>
        <w:rPr>
          <w:spacing w:val="22"/>
        </w:rPr>
        <w:t> </w:t>
      </w:r>
      <w:r>
        <w:rPr/>
        <w:t>BEAUCHEMIN,</w:t>
      </w:r>
      <w:r>
        <w:rPr>
          <w:spacing w:val="22"/>
        </w:rPr>
        <w:t> </w:t>
      </w:r>
      <w:r>
        <w:rPr/>
        <w:t>K.</w:t>
      </w:r>
      <w:r>
        <w:rPr>
          <w:spacing w:val="17"/>
        </w:rPr>
        <w:t> </w:t>
      </w:r>
      <w:r>
        <w:rPr/>
        <w:t>A.</w:t>
      </w:r>
      <w:r>
        <w:rPr>
          <w:spacing w:val="25"/>
        </w:rPr>
        <w:t> </w:t>
      </w:r>
      <w:r>
        <w:rPr/>
        <w:t>(2012)</w:t>
      </w:r>
    </w:p>
    <w:p>
      <w:pPr>
        <w:pStyle w:val="BodyText"/>
        <w:spacing w:before="2"/>
        <w:ind w:left="816" w:right="118"/>
      </w:pPr>
      <w:r>
        <w:rPr/>
        <w:t>A  fibrolytic   enzyme   additive  for   lactating   Holstein  cow   diets:  Ruminal</w:t>
      </w:r>
    </w:p>
    <w:p>
      <w:pPr>
        <w:spacing w:after="0"/>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before="74"/>
        <w:ind w:left="816"/>
        <w:jc w:val="both"/>
      </w:pPr>
      <w:r>
        <w:rPr/>
        <w:t>fermentation, rumen microbial populations, and enteric methane    emissions.</w:t>
      </w:r>
    </w:p>
    <w:p>
      <w:pPr>
        <w:spacing w:before="136"/>
        <w:ind w:left="816" w:right="0" w:firstLine="0"/>
        <w:jc w:val="both"/>
        <w:rPr>
          <w:sz w:val="23"/>
        </w:rPr>
      </w:pPr>
      <w:r>
        <w:rPr>
          <w:i/>
          <w:sz w:val="23"/>
        </w:rPr>
        <w:t>J. Dairy Sci, </w:t>
      </w:r>
      <w:r>
        <w:rPr>
          <w:sz w:val="23"/>
        </w:rPr>
        <w:t>95</w:t>
      </w:r>
      <w:r>
        <w:rPr>
          <w:b/>
          <w:sz w:val="23"/>
        </w:rPr>
        <w:t>, </w:t>
      </w:r>
      <w:r>
        <w:rPr>
          <w:sz w:val="23"/>
        </w:rPr>
        <w:t>1419-1427.</w:t>
      </w:r>
    </w:p>
    <w:p>
      <w:pPr>
        <w:pStyle w:val="BodyText"/>
        <w:spacing w:before="141"/>
        <w:ind w:left="116" w:right="118"/>
      </w:pPr>
      <w:r>
        <w:rPr/>
        <w:t>GADO,  H.  M.,  SALEM,  A.  Z.  M.,  ODONGO,  N.  E.  &amp;  BORHAMI,  B.  E. (2011)</w:t>
      </w:r>
    </w:p>
    <w:p>
      <w:pPr>
        <w:pStyle w:val="BodyText"/>
        <w:spacing w:line="362" w:lineRule="auto" w:before="138"/>
        <w:ind w:left="816" w:right="119"/>
        <w:jc w:val="both"/>
      </w:pPr>
      <w:r>
        <w:rPr/>
        <w:t>Influence of exogenous enzymes ensiled with orange pulp on digestion and growth performance in lambs.</w:t>
      </w:r>
      <w:r>
        <w:rPr>
          <w:i/>
        </w:rPr>
        <w:t>Anim Feed Sci Tech, </w:t>
      </w:r>
      <w:r>
        <w:rPr/>
        <w:t>165</w:t>
      </w:r>
      <w:r>
        <w:rPr>
          <w:b/>
        </w:rPr>
        <w:t>,  </w:t>
      </w:r>
      <w:r>
        <w:rPr/>
        <w:t>131-136.</w:t>
      </w:r>
    </w:p>
    <w:p>
      <w:pPr>
        <w:pStyle w:val="BodyText"/>
        <w:spacing w:before="12"/>
        <w:ind w:left="115" w:right="224"/>
      </w:pPr>
      <w:r>
        <w:rPr/>
        <w:t>HARIKRISHNAN, R., BALASUNDARAM, C. &amp; HEO, M.-S. (2011) Impact of plant</w:t>
      </w:r>
    </w:p>
    <w:p>
      <w:pPr>
        <w:pStyle w:val="BodyText"/>
        <w:spacing w:line="364" w:lineRule="auto" w:before="136"/>
        <w:ind w:left="816" w:right="120"/>
        <w:jc w:val="both"/>
      </w:pPr>
      <w:r>
        <w:rPr/>
        <w:t>products on innate and adaptive immune system of cultured finfish and shellfish. </w:t>
      </w:r>
      <w:r>
        <w:rPr>
          <w:i/>
        </w:rPr>
        <w:t>Aquaculture, </w:t>
      </w:r>
      <w:r>
        <w:rPr/>
        <w:t>317</w:t>
      </w:r>
      <w:r>
        <w:rPr>
          <w:b/>
        </w:rPr>
        <w:t>, </w:t>
      </w:r>
      <w:r>
        <w:rPr/>
        <w:t>1-15.</w:t>
      </w:r>
    </w:p>
    <w:p>
      <w:pPr>
        <w:pStyle w:val="BodyText"/>
        <w:spacing w:line="364" w:lineRule="auto" w:before="5"/>
        <w:ind w:left="816" w:right="224" w:hanging="701"/>
      </w:pPr>
      <w:r>
        <w:rPr/>
        <w:t>KHALIL, A. H. &amp; EL-ADAWY, T. A. (1994) Isolation, identification and toxicity of saponin from different legumes.</w:t>
      </w:r>
      <w:r>
        <w:rPr>
          <w:i/>
        </w:rPr>
        <w:t>Food Chem, </w:t>
      </w:r>
      <w:r>
        <w:rPr/>
        <w:t>50</w:t>
      </w:r>
      <w:r>
        <w:rPr>
          <w:b/>
        </w:rPr>
        <w:t>,</w:t>
      </w:r>
      <w:r>
        <w:rPr>
          <w:b/>
          <w:spacing w:val="62"/>
        </w:rPr>
        <w:t> </w:t>
      </w:r>
      <w:r>
        <w:rPr/>
        <w:t>197-201.</w:t>
      </w:r>
    </w:p>
    <w:p>
      <w:pPr>
        <w:pStyle w:val="BodyText"/>
        <w:spacing w:line="364" w:lineRule="auto" w:before="7"/>
        <w:ind w:left="816" w:right="119" w:hanging="701"/>
        <w:jc w:val="both"/>
      </w:pPr>
      <w:r>
        <w:rPr/>
        <w:t>LITTELL, R. C., HENRY, P. R. &amp; AMMERMAN, C. B. (1998) Statistical analysis of repeated measures data using SAS procedures. </w:t>
      </w:r>
      <w:r>
        <w:rPr>
          <w:i/>
        </w:rPr>
        <w:t>J. Anim. Sci, </w:t>
      </w:r>
      <w:r>
        <w:rPr/>
        <w:t>76</w:t>
      </w:r>
      <w:r>
        <w:rPr>
          <w:b/>
        </w:rPr>
        <w:t>, </w:t>
      </w:r>
      <w:r>
        <w:rPr/>
        <w:t>1216-  1231.</w:t>
      </w:r>
    </w:p>
    <w:p>
      <w:pPr>
        <w:spacing w:line="364" w:lineRule="auto" w:before="2"/>
        <w:ind w:left="816" w:right="224" w:hanging="701"/>
        <w:jc w:val="left"/>
        <w:rPr>
          <w:sz w:val="23"/>
        </w:rPr>
      </w:pPr>
      <w:r>
        <w:rPr>
          <w:sz w:val="23"/>
        </w:rPr>
        <w:t>LU, C. D. (2011) Nutritionally related strategies for organic goat production.</w:t>
      </w:r>
      <w:r>
        <w:rPr>
          <w:i/>
          <w:sz w:val="23"/>
        </w:rPr>
        <w:t>Small </w:t>
      </w:r>
      <w:r>
        <w:rPr>
          <w:i/>
          <w:sz w:val="23"/>
        </w:rPr>
        <w:t>Ruminant Res, </w:t>
      </w:r>
      <w:r>
        <w:rPr>
          <w:sz w:val="23"/>
        </w:rPr>
        <w:t>98</w:t>
      </w:r>
      <w:r>
        <w:rPr>
          <w:b/>
          <w:sz w:val="23"/>
        </w:rPr>
        <w:t>, </w:t>
      </w:r>
      <w:r>
        <w:rPr>
          <w:sz w:val="23"/>
        </w:rPr>
        <w:t>73-82.</w:t>
      </w:r>
    </w:p>
    <w:p>
      <w:pPr>
        <w:pStyle w:val="BodyText"/>
        <w:spacing w:before="10"/>
        <w:ind w:left="116"/>
      </w:pPr>
      <w:r>
        <w:rPr/>
        <w:t>MAHGOUB,  O.,  KADIM  I,  T.,  TAGELDIN,  M.  H.,  AL  -  MARZOOQI,  </w:t>
      </w:r>
      <w:r>
        <w:rPr>
          <w:spacing w:val="6"/>
        </w:rPr>
        <w:t>W.     </w:t>
      </w:r>
      <w:r>
        <w:rPr>
          <w:spacing w:val="63"/>
        </w:rPr>
        <w:t> </w:t>
      </w:r>
      <w:r>
        <w:rPr/>
        <w:t>S.,</w:t>
      </w:r>
    </w:p>
    <w:p>
      <w:pPr>
        <w:pStyle w:val="BodyText"/>
        <w:spacing w:line="364" w:lineRule="auto" w:before="136"/>
        <w:ind w:left="816" w:right="118"/>
        <w:jc w:val="both"/>
      </w:pPr>
      <w:r>
        <w:rPr/>
        <w:t>KHALAF, S. Q. &amp; AMNBU ALI, A. (2008a) Clinical Profile of sheep fed non- conventional feeds containing phenols and condensed tannins.</w:t>
      </w:r>
      <w:r>
        <w:rPr>
          <w:i/>
        </w:rPr>
        <w:t>Small </w:t>
      </w:r>
      <w:r>
        <w:rPr>
          <w:i/>
        </w:rPr>
        <w:t>Ruminant Res, </w:t>
      </w:r>
      <w:r>
        <w:rPr/>
        <w:t>78</w:t>
      </w:r>
      <w:r>
        <w:rPr>
          <w:b/>
        </w:rPr>
        <w:t>, </w:t>
      </w:r>
      <w:r>
        <w:rPr/>
        <w:t>115- 122.</w:t>
      </w:r>
    </w:p>
    <w:p>
      <w:pPr>
        <w:pStyle w:val="BodyText"/>
        <w:spacing w:line="364" w:lineRule="auto" w:before="7"/>
        <w:ind w:left="816" w:right="118" w:hanging="701"/>
      </w:pPr>
      <w:r>
        <w:rPr/>
        <w:t>MAHGOUB, O., KADIM I, T., TAGELDIN, M. H., AL - MARZOOQI,  </w:t>
      </w:r>
      <w:r>
        <w:rPr>
          <w:spacing w:val="6"/>
        </w:rPr>
        <w:t>W.  </w:t>
      </w:r>
      <w:r>
        <w:rPr/>
        <w:t>S.,  KHALAF,  S.  Q.,  AMNBU  ALI,  A.  &amp;  AL  -  AMRI,  I.  (2008b)  </w:t>
      </w:r>
      <w:r>
        <w:rPr>
          <w:spacing w:val="12"/>
        </w:rPr>
        <w:t> </w:t>
      </w:r>
      <w:r>
        <w:rPr/>
        <w:t>Pathological</w:t>
      </w:r>
    </w:p>
    <w:p>
      <w:pPr>
        <w:pStyle w:val="BodyText"/>
        <w:spacing w:line="364" w:lineRule="auto" w:before="2"/>
        <w:ind w:left="816" w:right="121"/>
        <w:jc w:val="both"/>
      </w:pPr>
      <w:r>
        <w:rPr/>
        <w:t>features in sheep fed rations containing phenols and condensed tannins. </w:t>
      </w:r>
      <w:r>
        <w:rPr>
          <w:i/>
        </w:rPr>
        <w:t>J </w:t>
      </w:r>
      <w:r>
        <w:rPr>
          <w:i/>
        </w:rPr>
        <w:t>Anim Vet Adv., </w:t>
      </w:r>
      <w:r>
        <w:rPr/>
        <w:t>7</w:t>
      </w:r>
      <w:r>
        <w:rPr>
          <w:b/>
        </w:rPr>
        <w:t>, </w:t>
      </w:r>
      <w:r>
        <w:rPr/>
        <w:t>1105 - 1109.</w:t>
      </w:r>
    </w:p>
    <w:p>
      <w:pPr>
        <w:pStyle w:val="BodyText"/>
        <w:tabs>
          <w:tab w:pos="1714" w:val="left" w:leader="none"/>
          <w:tab w:pos="3439" w:val="left" w:leader="none"/>
          <w:tab w:pos="4923" w:val="left" w:leader="none"/>
          <w:tab w:pos="6756" w:val="left" w:leader="none"/>
          <w:tab w:pos="7534" w:val="left" w:leader="none"/>
        </w:tabs>
        <w:spacing w:before="7"/>
        <w:ind w:left="115"/>
      </w:pPr>
      <w:r>
        <w:rPr/>
        <w:t>NATIONAL</w:t>
        <w:tab/>
        <w:t>RESEARCH</w:t>
        <w:tab/>
        <w:t>COUNCIL</w:t>
        <w:tab/>
        <w:t>COMMITTEE</w:t>
        <w:tab/>
        <w:t>ON</w:t>
        <w:tab/>
        <w:t>NUTRIENT</w:t>
      </w:r>
    </w:p>
    <w:p>
      <w:pPr>
        <w:spacing w:line="367" w:lineRule="auto" w:before="134"/>
        <w:ind w:left="816" w:right="118" w:firstLine="0"/>
        <w:jc w:val="both"/>
        <w:rPr>
          <w:sz w:val="23"/>
        </w:rPr>
      </w:pPr>
      <w:r>
        <w:rPr>
          <w:sz w:val="23"/>
        </w:rPr>
        <w:t>REQUIREMENTS OF SMALL, R. (2007) </w:t>
      </w:r>
      <w:r>
        <w:rPr>
          <w:i/>
          <w:sz w:val="23"/>
        </w:rPr>
        <w:t>Nutrient Requirements of Small </w:t>
      </w:r>
      <w:r>
        <w:rPr>
          <w:i/>
          <w:sz w:val="23"/>
        </w:rPr>
        <w:t>Ruminants: Sheep, Goats, Cervids, and New World Camelids</w:t>
      </w:r>
      <w:r>
        <w:rPr>
          <w:sz w:val="23"/>
        </w:rPr>
        <w:t>, National Academies Press.</w:t>
      </w:r>
    </w:p>
    <w:p>
      <w:pPr>
        <w:spacing w:line="364" w:lineRule="auto" w:before="2"/>
        <w:ind w:left="816" w:right="224" w:hanging="701"/>
        <w:jc w:val="left"/>
        <w:rPr>
          <w:sz w:val="23"/>
        </w:rPr>
      </w:pPr>
      <w:r>
        <w:rPr>
          <w:sz w:val="23"/>
        </w:rPr>
        <w:t>NAYAK, S. K. (2010) Probiotics and immunity: A fish perspective. </w:t>
      </w:r>
      <w:r>
        <w:rPr>
          <w:i/>
          <w:sz w:val="23"/>
        </w:rPr>
        <w:t>Fish Shellfish </w:t>
      </w:r>
      <w:r>
        <w:rPr>
          <w:i/>
          <w:sz w:val="23"/>
        </w:rPr>
        <w:t>Immun, </w:t>
      </w:r>
      <w:r>
        <w:rPr>
          <w:sz w:val="23"/>
        </w:rPr>
        <w:t>29</w:t>
      </w:r>
      <w:r>
        <w:rPr>
          <w:b/>
          <w:sz w:val="23"/>
        </w:rPr>
        <w:t>, </w:t>
      </w:r>
      <w:r>
        <w:rPr>
          <w:sz w:val="23"/>
        </w:rPr>
        <w:t>2-14.</w:t>
      </w:r>
    </w:p>
    <w:p>
      <w:pPr>
        <w:spacing w:after="0" w:line="364" w:lineRule="auto"/>
        <w:jc w:val="left"/>
        <w:rPr>
          <w:sz w:val="23"/>
        </w:rPr>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816" w:right="121" w:hanging="701"/>
        <w:jc w:val="both"/>
      </w:pPr>
      <w:r>
        <w:rPr/>
        <w:t>OLAFADEHAN, O. A. (2011) Changes in haematological and  biochemical diagnostic parameters of Red Sokoto goats fed tannin-rich Pterocarpus erinaceus forage diets. </w:t>
      </w:r>
      <w:r>
        <w:rPr>
          <w:i/>
        </w:rPr>
        <w:t>Veterinarski Arhiv, </w:t>
      </w:r>
      <w:r>
        <w:rPr/>
        <w:t>81</w:t>
      </w:r>
      <w:r>
        <w:rPr>
          <w:b/>
        </w:rPr>
        <w:t>,</w:t>
      </w:r>
      <w:r>
        <w:rPr>
          <w:b/>
          <w:spacing w:val="60"/>
        </w:rPr>
        <w:t> </w:t>
      </w:r>
      <w:r>
        <w:rPr/>
        <w:t>471-483.</w:t>
      </w:r>
    </w:p>
    <w:p>
      <w:pPr>
        <w:pStyle w:val="BodyText"/>
        <w:spacing w:before="7"/>
        <w:ind w:left="116" w:right="224"/>
      </w:pPr>
      <w:r>
        <w:rPr/>
        <w:t>OWUSU-ASIEDU, A., SIMMINS, P. H., BRUFAU, J., LIZARDO, R. &amp; PÉRON, A.</w:t>
      </w:r>
    </w:p>
    <w:p>
      <w:pPr>
        <w:pStyle w:val="BodyText"/>
        <w:spacing w:line="364" w:lineRule="auto" w:before="136"/>
        <w:ind w:left="816" w:right="120"/>
        <w:jc w:val="both"/>
      </w:pPr>
      <w:r>
        <w:rPr/>
        <w:t>(2010) Effect of xylanase and β-glucanase on growth performance and nutrient digestibility in piglets fed wheat-barley-based diets. </w:t>
      </w:r>
      <w:r>
        <w:rPr>
          <w:i/>
        </w:rPr>
        <w:t>Livest Sci, </w:t>
      </w:r>
      <w:r>
        <w:rPr/>
        <w:t>134</w:t>
      </w:r>
      <w:r>
        <w:rPr>
          <w:b/>
        </w:rPr>
        <w:t>, </w:t>
      </w:r>
      <w:r>
        <w:rPr/>
        <w:t>76-78.</w:t>
      </w:r>
    </w:p>
    <w:p>
      <w:pPr>
        <w:pStyle w:val="BodyText"/>
        <w:spacing w:line="364" w:lineRule="auto" w:before="7"/>
        <w:ind w:left="816" w:right="119" w:hanging="701"/>
        <w:jc w:val="both"/>
      </w:pPr>
      <w:r>
        <w:rPr/>
        <w:t>PROVENZA, F. D. &amp; VILLALBA, J. J. (2010) The role of natural plant products in modulating the immune system: An adaptable approach for combating disease in grazing animals.</w:t>
      </w:r>
      <w:r>
        <w:rPr>
          <w:i/>
        </w:rPr>
        <w:t>Small Ruminant Res, </w:t>
      </w:r>
      <w:r>
        <w:rPr/>
        <w:t>89</w:t>
      </w:r>
      <w:r>
        <w:rPr>
          <w:b/>
        </w:rPr>
        <w:t>,  </w:t>
      </w:r>
      <w:r>
        <w:rPr/>
        <w:t>131-139.</w:t>
      </w:r>
    </w:p>
    <w:p>
      <w:pPr>
        <w:pStyle w:val="BodyText"/>
        <w:spacing w:line="364" w:lineRule="auto" w:before="7"/>
        <w:ind w:left="816" w:right="117" w:hanging="701"/>
        <w:jc w:val="both"/>
      </w:pPr>
      <w:r>
        <w:rPr/>
        <w:t>RAMIREZ-RESTREPO, C. A., BARRY, T. N., MARRINER, A., LOPEZ- VILLALOBOS, N., MCWILLIAM, E. L., LASSEY, K. R. &amp; CLARK, H.   (2010a)</w:t>
      </w:r>
    </w:p>
    <w:p>
      <w:pPr>
        <w:pStyle w:val="BodyText"/>
        <w:spacing w:line="364" w:lineRule="auto" w:before="5"/>
        <w:ind w:left="816" w:right="122"/>
        <w:jc w:val="both"/>
      </w:pPr>
      <w:r>
        <w:rPr/>
        <w:t>Effects of grazing willow fodder blocks upon methane production and blood composition in young sheep.</w:t>
      </w:r>
      <w:r>
        <w:rPr>
          <w:i/>
        </w:rPr>
        <w:t>Anim Feed Sci Tech</w:t>
      </w:r>
      <w:r>
        <w:rPr/>
        <w:t>, 155</w:t>
      </w:r>
      <w:r>
        <w:rPr>
          <w:b/>
        </w:rPr>
        <w:t>,  </w:t>
      </w:r>
      <w:r>
        <w:rPr/>
        <w:t>33-43.</w:t>
      </w:r>
    </w:p>
    <w:p>
      <w:pPr>
        <w:pStyle w:val="BodyText"/>
        <w:spacing w:line="367" w:lineRule="auto" w:before="5"/>
        <w:ind w:left="816" w:right="119" w:hanging="701"/>
        <w:jc w:val="both"/>
      </w:pPr>
      <w:r>
        <w:rPr/>
        <w:t>RAMIREZ-RESTREPO, C. A., PERNTHANER, A., BARRY, T. N., LÃ³PEZ- VILLALOBOS,  N.,  SHAW, R. J., POMROY, W. E. &amp;  HEIN, W. R.    (2010b)</w:t>
      </w:r>
    </w:p>
    <w:p>
      <w:pPr>
        <w:pStyle w:val="BodyText"/>
        <w:spacing w:line="364" w:lineRule="auto"/>
        <w:ind w:left="816" w:right="120"/>
        <w:jc w:val="both"/>
      </w:pPr>
      <w:r>
        <w:rPr/>
        <w:t>Characterization of immune responses  against gastrointestinal  nematodes in weaned lambs grazing willow fodder blocks.</w:t>
      </w:r>
      <w:r>
        <w:rPr>
          <w:i/>
        </w:rPr>
        <w:t>Anim Feed Sci Tech, </w:t>
      </w:r>
      <w:r>
        <w:rPr/>
        <w:t>155</w:t>
      </w:r>
      <w:r>
        <w:rPr>
          <w:b/>
        </w:rPr>
        <w:t>, </w:t>
      </w:r>
      <w:r>
        <w:rPr/>
        <w:t>99- 110.</w:t>
      </w:r>
    </w:p>
    <w:p>
      <w:pPr>
        <w:pStyle w:val="BodyText"/>
        <w:spacing w:line="364" w:lineRule="auto" w:before="5"/>
        <w:ind w:left="816" w:right="117" w:hanging="701"/>
        <w:jc w:val="both"/>
      </w:pPr>
      <w:r>
        <w:rPr/>
        <w:t>RIVERO, N., SALEM, A. Z. M., GADO, H. M., GONZALEZ-RONQUILLO, M., PLIEGO, A. B., PEÃ±UELAS, C. G. P. U. C. G. &amp; ODONGO, N. E. (2012)</w:t>
      </w:r>
    </w:p>
    <w:p>
      <w:pPr>
        <w:pStyle w:val="BodyText"/>
        <w:spacing w:line="364" w:lineRule="auto" w:before="5"/>
        <w:ind w:left="816" w:right="117"/>
        <w:jc w:val="both"/>
      </w:pPr>
      <w:r>
        <w:rPr/>
        <w:t>Effect of exogenous enzymes and Salix babylonica extract or their combination on haematological parameters in growing lambs. </w:t>
      </w:r>
      <w:r>
        <w:rPr>
          <w:i/>
        </w:rPr>
        <w:t>JAnimFeed  </w:t>
      </w:r>
      <w:r>
        <w:rPr>
          <w:i/>
        </w:rPr>
        <w:t>Sci, </w:t>
      </w:r>
      <w:r>
        <w:rPr/>
        <w:t>21</w:t>
      </w:r>
      <w:r>
        <w:rPr>
          <w:b/>
        </w:rPr>
        <w:t>,</w:t>
      </w:r>
      <w:r>
        <w:rPr>
          <w:b/>
          <w:spacing w:val="17"/>
        </w:rPr>
        <w:t> </w:t>
      </w:r>
      <w:r>
        <w:rPr/>
        <w:t>577-586.</w:t>
      </w:r>
    </w:p>
    <w:p>
      <w:pPr>
        <w:pStyle w:val="BodyText"/>
        <w:spacing w:before="5"/>
        <w:ind w:left="116" w:right="118"/>
      </w:pPr>
      <w:r>
        <w:rPr/>
        <w:t>SALEM, A. Z. M., EL-ADAWY, M., GADO, H., CAMACHO, L. M., RONQUILLO,  M.,</w:t>
      </w:r>
    </w:p>
    <w:p>
      <w:pPr>
        <w:pStyle w:val="BodyText"/>
        <w:spacing w:line="364" w:lineRule="auto" w:before="141"/>
        <w:ind w:left="816" w:right="117"/>
        <w:jc w:val="both"/>
      </w:pPr>
      <w:r>
        <w:rPr/>
        <w:t>ALSERSY, H. &amp; BORHAMI, B. (2011a) Effects of exogenous enzymes on nutrients digestibility and growth performance in sheep and goats.</w:t>
      </w:r>
      <w:r>
        <w:rPr>
          <w:i/>
        </w:rPr>
        <w:t>Trop. </w:t>
      </w:r>
      <w:r>
        <w:rPr>
          <w:i/>
        </w:rPr>
        <w:t>Subtrop. Agroecosyst, </w:t>
      </w:r>
      <w:r>
        <w:rPr/>
        <w:t>14</w:t>
      </w:r>
      <w:r>
        <w:rPr>
          <w:b/>
        </w:rPr>
        <w:t>, </w:t>
      </w:r>
      <w:r>
        <w:rPr/>
        <w:t>867- 874.</w:t>
      </w:r>
    </w:p>
    <w:p>
      <w:pPr>
        <w:pStyle w:val="BodyText"/>
        <w:spacing w:before="5"/>
        <w:ind w:left="116" w:right="118"/>
      </w:pPr>
      <w:r>
        <w:rPr/>
        <w:t>SALEM, A. Z. M., GADO, H. M.,  COLOMBATTO, D.  &amp; ELGHANDOUR, M.    M.  Y.</w:t>
      </w:r>
    </w:p>
    <w:p>
      <w:pPr>
        <w:pStyle w:val="BodyText"/>
        <w:spacing w:line="364" w:lineRule="auto" w:before="136"/>
        <w:ind w:left="816" w:right="121"/>
        <w:jc w:val="both"/>
      </w:pPr>
      <w:r>
        <w:rPr/>
        <w:t>(2013) Effects of exogenous enzymes on nutrient digestibility, ruminal fermentation and growth performance in beef steers. </w:t>
      </w:r>
      <w:r>
        <w:rPr>
          <w:i/>
        </w:rPr>
        <w:t>Livest Sci, </w:t>
      </w:r>
      <w:r>
        <w:rPr/>
        <w:t>154</w:t>
      </w:r>
      <w:r>
        <w:rPr>
          <w:b/>
        </w:rPr>
        <w:t>,  </w:t>
      </w:r>
      <w:r>
        <w:rPr/>
        <w:t>69-73.</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816" w:right="118" w:hanging="701"/>
      </w:pPr>
      <w:r>
        <w:rPr/>
        <w:t>SALEM, A. Z. M., OLIVARES, M., LOPEZ, S., GONZALEZ-RONQUILLO, M., R. ROJO,  CAMACHO,  L.  M.,  CERRILLO,  S.  M.  A.  &amp; MEJIA,  H. P. (2011b)</w:t>
      </w:r>
    </w:p>
    <w:p>
      <w:pPr>
        <w:pStyle w:val="BodyText"/>
        <w:spacing w:line="364" w:lineRule="auto" w:before="5"/>
        <w:ind w:left="816" w:right="117"/>
        <w:jc w:val="both"/>
      </w:pPr>
      <w:r>
        <w:rPr/>
        <w:t>Effect of natural extracts of Salix babylonica and Leucaena leucocephala on nutrient digestibility and growth performance of lambs. </w:t>
      </w:r>
      <w:r>
        <w:rPr>
          <w:i/>
        </w:rPr>
        <w:t>Anim Feed Sci Tech, </w:t>
      </w:r>
      <w:r>
        <w:rPr/>
        <w:t>170</w:t>
      </w:r>
      <w:r>
        <w:rPr>
          <w:b/>
        </w:rPr>
        <w:t>, </w:t>
      </w:r>
      <w:r>
        <w:rPr/>
        <w:t>27- 34.</w:t>
      </w:r>
    </w:p>
    <w:p>
      <w:pPr>
        <w:pStyle w:val="BodyText"/>
        <w:spacing w:before="10"/>
        <w:ind w:left="116" w:right="224"/>
      </w:pPr>
      <w:r>
        <w:rPr/>
        <w:t>SALEM, A. Z. M., ROBINSON, P. H., LÓPEZ, S., GOHAR,</w:t>
      </w:r>
      <w:r>
        <w:rPr>
          <w:spacing w:val="53"/>
        </w:rPr>
        <w:t> </w:t>
      </w:r>
      <w:r>
        <w:rPr>
          <w:spacing w:val="-3"/>
        </w:rPr>
        <w:t>Y.</w:t>
      </w:r>
      <w:r>
        <w:rPr>
          <w:spacing w:val="50"/>
        </w:rPr>
        <w:t> </w:t>
      </w:r>
      <w:r>
        <w:rPr/>
        <w:t>M., ROJO, R. &amp;</w:t>
      </w:r>
    </w:p>
    <w:p>
      <w:pPr>
        <w:pStyle w:val="BodyText"/>
        <w:spacing w:line="364" w:lineRule="auto" w:before="136"/>
        <w:ind w:left="816" w:right="118"/>
        <w:jc w:val="both"/>
      </w:pPr>
      <w:r>
        <w:rPr/>
        <w:t>TINOCO, J. L. (2010) Sensitivity of sheep intestinal lactic acid bacteria to secondary metabolites extracted from Acacia saligna leaves. </w:t>
      </w:r>
      <w:r>
        <w:rPr>
          <w:i/>
        </w:rPr>
        <w:t>Anim Feed Sci </w:t>
      </w:r>
      <w:r>
        <w:rPr>
          <w:i/>
        </w:rPr>
        <w:t>Technol, </w:t>
      </w:r>
      <w:r>
        <w:rPr/>
        <w:t>161</w:t>
      </w:r>
      <w:r>
        <w:rPr>
          <w:b/>
        </w:rPr>
        <w:t>, </w:t>
      </w:r>
      <w:r>
        <w:rPr/>
        <w:t>85 - 93.</w:t>
      </w:r>
    </w:p>
    <w:p>
      <w:pPr>
        <w:pStyle w:val="BodyText"/>
        <w:spacing w:before="7"/>
        <w:ind w:left="116"/>
      </w:pPr>
      <w:r>
        <w:rPr/>
        <w:t>SALEM,</w:t>
      </w:r>
      <w:r>
        <w:rPr>
          <w:spacing w:val="58"/>
        </w:rPr>
        <w:t> </w:t>
      </w:r>
      <w:r>
        <w:rPr/>
        <w:t>A.</w:t>
      </w:r>
      <w:r>
        <w:rPr>
          <w:spacing w:val="56"/>
        </w:rPr>
        <w:t> </w:t>
      </w:r>
      <w:r>
        <w:rPr/>
        <w:t>Z.</w:t>
      </w:r>
      <w:r>
        <w:rPr>
          <w:spacing w:val="56"/>
        </w:rPr>
        <w:t> </w:t>
      </w:r>
      <w:r>
        <w:rPr/>
        <w:t>M.,</w:t>
      </w:r>
      <w:r>
        <w:rPr>
          <w:spacing w:val="56"/>
        </w:rPr>
        <w:t> </w:t>
      </w:r>
      <w:r>
        <w:rPr/>
        <w:t>SALEM,</w:t>
      </w:r>
      <w:r>
        <w:rPr>
          <w:spacing w:val="58"/>
        </w:rPr>
        <w:t> </w:t>
      </w:r>
      <w:r>
        <w:rPr/>
        <w:t>M.</w:t>
      </w:r>
      <w:r>
        <w:rPr>
          <w:spacing w:val="58"/>
        </w:rPr>
        <w:t> </w:t>
      </w:r>
      <w:r>
        <w:rPr/>
        <w:t>Z.</w:t>
      </w:r>
      <w:r>
        <w:rPr>
          <w:spacing w:val="58"/>
        </w:rPr>
        <w:t> </w:t>
      </w:r>
      <w:r>
        <w:rPr/>
        <w:t>M.,</w:t>
      </w:r>
      <w:r>
        <w:rPr>
          <w:spacing w:val="56"/>
        </w:rPr>
        <w:t> </w:t>
      </w:r>
      <w:r>
        <w:rPr/>
        <w:t>EL-ADAWY,</w:t>
      </w:r>
      <w:r>
        <w:rPr>
          <w:spacing w:val="56"/>
        </w:rPr>
        <w:t> </w:t>
      </w:r>
      <w:r>
        <w:rPr/>
        <w:t>M.</w:t>
      </w:r>
      <w:r>
        <w:rPr>
          <w:spacing w:val="58"/>
        </w:rPr>
        <w:t> </w:t>
      </w:r>
      <w:r>
        <w:rPr/>
        <w:t>M.</w:t>
      </w:r>
      <w:r>
        <w:rPr>
          <w:spacing w:val="56"/>
        </w:rPr>
        <w:t> </w:t>
      </w:r>
      <w:r>
        <w:rPr/>
        <w:t>&amp;</w:t>
      </w:r>
      <w:r>
        <w:rPr>
          <w:spacing w:val="59"/>
        </w:rPr>
        <w:t> </w:t>
      </w:r>
      <w:r>
        <w:rPr/>
        <w:t>ROBINSON,</w:t>
      </w:r>
      <w:r>
        <w:rPr>
          <w:spacing w:val="58"/>
        </w:rPr>
        <w:t> </w:t>
      </w:r>
      <w:r>
        <w:rPr/>
        <w:t>P.</w:t>
      </w:r>
      <w:r>
        <w:rPr>
          <w:spacing w:val="56"/>
        </w:rPr>
        <w:t> </w:t>
      </w:r>
      <w:r>
        <w:rPr/>
        <w:t>H.</w:t>
      </w:r>
    </w:p>
    <w:p>
      <w:pPr>
        <w:pStyle w:val="BodyText"/>
        <w:spacing w:line="364" w:lineRule="auto" w:before="138"/>
        <w:ind w:left="816" w:right="119"/>
        <w:jc w:val="both"/>
      </w:pPr>
      <w:r>
        <w:rPr/>
        <w:t>(2006) Nutritive evaluations of some browse tree foliages during the dry season: Secondary metabolites, feed intake and in vivo digestibility in sheep and goats.</w:t>
      </w:r>
      <w:r>
        <w:rPr>
          <w:i/>
        </w:rPr>
        <w:t>Anim Feed Sci Technol, </w:t>
      </w:r>
      <w:r>
        <w:rPr/>
        <w:t>127</w:t>
      </w:r>
      <w:r>
        <w:rPr>
          <w:b/>
        </w:rPr>
        <w:t>,</w:t>
      </w:r>
      <w:r>
        <w:rPr>
          <w:b/>
          <w:spacing w:val="55"/>
        </w:rPr>
        <w:t> </w:t>
      </w:r>
      <w:r>
        <w:rPr/>
        <w:t>251-267.</w:t>
      </w:r>
    </w:p>
    <w:p>
      <w:pPr>
        <w:pStyle w:val="BodyText"/>
        <w:spacing w:before="7"/>
        <w:ind w:left="116"/>
      </w:pPr>
      <w:r>
        <w:rPr/>
        <w:t>SAS,  I.  (2002)  SAS  User´s  Guide:  Statistics.  Ver  9.0.  IN  INSTITUTE,  S. (Ed.).</w:t>
      </w:r>
    </w:p>
    <w:p>
      <w:pPr>
        <w:pStyle w:val="BodyText"/>
        <w:spacing w:before="136"/>
        <w:ind w:left="816"/>
        <w:jc w:val="both"/>
      </w:pPr>
      <w:r>
        <w:rPr/>
        <w:t>Cary, N.C. USA.</w:t>
      </w:r>
    </w:p>
    <w:p>
      <w:pPr>
        <w:pStyle w:val="BodyText"/>
        <w:spacing w:before="141"/>
        <w:ind w:left="116" w:right="118"/>
      </w:pPr>
      <w:r>
        <w:rPr/>
        <w:t>SILANIKOVE, N., GILBOA, N., PEREVOLOTSKY, A. &amp;  NITSAN, Z. (1996)    Goats</w:t>
      </w:r>
    </w:p>
    <w:p>
      <w:pPr>
        <w:spacing w:line="367" w:lineRule="auto" w:before="134"/>
        <w:ind w:left="816" w:right="120" w:firstLine="0"/>
        <w:jc w:val="both"/>
        <w:rPr>
          <w:sz w:val="23"/>
        </w:rPr>
      </w:pPr>
      <w:r>
        <w:rPr>
          <w:sz w:val="23"/>
        </w:rPr>
        <w:t>fed tannin-containing leaves do not exhibit toxic syndromes. </w:t>
      </w:r>
      <w:r>
        <w:rPr>
          <w:i/>
          <w:sz w:val="23"/>
        </w:rPr>
        <w:t>Small Ruminant </w:t>
      </w:r>
      <w:r>
        <w:rPr>
          <w:i/>
          <w:sz w:val="23"/>
        </w:rPr>
        <w:t>Res, </w:t>
      </w:r>
      <w:r>
        <w:rPr>
          <w:sz w:val="23"/>
        </w:rPr>
        <w:t>21</w:t>
      </w:r>
      <w:r>
        <w:rPr>
          <w:b/>
          <w:sz w:val="23"/>
        </w:rPr>
        <w:t>, </w:t>
      </w:r>
      <w:r>
        <w:rPr>
          <w:sz w:val="23"/>
        </w:rPr>
        <w:t>195-201.</w:t>
      </w:r>
    </w:p>
    <w:p>
      <w:pPr>
        <w:spacing w:line="367" w:lineRule="auto" w:before="0"/>
        <w:ind w:left="816" w:right="224" w:hanging="701"/>
        <w:jc w:val="left"/>
        <w:rPr>
          <w:sz w:val="23"/>
        </w:rPr>
      </w:pPr>
      <w:r>
        <w:rPr>
          <w:sz w:val="23"/>
        </w:rPr>
        <w:t>SMITH, B. P. (2007) </w:t>
      </w:r>
      <w:r>
        <w:rPr>
          <w:i/>
          <w:sz w:val="23"/>
        </w:rPr>
        <w:t>Large Animal Internal Medicine</w:t>
      </w:r>
      <w:r>
        <w:rPr>
          <w:sz w:val="23"/>
        </w:rPr>
        <w:t>, Elsevier Science Health Science Division.</w:t>
      </w:r>
    </w:p>
    <w:p>
      <w:pPr>
        <w:pStyle w:val="BodyText"/>
        <w:spacing w:line="364" w:lineRule="auto" w:before="2"/>
        <w:ind w:left="816" w:right="120" w:hanging="701"/>
        <w:jc w:val="both"/>
      </w:pPr>
      <w:r>
        <w:rPr/>
        <w:t>TURNER, K. E., WILDEUS, S. &amp; COLLINS, J. R. (2005) Intake, performance, and blood parameters in young goats offered high forage diets of lespedeza or alfalfa hay. </w:t>
      </w:r>
      <w:r>
        <w:rPr>
          <w:i/>
        </w:rPr>
        <w:t>Small Ruminant Res, </w:t>
      </w:r>
      <w:r>
        <w:rPr/>
        <w:t>59</w:t>
      </w:r>
      <w:r>
        <w:rPr>
          <w:b/>
        </w:rPr>
        <w:t>, </w:t>
      </w:r>
      <w:r>
        <w:rPr/>
        <w:t>15-23.</w:t>
      </w:r>
    </w:p>
    <w:p>
      <w:pPr>
        <w:pStyle w:val="BodyText"/>
        <w:spacing w:before="7"/>
        <w:ind w:left="115" w:right="118"/>
      </w:pPr>
      <w:r>
        <w:rPr/>
        <w:t>VAN  SOEST,  P.  J.,  ROBERTSON,  J.  B.  &amp;  LEWIS,  B.  A.  (1991)  Methods  for</w:t>
      </w:r>
    </w:p>
    <w:p>
      <w:pPr>
        <w:pStyle w:val="BodyText"/>
        <w:spacing w:line="364" w:lineRule="auto" w:before="136"/>
        <w:ind w:left="816" w:right="119"/>
        <w:jc w:val="both"/>
      </w:pPr>
      <w:r>
        <w:rPr/>
        <w:t>Dietary Fiber, Neutral Detergent Fiber, and Nonstarch Polysaccharides in Relation to Animal Nutrition. </w:t>
      </w:r>
      <w:r>
        <w:rPr>
          <w:i/>
        </w:rPr>
        <w:t>J Dairy Sci, </w:t>
      </w:r>
      <w:r>
        <w:rPr/>
        <w:t>74</w:t>
      </w:r>
      <w:r>
        <w:rPr>
          <w:b/>
        </w:rPr>
        <w:t>,</w:t>
      </w:r>
      <w:r>
        <w:rPr>
          <w:b/>
          <w:spacing w:val="63"/>
        </w:rPr>
        <w:t> </w:t>
      </w:r>
      <w:r>
        <w:rPr/>
        <w:t>3583-3597.</w:t>
      </w:r>
    </w:p>
    <w:p>
      <w:pPr>
        <w:pStyle w:val="BodyText"/>
        <w:spacing w:before="5"/>
        <w:ind w:left="116" w:right="118"/>
      </w:pPr>
      <w:r>
        <w:rPr/>
        <w:t>WANG,  Y.,  ZHANG,  Y.,  ZHU,  Z.,  ZHU,  S.,  LI,  Y.,  LI,  M.  &amp;  YU,  B.       (2007)</w:t>
      </w:r>
    </w:p>
    <w:p>
      <w:pPr>
        <w:pStyle w:val="BodyText"/>
        <w:spacing w:line="362" w:lineRule="auto" w:before="141"/>
        <w:ind w:left="816" w:right="120"/>
        <w:jc w:val="both"/>
      </w:pPr>
      <w:r>
        <w:rPr/>
        <w:t>Exploration of the correlation between the structure, hemolytic activity, and cytotoxicity of steroid saponins.</w:t>
      </w:r>
      <w:r>
        <w:rPr>
          <w:i/>
        </w:rPr>
        <w:t>BioorMed Chemlett, </w:t>
      </w:r>
      <w:r>
        <w:rPr/>
        <w:t>15</w:t>
      </w:r>
      <w:r>
        <w:rPr>
          <w:b/>
        </w:rPr>
        <w:t>,  </w:t>
      </w:r>
      <w:r>
        <w:rPr/>
        <w:t>2528-2532.</w:t>
      </w:r>
    </w:p>
    <w:p>
      <w:pPr>
        <w:spacing w:after="0" w:line="362" w:lineRule="auto"/>
        <w:jc w:val="both"/>
        <w:sectPr>
          <w:footerReference w:type="default" r:id="rId217"/>
          <w:pgSz w:w="11900" w:h="16840"/>
          <w:pgMar w:footer="1679" w:header="0" w:top="1600" w:bottom="1860" w:left="1540" w:right="1520"/>
          <w:pgNumType w:start="100"/>
        </w:sectPr>
      </w:pPr>
    </w:p>
    <w:p>
      <w:pPr>
        <w:pStyle w:val="BodyText"/>
        <w:rPr>
          <w:sz w:val="20"/>
        </w:rPr>
      </w:pPr>
    </w:p>
    <w:p>
      <w:pPr>
        <w:pStyle w:val="BodyText"/>
        <w:spacing w:before="5"/>
        <w:rPr>
          <w:sz w:val="16"/>
        </w:rPr>
      </w:pPr>
    </w:p>
    <w:p>
      <w:pPr>
        <w:pStyle w:val="BodyText"/>
        <w:spacing w:line="283" w:lineRule="auto" w:before="74"/>
        <w:ind w:left="116" w:right="100"/>
        <w:jc w:val="both"/>
      </w:pPr>
      <w:r>
        <w:rPr>
          <w:b/>
        </w:rPr>
        <w:t>Table 1. </w:t>
      </w:r>
      <w:r>
        <w:rPr/>
        <w:t>Ingredients and chemical composition of basal diet (%) used in the experiment and levels of secondary metabolites in </w:t>
      </w:r>
      <w:r>
        <w:rPr>
          <w:i/>
        </w:rPr>
        <w:t>Salix babylonica  </w:t>
      </w:r>
      <w:r>
        <w:rPr/>
        <w:t>extract,  g/kgDM.</w:t>
      </w:r>
    </w:p>
    <w:p>
      <w:pPr>
        <w:pStyle w:val="BodyText"/>
        <w:rPr>
          <w:sz w:val="20"/>
        </w:rPr>
      </w:pPr>
    </w:p>
    <w:p>
      <w:pPr>
        <w:pStyle w:val="BodyText"/>
        <w:rPr>
          <w:sz w:val="20"/>
        </w:rPr>
      </w:pPr>
    </w:p>
    <w:p>
      <w:pPr>
        <w:pStyle w:val="BodyText"/>
        <w:rPr>
          <w:sz w:val="20"/>
        </w:rPr>
      </w:pPr>
    </w:p>
    <w:p>
      <w:pPr>
        <w:pStyle w:val="BodyText"/>
        <w:rPr>
          <w:sz w:val="10"/>
        </w:rPr>
      </w:pPr>
    </w:p>
    <w:tbl>
      <w:tblPr>
        <w:tblW w:w="0" w:type="auto"/>
        <w:jc w:val="left"/>
        <w:tblInd w:w="20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66"/>
        <w:gridCol w:w="1196"/>
      </w:tblGrid>
      <w:tr>
        <w:trPr>
          <w:trHeight w:val="516" w:hRule="exact"/>
        </w:trPr>
        <w:tc>
          <w:tcPr>
            <w:tcW w:w="2566" w:type="dxa"/>
            <w:tcBorders>
              <w:left w:val="nil"/>
              <w:right w:val="nil"/>
            </w:tcBorders>
          </w:tcPr>
          <w:p>
            <w:pPr>
              <w:pStyle w:val="TableParagraph"/>
              <w:spacing w:before="0"/>
              <w:ind w:left="330"/>
              <w:rPr>
                <w:b/>
                <w:sz w:val="23"/>
              </w:rPr>
            </w:pPr>
            <w:r>
              <w:rPr>
                <w:b/>
                <w:sz w:val="23"/>
              </w:rPr>
              <w:t>Ingredient of diet</w:t>
            </w:r>
          </w:p>
        </w:tc>
        <w:tc>
          <w:tcPr>
            <w:tcW w:w="1196" w:type="dxa"/>
            <w:tcBorders>
              <w:left w:val="nil"/>
              <w:right w:val="nil"/>
            </w:tcBorders>
          </w:tcPr>
          <w:p>
            <w:pPr>
              <w:pStyle w:val="TableParagraph"/>
              <w:spacing w:before="0"/>
              <w:ind w:left="0" w:right="48"/>
              <w:jc w:val="center"/>
              <w:rPr>
                <w:b/>
                <w:sz w:val="23"/>
              </w:rPr>
            </w:pPr>
            <w:r>
              <w:rPr>
                <w:b/>
                <w:w w:val="101"/>
                <w:sz w:val="23"/>
              </w:rPr>
              <w:t>%</w:t>
            </w:r>
          </w:p>
        </w:tc>
      </w:tr>
      <w:tr>
        <w:trPr>
          <w:trHeight w:val="399" w:hRule="exact"/>
        </w:trPr>
        <w:tc>
          <w:tcPr>
            <w:tcW w:w="2566" w:type="dxa"/>
            <w:tcBorders>
              <w:left w:val="nil"/>
              <w:bottom w:val="nil"/>
              <w:right w:val="nil"/>
            </w:tcBorders>
          </w:tcPr>
          <w:p>
            <w:pPr>
              <w:pStyle w:val="TableParagraph"/>
              <w:spacing w:before="0"/>
              <w:ind w:left="35"/>
              <w:rPr>
                <w:sz w:val="23"/>
              </w:rPr>
            </w:pPr>
            <w:r>
              <w:rPr>
                <w:sz w:val="23"/>
              </w:rPr>
              <w:t>Corn stover</w:t>
            </w:r>
          </w:p>
        </w:tc>
        <w:tc>
          <w:tcPr>
            <w:tcW w:w="1196" w:type="dxa"/>
            <w:tcBorders>
              <w:left w:val="nil"/>
              <w:bottom w:val="nil"/>
              <w:right w:val="nil"/>
            </w:tcBorders>
          </w:tcPr>
          <w:p>
            <w:pPr>
              <w:pStyle w:val="TableParagraph"/>
              <w:spacing w:before="0"/>
              <w:ind w:left="329" w:right="378"/>
              <w:jc w:val="center"/>
              <w:rPr>
                <w:sz w:val="23"/>
              </w:rPr>
            </w:pPr>
            <w:r>
              <w:rPr>
                <w:sz w:val="23"/>
              </w:rPr>
              <w:t>35.0</w:t>
            </w:r>
          </w:p>
        </w:tc>
      </w:tr>
      <w:tr>
        <w:trPr>
          <w:trHeight w:val="504" w:hRule="exact"/>
        </w:trPr>
        <w:tc>
          <w:tcPr>
            <w:tcW w:w="2566" w:type="dxa"/>
            <w:tcBorders>
              <w:top w:val="nil"/>
              <w:left w:val="nil"/>
              <w:bottom w:val="nil"/>
              <w:right w:val="nil"/>
            </w:tcBorders>
          </w:tcPr>
          <w:p>
            <w:pPr>
              <w:pStyle w:val="TableParagraph"/>
              <w:spacing w:before="107"/>
              <w:ind w:left="35"/>
              <w:rPr>
                <w:sz w:val="23"/>
              </w:rPr>
            </w:pPr>
            <w:r>
              <w:rPr>
                <w:sz w:val="23"/>
              </w:rPr>
              <w:t>Sorghum</w:t>
            </w:r>
          </w:p>
        </w:tc>
        <w:tc>
          <w:tcPr>
            <w:tcW w:w="1196" w:type="dxa"/>
            <w:tcBorders>
              <w:top w:val="nil"/>
              <w:left w:val="nil"/>
              <w:bottom w:val="nil"/>
              <w:right w:val="nil"/>
            </w:tcBorders>
          </w:tcPr>
          <w:p>
            <w:pPr>
              <w:pStyle w:val="TableParagraph"/>
              <w:spacing w:before="107"/>
              <w:ind w:left="329" w:right="378"/>
              <w:jc w:val="center"/>
              <w:rPr>
                <w:sz w:val="23"/>
              </w:rPr>
            </w:pPr>
            <w:r>
              <w:rPr>
                <w:sz w:val="23"/>
              </w:rPr>
              <w:t>35.5</w:t>
            </w:r>
          </w:p>
        </w:tc>
      </w:tr>
      <w:tr>
        <w:trPr>
          <w:trHeight w:val="504" w:hRule="exact"/>
        </w:trPr>
        <w:tc>
          <w:tcPr>
            <w:tcW w:w="2566" w:type="dxa"/>
            <w:tcBorders>
              <w:top w:val="nil"/>
              <w:left w:val="nil"/>
              <w:bottom w:val="nil"/>
              <w:right w:val="nil"/>
            </w:tcBorders>
          </w:tcPr>
          <w:p>
            <w:pPr>
              <w:pStyle w:val="TableParagraph"/>
              <w:spacing w:before="110"/>
              <w:ind w:left="35"/>
              <w:rPr>
                <w:sz w:val="23"/>
              </w:rPr>
            </w:pPr>
            <w:r>
              <w:rPr>
                <w:sz w:val="23"/>
              </w:rPr>
              <w:t>Soybeans</w:t>
            </w:r>
          </w:p>
        </w:tc>
        <w:tc>
          <w:tcPr>
            <w:tcW w:w="1196" w:type="dxa"/>
            <w:tcBorders>
              <w:top w:val="nil"/>
              <w:left w:val="nil"/>
              <w:bottom w:val="nil"/>
              <w:right w:val="nil"/>
            </w:tcBorders>
          </w:tcPr>
          <w:p>
            <w:pPr>
              <w:pStyle w:val="TableParagraph"/>
              <w:spacing w:before="110"/>
              <w:ind w:left="329" w:right="378"/>
              <w:jc w:val="center"/>
              <w:rPr>
                <w:sz w:val="23"/>
              </w:rPr>
            </w:pPr>
            <w:r>
              <w:rPr>
                <w:sz w:val="23"/>
              </w:rPr>
              <w:t>10.0</w:t>
            </w:r>
          </w:p>
        </w:tc>
      </w:tr>
      <w:tr>
        <w:trPr>
          <w:trHeight w:val="503" w:hRule="exact"/>
        </w:trPr>
        <w:tc>
          <w:tcPr>
            <w:tcW w:w="2566" w:type="dxa"/>
            <w:tcBorders>
              <w:top w:val="nil"/>
              <w:left w:val="nil"/>
              <w:bottom w:val="nil"/>
              <w:right w:val="nil"/>
            </w:tcBorders>
          </w:tcPr>
          <w:p>
            <w:pPr>
              <w:pStyle w:val="TableParagraph"/>
              <w:spacing w:before="107"/>
              <w:ind w:left="35"/>
              <w:rPr>
                <w:sz w:val="23"/>
              </w:rPr>
            </w:pPr>
            <w:r>
              <w:rPr>
                <w:sz w:val="23"/>
              </w:rPr>
              <w:t>Canola</w:t>
            </w:r>
          </w:p>
        </w:tc>
        <w:tc>
          <w:tcPr>
            <w:tcW w:w="1196" w:type="dxa"/>
            <w:tcBorders>
              <w:top w:val="nil"/>
              <w:left w:val="nil"/>
              <w:bottom w:val="nil"/>
              <w:right w:val="nil"/>
            </w:tcBorders>
          </w:tcPr>
          <w:p>
            <w:pPr>
              <w:pStyle w:val="TableParagraph"/>
              <w:spacing w:before="107"/>
              <w:ind w:left="329" w:right="378"/>
              <w:jc w:val="center"/>
              <w:rPr>
                <w:sz w:val="23"/>
              </w:rPr>
            </w:pPr>
            <w:r>
              <w:rPr>
                <w:sz w:val="23"/>
              </w:rPr>
              <w:t>7.0</w:t>
            </w:r>
          </w:p>
        </w:tc>
      </w:tr>
      <w:tr>
        <w:trPr>
          <w:trHeight w:val="504" w:hRule="exact"/>
        </w:trPr>
        <w:tc>
          <w:tcPr>
            <w:tcW w:w="2566" w:type="dxa"/>
            <w:tcBorders>
              <w:top w:val="nil"/>
              <w:left w:val="nil"/>
              <w:bottom w:val="nil"/>
              <w:right w:val="nil"/>
            </w:tcBorders>
          </w:tcPr>
          <w:p>
            <w:pPr>
              <w:pStyle w:val="TableParagraph"/>
              <w:spacing w:before="108"/>
              <w:ind w:left="35"/>
              <w:rPr>
                <w:sz w:val="23"/>
              </w:rPr>
            </w:pPr>
            <w:r>
              <w:rPr>
                <w:sz w:val="23"/>
              </w:rPr>
              <w:t>Wheat bran</w:t>
            </w:r>
          </w:p>
        </w:tc>
        <w:tc>
          <w:tcPr>
            <w:tcW w:w="1196" w:type="dxa"/>
            <w:tcBorders>
              <w:top w:val="nil"/>
              <w:left w:val="nil"/>
              <w:bottom w:val="nil"/>
              <w:right w:val="nil"/>
            </w:tcBorders>
          </w:tcPr>
          <w:p>
            <w:pPr>
              <w:pStyle w:val="TableParagraph"/>
              <w:spacing w:before="108"/>
              <w:ind w:left="329" w:right="378"/>
              <w:jc w:val="center"/>
              <w:rPr>
                <w:sz w:val="23"/>
              </w:rPr>
            </w:pPr>
            <w:r>
              <w:rPr>
                <w:sz w:val="23"/>
              </w:rPr>
              <w:t>10.0</w:t>
            </w:r>
          </w:p>
        </w:tc>
      </w:tr>
      <w:tr>
        <w:trPr>
          <w:trHeight w:val="469" w:hRule="exact"/>
        </w:trPr>
        <w:tc>
          <w:tcPr>
            <w:tcW w:w="2566" w:type="dxa"/>
            <w:tcBorders>
              <w:top w:val="nil"/>
              <w:left w:val="nil"/>
              <w:bottom w:val="nil"/>
              <w:right w:val="nil"/>
            </w:tcBorders>
          </w:tcPr>
          <w:p>
            <w:pPr>
              <w:pStyle w:val="TableParagraph"/>
              <w:spacing w:before="108"/>
              <w:ind w:left="35"/>
              <w:rPr>
                <w:sz w:val="23"/>
              </w:rPr>
            </w:pPr>
            <w:r>
              <w:rPr>
                <w:sz w:val="23"/>
              </w:rPr>
              <w:t>Mineral mix</w:t>
            </w:r>
          </w:p>
        </w:tc>
        <w:tc>
          <w:tcPr>
            <w:tcW w:w="1196" w:type="dxa"/>
            <w:tcBorders>
              <w:top w:val="nil"/>
              <w:left w:val="nil"/>
              <w:bottom w:val="nil"/>
              <w:right w:val="nil"/>
            </w:tcBorders>
          </w:tcPr>
          <w:p>
            <w:pPr>
              <w:pStyle w:val="TableParagraph"/>
              <w:spacing w:before="108"/>
              <w:ind w:left="329" w:right="378"/>
              <w:jc w:val="center"/>
              <w:rPr>
                <w:sz w:val="23"/>
              </w:rPr>
            </w:pPr>
            <w:r>
              <w:rPr>
                <w:sz w:val="23"/>
              </w:rPr>
              <w:t>2.5</w:t>
            </w:r>
          </w:p>
        </w:tc>
      </w:tr>
    </w:tbl>
    <w:p>
      <w:pPr>
        <w:pStyle w:val="BodyText"/>
        <w:spacing w:before="10"/>
        <w:rPr>
          <w:sz w:val="8"/>
        </w:rPr>
      </w:pPr>
      <w:r>
        <w:rPr/>
        <w:pict>
          <v:group style="position:absolute;margin-left:182.75pt;margin-top:7.05393pt;width:186.9pt;height:.5pt;mso-position-horizontal-relative:page;mso-position-vertical-relative:paragraph;z-index:3928;mso-wrap-distance-left:0;mso-wrap-distance-right:0" coordorigin="3655,141" coordsize="3738,10">
            <v:line style="position:absolute" from="3660,146" to="6144,146" stroked="true" strokeweight=".48pt" strokecolor="#000000"/>
            <v:line style="position:absolute" from="6144,146" to="6154,146" stroked="true" strokeweight=".48pt" strokecolor="#000000"/>
            <v:line style="position:absolute" from="6154,146" to="7387,146" stroked="true" strokeweight=".48pt" strokecolor="#000000"/>
            <w10:wrap type="topAndBottom"/>
          </v:group>
        </w:pict>
      </w:r>
    </w:p>
    <w:p>
      <w:pPr>
        <w:pStyle w:val="Heading1"/>
        <w:spacing w:line="233" w:lineRule="exact"/>
        <w:ind w:left="2707"/>
        <w:jc w:val="left"/>
      </w:pPr>
      <w:r>
        <w:rPr/>
        <w:t>Chemical composition</w:t>
      </w:r>
    </w:p>
    <w:p>
      <w:pPr>
        <w:pStyle w:val="BodyText"/>
        <w:spacing w:before="6"/>
        <w:rPr>
          <w:b/>
          <w:sz w:val="17"/>
        </w:rPr>
      </w:pPr>
      <w:r>
        <w:rPr/>
        <w:pict>
          <v:group style="position:absolute;margin-left:182.75pt;margin-top:12.072422pt;width:186.9pt;height:.5pt;mso-position-horizontal-relative:page;mso-position-vertical-relative:paragraph;z-index:3952;mso-wrap-distance-left:0;mso-wrap-distance-right:0" coordorigin="3655,241" coordsize="3738,10">
            <v:line style="position:absolute" from="3660,246" to="6144,246" stroked="true" strokeweight=".48pt" strokecolor="#000000"/>
            <v:line style="position:absolute" from="6144,246" to="6154,246" stroked="true" strokeweight=".48pt" strokecolor="#000000"/>
            <v:line style="position:absolute" from="6154,246" to="7387,246" stroked="true" strokeweight=".48pt" strokecolor="#000000"/>
            <w10:wrap type="topAndBottom"/>
          </v:group>
        </w:pict>
      </w:r>
    </w:p>
    <w:p>
      <w:pPr>
        <w:pStyle w:val="BodyText"/>
        <w:tabs>
          <w:tab w:pos="4995" w:val="left" w:leader="none"/>
        </w:tabs>
        <w:spacing w:line="238" w:lineRule="exact"/>
        <w:ind w:left="2119"/>
      </w:pPr>
      <w:r>
        <w:rPr/>
        <w:t>Dry</w:t>
      </w:r>
      <w:r>
        <w:rPr>
          <w:spacing w:val="1"/>
        </w:rPr>
        <w:t> </w:t>
      </w:r>
      <w:r>
        <w:rPr/>
        <w:t>matter</w:t>
        <w:tab/>
        <w:t>97.0</w:t>
      </w:r>
    </w:p>
    <w:p>
      <w:pPr>
        <w:pStyle w:val="BodyText"/>
        <w:tabs>
          <w:tab w:pos="5451" w:val="right" w:leader="none"/>
        </w:tabs>
        <w:spacing w:before="204"/>
        <w:ind w:left="2119"/>
      </w:pPr>
      <w:r>
        <w:rPr/>
        <w:t>NME</w:t>
      </w:r>
      <w:r>
        <w:rPr>
          <w:position w:val="11"/>
          <w:sz w:val="15"/>
        </w:rPr>
        <w:t>1</w:t>
      </w:r>
      <w:r>
        <w:rPr>
          <w:spacing w:val="25"/>
          <w:position w:val="11"/>
          <w:sz w:val="15"/>
        </w:rPr>
        <w:t> </w:t>
      </w:r>
      <w:r>
        <w:rPr/>
        <w:t>(Mcal/kg)</w:t>
        <w:tab/>
        <w:t>1.55</w:t>
      </w:r>
    </w:p>
    <w:p>
      <w:pPr>
        <w:pStyle w:val="BodyText"/>
        <w:tabs>
          <w:tab w:pos="5451" w:val="right" w:leader="none"/>
        </w:tabs>
        <w:spacing w:before="237"/>
        <w:ind w:left="2119"/>
      </w:pPr>
      <w:r>
        <w:rPr/>
        <w:t>Ash</w:t>
        <w:tab/>
        <w:t>7.47</w:t>
      </w:r>
    </w:p>
    <w:p>
      <w:pPr>
        <w:pStyle w:val="BodyText"/>
        <w:tabs>
          <w:tab w:pos="5451" w:val="right" w:leader="none"/>
        </w:tabs>
        <w:spacing w:before="239"/>
        <w:ind w:left="2119"/>
      </w:pPr>
      <w:r>
        <w:rPr/>
        <w:t>Crude</w:t>
      </w:r>
      <w:r>
        <w:rPr>
          <w:spacing w:val="4"/>
        </w:rPr>
        <w:t> </w:t>
      </w:r>
      <w:r>
        <w:rPr/>
        <w:t>protein</w:t>
        <w:tab/>
        <w:t>13.2</w:t>
      </w:r>
    </w:p>
    <w:p>
      <w:pPr>
        <w:pStyle w:val="BodyText"/>
        <w:tabs>
          <w:tab w:pos="5451" w:val="right" w:leader="none"/>
        </w:tabs>
        <w:spacing w:before="239"/>
        <w:ind w:left="2119"/>
      </w:pPr>
      <w:r>
        <w:rPr/>
        <w:t>Neutral</w:t>
      </w:r>
      <w:r>
        <w:rPr>
          <w:spacing w:val="6"/>
        </w:rPr>
        <w:t> </w:t>
      </w:r>
      <w:r>
        <w:rPr/>
        <w:t>detergent</w:t>
      </w:r>
      <w:r>
        <w:rPr>
          <w:spacing w:val="5"/>
        </w:rPr>
        <w:t> </w:t>
      </w:r>
      <w:r>
        <w:rPr/>
        <w:t>fiber</w:t>
        <w:tab/>
        <w:t>40.6</w:t>
      </w:r>
    </w:p>
    <w:p>
      <w:pPr>
        <w:pStyle w:val="BodyText"/>
        <w:tabs>
          <w:tab w:pos="4995" w:val="left" w:leader="none"/>
        </w:tabs>
        <w:spacing w:before="239"/>
        <w:ind w:left="2119"/>
      </w:pPr>
      <w:r>
        <w:rPr/>
        <w:t>Acid</w:t>
      </w:r>
      <w:r>
        <w:rPr>
          <w:spacing w:val="5"/>
        </w:rPr>
        <w:t> </w:t>
      </w:r>
      <w:r>
        <w:rPr/>
        <w:t>detergent</w:t>
      </w:r>
      <w:r>
        <w:rPr>
          <w:spacing w:val="5"/>
        </w:rPr>
        <w:t> </w:t>
      </w:r>
      <w:r>
        <w:rPr/>
        <w:t>fiber</w:t>
        <w:tab/>
        <w:t>14.0</w:t>
      </w:r>
    </w:p>
    <w:p>
      <w:pPr>
        <w:pStyle w:val="BodyText"/>
        <w:tabs>
          <w:tab w:pos="5384" w:val="right" w:leader="none"/>
        </w:tabs>
        <w:spacing w:before="239"/>
        <w:ind w:left="2119"/>
      </w:pPr>
      <w:r>
        <w:rPr/>
        <w:t>Lignin</w:t>
        <w:tab/>
        <w:t>2.8</w:t>
      </w:r>
    </w:p>
    <w:p>
      <w:pPr>
        <w:pStyle w:val="Heading1"/>
        <w:spacing w:before="244"/>
        <w:ind w:left="2184"/>
        <w:jc w:val="left"/>
      </w:pPr>
      <w:r>
        <w:rPr/>
        <w:pict>
          <v:shape style="position:absolute;margin-left:183pt;margin-top:12.066354pt;width:186.4pt;height:.1pt;mso-position-horizontal-relative:page;mso-position-vertical-relative:paragraph;z-index:3976" coordorigin="3660,241" coordsize="3728,0" path="m3660,241l6144,241m6144,241l6154,241m6154,241l7387,241e" filled="false" stroked="true" strokeweight=".48pt" strokecolor="#000000">
            <v:path arrowok="t"/>
            <w10:wrap type="none"/>
          </v:shape>
        </w:pict>
      </w:r>
      <w:r>
        <w:rPr/>
        <w:t>Secondary metabolites  g/kg DM</w:t>
      </w:r>
    </w:p>
    <w:p>
      <w:pPr>
        <w:pStyle w:val="BodyText"/>
        <w:tabs>
          <w:tab w:pos="5451" w:val="right" w:leader="none"/>
        </w:tabs>
        <w:spacing w:before="251"/>
        <w:ind w:left="2119"/>
      </w:pPr>
      <w:r>
        <w:rPr/>
        <w:pict>
          <v:shape style="position:absolute;margin-left:183pt;margin-top:12.296381pt;width:186.4pt;height:.1pt;mso-position-horizontal-relative:page;mso-position-vertical-relative:paragraph;z-index:4000" coordorigin="3660,246" coordsize="3728,0" path="m3660,246l6144,246m6144,246l6154,246m6154,246l7387,246e" filled="false" stroked="true" strokeweight=".48pt" strokecolor="#000000">
            <v:path arrowok="t"/>
            <w10:wrap type="none"/>
          </v:shape>
        </w:pict>
      </w:r>
      <w:r>
        <w:rPr/>
        <w:t>Total</w:t>
      </w:r>
      <w:r>
        <w:rPr>
          <w:spacing w:val="5"/>
        </w:rPr>
        <w:t> </w:t>
      </w:r>
      <w:r>
        <w:rPr/>
        <w:t>phenolics</w:t>
        <w:tab/>
        <w:t>16.4</w:t>
      </w:r>
    </w:p>
    <w:p>
      <w:pPr>
        <w:pStyle w:val="BodyText"/>
        <w:tabs>
          <w:tab w:pos="5062" w:val="left" w:leader="none"/>
        </w:tabs>
        <w:spacing w:before="242"/>
        <w:ind w:left="2119"/>
      </w:pPr>
      <w:r>
        <w:rPr/>
        <w:t>Saponins</w:t>
        <w:tab/>
        <w:t>5.4</w:t>
      </w:r>
    </w:p>
    <w:p>
      <w:pPr>
        <w:pStyle w:val="BodyText"/>
        <w:tabs>
          <w:tab w:pos="4995" w:val="left" w:leader="none"/>
        </w:tabs>
        <w:spacing w:before="202"/>
        <w:ind w:left="2119"/>
      </w:pPr>
      <w:r>
        <w:rPr/>
        <w:t>Aqueous </w:t>
      </w:r>
      <w:r>
        <w:rPr>
          <w:spacing w:val="11"/>
        </w:rPr>
        <w:t> </w:t>
      </w:r>
      <w:r>
        <w:rPr/>
        <w:t>faction</w:t>
      </w:r>
      <w:r>
        <w:rPr>
          <w:spacing w:val="-22"/>
        </w:rPr>
        <w:t> </w:t>
      </w:r>
      <w:r>
        <w:rPr>
          <w:position w:val="11"/>
          <w:sz w:val="15"/>
        </w:rPr>
        <w:t>2</w:t>
      </w:r>
      <w:r>
        <w:rPr/>
        <w:tab/>
        <w:t>76.3</w:t>
      </w:r>
    </w:p>
    <w:p>
      <w:pPr>
        <w:pStyle w:val="BodyText"/>
        <w:spacing w:line="284" w:lineRule="exact" w:before="699"/>
        <w:ind w:left="115"/>
      </w:pPr>
      <w:r>
        <w:rPr>
          <w:position w:val="11"/>
          <w:sz w:val="15"/>
        </w:rPr>
        <w:t>1  </w:t>
      </w:r>
      <w:r>
        <w:rPr/>
        <w:t>Net Metabolizable Energy.</w:t>
      </w:r>
    </w:p>
    <w:p>
      <w:pPr>
        <w:pStyle w:val="BodyText"/>
        <w:spacing w:line="284" w:lineRule="exact"/>
        <w:ind w:left="115"/>
      </w:pPr>
      <w:r>
        <w:rPr>
          <w:position w:val="11"/>
          <w:sz w:val="15"/>
        </w:rPr>
        <w:t>2  </w:t>
      </w:r>
      <w:r>
        <w:rPr/>
        <w:t>Aqueous fraction: lectins, polypeptides, starch (Cowan, 1999).</w:t>
      </w:r>
    </w:p>
    <w:p>
      <w:pPr>
        <w:spacing w:after="0" w:line="284" w:lineRule="exact"/>
        <w:sectPr>
          <w:pgSz w:w="11900" w:h="16840"/>
          <w:pgMar w:header="0" w:footer="1679" w:top="1600" w:bottom="1860" w:left="1540" w:right="1540"/>
        </w:sectPr>
      </w:pPr>
    </w:p>
    <w:p>
      <w:pPr>
        <w:pStyle w:val="BodyText"/>
        <w:rPr>
          <w:sz w:val="22"/>
        </w:rPr>
      </w:pPr>
    </w:p>
    <w:p>
      <w:pPr>
        <w:pStyle w:val="BodyText"/>
        <w:spacing w:before="10"/>
        <w:rPr>
          <w:sz w:val="20"/>
        </w:rPr>
      </w:pPr>
    </w:p>
    <w:p>
      <w:pPr>
        <w:pStyle w:val="BodyText"/>
        <w:spacing w:line="280" w:lineRule="auto"/>
        <w:ind w:left="735" w:right="738"/>
        <w:jc w:val="both"/>
      </w:pPr>
      <w:r>
        <w:rPr/>
        <w:pict>
          <v:shape style="position:absolute;margin-left:51.119999pt;margin-top:55.426174pt;width:493.6pt;height:29.9pt;mso-position-horizontal-relative:page;mso-position-vertical-relative:paragraph;z-index:4024" type="#_x0000_t202" filled="false" stroked="false">
            <v:textbox inset="0,0,0,0">
              <w:txbxContent>
                <w:tbl>
                  <w:tblPr>
                    <w:tblW w:w="0" w:type="auto"/>
                    <w:jc w:val="left"/>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2338"/>
                    <w:gridCol w:w="1253"/>
                    <w:gridCol w:w="1255"/>
                    <w:gridCol w:w="1255"/>
                    <w:gridCol w:w="1253"/>
                    <w:gridCol w:w="1255"/>
                    <w:gridCol w:w="1255"/>
                  </w:tblGrid>
                  <w:tr>
                    <w:trPr>
                      <w:trHeight w:val="294" w:hRule="exact"/>
                    </w:trPr>
                    <w:tc>
                      <w:tcPr>
                        <w:tcW w:w="2338" w:type="dxa"/>
                        <w:vMerge w:val="restart"/>
                        <w:tcBorders>
                          <w:left w:val="single" w:sz="2" w:space="0" w:color="000000"/>
                          <w:right w:val="single" w:sz="2" w:space="0" w:color="000000"/>
                        </w:tcBorders>
                      </w:tcPr>
                      <w:p>
                        <w:pPr>
                          <w:pStyle w:val="TableParagraph"/>
                          <w:spacing w:before="165"/>
                          <w:ind w:left="643"/>
                          <w:rPr>
                            <w:b/>
                            <w:sz w:val="21"/>
                          </w:rPr>
                        </w:pPr>
                        <w:r>
                          <w:rPr>
                            <w:b/>
                            <w:sz w:val="21"/>
                          </w:rPr>
                          <w:t>Parameter</w:t>
                        </w:r>
                      </w:p>
                    </w:tc>
                    <w:tc>
                      <w:tcPr>
                        <w:tcW w:w="5016" w:type="dxa"/>
                        <w:gridSpan w:val="4"/>
                        <w:tcBorders>
                          <w:left w:val="single" w:sz="2" w:space="0" w:color="000000"/>
                          <w:bottom w:val="single" w:sz="4" w:space="0" w:color="000000"/>
                          <w:right w:val="single" w:sz="2" w:space="0" w:color="000000"/>
                        </w:tcBorders>
                      </w:tcPr>
                      <w:p>
                        <w:pPr>
                          <w:pStyle w:val="TableParagraph"/>
                          <w:spacing w:before="0"/>
                          <w:ind w:left="1921" w:right="1917"/>
                          <w:jc w:val="center"/>
                          <w:rPr>
                            <w:b/>
                            <w:sz w:val="21"/>
                          </w:rPr>
                        </w:pPr>
                        <w:r>
                          <w:rPr>
                            <w:b/>
                            <w:sz w:val="21"/>
                          </w:rPr>
                          <w:t>Treatments</w:t>
                        </w:r>
                      </w:p>
                    </w:tc>
                    <w:tc>
                      <w:tcPr>
                        <w:tcW w:w="1255" w:type="dxa"/>
                        <w:vMerge w:val="restart"/>
                        <w:tcBorders>
                          <w:left w:val="single" w:sz="2" w:space="0" w:color="000000"/>
                          <w:right w:val="single" w:sz="2" w:space="0" w:color="000000"/>
                        </w:tcBorders>
                      </w:tcPr>
                      <w:p>
                        <w:pPr>
                          <w:pStyle w:val="TableParagraph"/>
                          <w:spacing w:before="165"/>
                          <w:ind w:left="249"/>
                          <w:rPr>
                            <w:b/>
                            <w:sz w:val="21"/>
                          </w:rPr>
                        </w:pPr>
                        <w:r>
                          <w:rPr>
                            <w:b/>
                            <w:sz w:val="21"/>
                          </w:rPr>
                          <w:t>P value</w:t>
                        </w:r>
                      </w:p>
                    </w:tc>
                    <w:tc>
                      <w:tcPr>
                        <w:tcW w:w="1255" w:type="dxa"/>
                        <w:vMerge w:val="restart"/>
                        <w:tcBorders>
                          <w:left w:val="single" w:sz="2" w:space="0" w:color="000000"/>
                          <w:right w:val="single" w:sz="2" w:space="0" w:color="000000"/>
                        </w:tcBorders>
                      </w:tcPr>
                      <w:p>
                        <w:pPr>
                          <w:pStyle w:val="TableParagraph"/>
                          <w:spacing w:before="165"/>
                          <w:ind w:left="393"/>
                          <w:rPr>
                            <w:b/>
                            <w:sz w:val="21"/>
                          </w:rPr>
                        </w:pPr>
                        <w:r>
                          <w:rPr>
                            <w:b/>
                            <w:sz w:val="21"/>
                          </w:rPr>
                          <w:t>SEM</w:t>
                        </w:r>
                      </w:p>
                    </w:tc>
                  </w:tr>
                  <w:tr>
                    <w:trPr>
                      <w:trHeight w:val="293" w:hRule="exact"/>
                    </w:trPr>
                    <w:tc>
                      <w:tcPr>
                        <w:tcW w:w="2338" w:type="dxa"/>
                        <w:vMerge/>
                        <w:tcBorders>
                          <w:left w:val="single" w:sz="2" w:space="0" w:color="000000"/>
                          <w:bottom w:val="single" w:sz="4" w:space="0" w:color="000000"/>
                          <w:right w:val="single" w:sz="2" w:space="0" w:color="000000"/>
                        </w:tcBorders>
                      </w:tcPr>
                      <w:p>
                        <w:pPr/>
                      </w:p>
                    </w:tc>
                    <w:tc>
                      <w:tcPr>
                        <w:tcW w:w="1253" w:type="dxa"/>
                        <w:tcBorders>
                          <w:top w:val="single" w:sz="4" w:space="0" w:color="000000"/>
                          <w:left w:val="single" w:sz="2" w:space="0" w:color="000000"/>
                          <w:bottom w:val="single" w:sz="4" w:space="0" w:color="000000"/>
                          <w:right w:val="single" w:sz="4" w:space="0" w:color="000000"/>
                        </w:tcBorders>
                      </w:tcPr>
                      <w:p>
                        <w:pPr>
                          <w:pStyle w:val="TableParagraph"/>
                          <w:spacing w:before="0"/>
                          <w:ind w:left="456" w:right="455"/>
                          <w:jc w:val="center"/>
                          <w:rPr>
                            <w:b/>
                            <w:sz w:val="21"/>
                          </w:rPr>
                        </w:pPr>
                        <w:r>
                          <w:rPr>
                            <w:b/>
                            <w:sz w:val="21"/>
                          </w:rPr>
                          <w:t>CX</w:t>
                        </w:r>
                      </w:p>
                    </w:tc>
                    <w:tc>
                      <w:tcPr>
                        <w:tcW w:w="1255" w:type="dxa"/>
                        <w:tcBorders>
                          <w:top w:val="single" w:sz="4" w:space="0" w:color="000000"/>
                          <w:left w:val="single" w:sz="4" w:space="0" w:color="000000"/>
                          <w:bottom w:val="single" w:sz="4" w:space="0" w:color="000000"/>
                          <w:right w:val="single" w:sz="4" w:space="0" w:color="000000"/>
                        </w:tcBorders>
                      </w:tcPr>
                      <w:p>
                        <w:pPr>
                          <w:pStyle w:val="TableParagraph"/>
                          <w:spacing w:before="0"/>
                          <w:ind w:left="456" w:right="455"/>
                          <w:jc w:val="center"/>
                          <w:rPr>
                            <w:b/>
                            <w:sz w:val="21"/>
                          </w:rPr>
                        </w:pPr>
                        <w:r>
                          <w:rPr>
                            <w:b/>
                            <w:sz w:val="21"/>
                          </w:rPr>
                          <w:t>EZ</w:t>
                        </w:r>
                      </w:p>
                    </w:tc>
                    <w:tc>
                      <w:tcPr>
                        <w:tcW w:w="1255" w:type="dxa"/>
                        <w:tcBorders>
                          <w:top w:val="single" w:sz="4" w:space="0" w:color="000000"/>
                          <w:left w:val="single" w:sz="4" w:space="0" w:color="000000"/>
                          <w:bottom w:val="single" w:sz="4" w:space="0" w:color="000000"/>
                          <w:right w:val="single" w:sz="4" w:space="0" w:color="000000"/>
                        </w:tcBorders>
                      </w:tcPr>
                      <w:p>
                        <w:pPr>
                          <w:pStyle w:val="TableParagraph"/>
                          <w:spacing w:before="0"/>
                          <w:ind w:left="455" w:right="456"/>
                          <w:jc w:val="center"/>
                          <w:rPr>
                            <w:b/>
                            <w:sz w:val="21"/>
                          </w:rPr>
                        </w:pPr>
                        <w:r>
                          <w:rPr>
                            <w:b/>
                            <w:sz w:val="21"/>
                          </w:rPr>
                          <w:t>SB</w:t>
                        </w:r>
                      </w:p>
                    </w:tc>
                    <w:tc>
                      <w:tcPr>
                        <w:tcW w:w="1253" w:type="dxa"/>
                        <w:tcBorders>
                          <w:top w:val="single" w:sz="4" w:space="0" w:color="000000"/>
                          <w:left w:val="single" w:sz="4" w:space="0" w:color="000000"/>
                          <w:bottom w:val="single" w:sz="4" w:space="0" w:color="000000"/>
                          <w:right w:val="single" w:sz="2" w:space="0" w:color="000000"/>
                        </w:tcBorders>
                      </w:tcPr>
                      <w:p>
                        <w:pPr>
                          <w:pStyle w:val="TableParagraph"/>
                          <w:spacing w:before="0"/>
                          <w:ind w:left="335"/>
                          <w:rPr>
                            <w:b/>
                            <w:sz w:val="21"/>
                          </w:rPr>
                        </w:pPr>
                        <w:r>
                          <w:rPr>
                            <w:b/>
                            <w:sz w:val="21"/>
                          </w:rPr>
                          <w:t>EZSB</w:t>
                        </w:r>
                      </w:p>
                    </w:tc>
                    <w:tc>
                      <w:tcPr>
                        <w:tcW w:w="1255" w:type="dxa"/>
                        <w:vMerge/>
                        <w:tcBorders>
                          <w:left w:val="single" w:sz="2" w:space="0" w:color="000000"/>
                          <w:bottom w:val="single" w:sz="4" w:space="0" w:color="000000"/>
                          <w:right w:val="single" w:sz="2" w:space="0" w:color="000000"/>
                        </w:tcBorders>
                      </w:tcPr>
                      <w:p>
                        <w:pPr/>
                      </w:p>
                    </w:tc>
                    <w:tc>
                      <w:tcPr>
                        <w:tcW w:w="1255" w:type="dxa"/>
                        <w:vMerge/>
                        <w:tcBorders>
                          <w:left w:val="single" w:sz="2" w:space="0" w:color="000000"/>
                          <w:bottom w:val="single" w:sz="4" w:space="0" w:color="000000"/>
                          <w:right w:val="single" w:sz="2" w:space="0" w:color="000000"/>
                        </w:tcBorders>
                      </w:tcPr>
                      <w:p>
                        <w:pPr/>
                      </w:p>
                    </w:tc>
                  </w:tr>
                </w:tbl>
                <w:p>
                  <w:pPr>
                    <w:pStyle w:val="BodyText"/>
                  </w:pPr>
                </w:p>
              </w:txbxContent>
            </v:textbox>
            <w10:wrap type="none"/>
          </v:shape>
        </w:pict>
      </w:r>
      <w:r>
        <w:rPr>
          <w:b/>
        </w:rPr>
        <w:t>Table 2. </w:t>
      </w:r>
      <w:r>
        <w:rPr/>
        <w:t>Haematological and biochemical profile in lambs that consumed </w:t>
      </w:r>
      <w:r>
        <w:rPr>
          <w:i/>
        </w:rPr>
        <w:t>Salix </w:t>
      </w:r>
      <w:r>
        <w:rPr>
          <w:i/>
        </w:rPr>
        <w:t>babylonica </w:t>
      </w:r>
      <w:r>
        <w:rPr/>
        <w:t>extract, exogenous enzyme and their combination as feed  additives.</w:t>
      </w:r>
    </w:p>
    <w:p>
      <w:pPr>
        <w:pStyle w:val="BodyText"/>
        <w:rPr>
          <w:sz w:val="20"/>
        </w:rPr>
      </w:pPr>
    </w:p>
    <w:p>
      <w:pPr>
        <w:pStyle w:val="BodyText"/>
        <w:spacing w:before="2"/>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40"/>
        <w:gridCol w:w="1253"/>
        <w:gridCol w:w="1253"/>
        <w:gridCol w:w="1255"/>
        <w:gridCol w:w="1250"/>
        <w:gridCol w:w="1318"/>
        <w:gridCol w:w="1195"/>
      </w:tblGrid>
      <w:tr>
        <w:trPr>
          <w:trHeight w:val="294" w:hRule="exact"/>
        </w:trPr>
        <w:tc>
          <w:tcPr>
            <w:tcW w:w="2340" w:type="dxa"/>
            <w:vMerge w:val="restart"/>
          </w:tcPr>
          <w:p>
            <w:pPr/>
          </w:p>
        </w:tc>
        <w:tc>
          <w:tcPr>
            <w:tcW w:w="1253" w:type="dxa"/>
          </w:tcPr>
          <w:p>
            <w:pPr/>
          </w:p>
        </w:tc>
        <w:tc>
          <w:tcPr>
            <w:tcW w:w="1253" w:type="dxa"/>
          </w:tcPr>
          <w:p>
            <w:pPr/>
          </w:p>
        </w:tc>
        <w:tc>
          <w:tcPr>
            <w:tcW w:w="1255" w:type="dxa"/>
          </w:tcPr>
          <w:p>
            <w:pPr/>
          </w:p>
        </w:tc>
        <w:tc>
          <w:tcPr>
            <w:tcW w:w="1250" w:type="dxa"/>
          </w:tcPr>
          <w:p>
            <w:pPr/>
          </w:p>
        </w:tc>
        <w:tc>
          <w:tcPr>
            <w:tcW w:w="1318" w:type="dxa"/>
          </w:tcPr>
          <w:p>
            <w:pPr/>
          </w:p>
        </w:tc>
        <w:tc>
          <w:tcPr>
            <w:tcW w:w="1195" w:type="dxa"/>
            <w:vMerge w:val="restart"/>
          </w:tcPr>
          <w:p>
            <w:pPr/>
          </w:p>
        </w:tc>
      </w:tr>
      <w:tr>
        <w:trPr>
          <w:trHeight w:val="293" w:hRule="exact"/>
        </w:trPr>
        <w:tc>
          <w:tcPr>
            <w:tcW w:w="2340" w:type="dxa"/>
            <w:vMerge/>
          </w:tcPr>
          <w:p>
            <w:pPr/>
          </w:p>
        </w:tc>
        <w:tc>
          <w:tcPr>
            <w:tcW w:w="1253" w:type="dxa"/>
          </w:tcPr>
          <w:p>
            <w:pPr/>
          </w:p>
        </w:tc>
        <w:tc>
          <w:tcPr>
            <w:tcW w:w="1253" w:type="dxa"/>
          </w:tcPr>
          <w:p>
            <w:pPr/>
          </w:p>
        </w:tc>
        <w:tc>
          <w:tcPr>
            <w:tcW w:w="1255" w:type="dxa"/>
          </w:tcPr>
          <w:p>
            <w:pPr/>
          </w:p>
        </w:tc>
        <w:tc>
          <w:tcPr>
            <w:tcW w:w="1250" w:type="dxa"/>
          </w:tcPr>
          <w:p>
            <w:pPr/>
          </w:p>
        </w:tc>
        <w:tc>
          <w:tcPr>
            <w:tcW w:w="1318" w:type="dxa"/>
          </w:tcPr>
          <w:p>
            <w:pPr/>
          </w:p>
        </w:tc>
        <w:tc>
          <w:tcPr>
            <w:tcW w:w="1195" w:type="dxa"/>
            <w:vMerge/>
          </w:tcPr>
          <w:p>
            <w:pPr/>
          </w:p>
        </w:tc>
      </w:tr>
      <w:tr>
        <w:trPr>
          <w:trHeight w:val="284" w:hRule="exact"/>
        </w:trPr>
        <w:tc>
          <w:tcPr>
            <w:tcW w:w="2340" w:type="dxa"/>
          </w:tcPr>
          <w:p>
            <w:pPr>
              <w:pStyle w:val="TableParagraph"/>
              <w:spacing w:line="249" w:lineRule="exact" w:before="0"/>
              <w:ind w:left="69"/>
              <w:rPr>
                <w:sz w:val="21"/>
              </w:rPr>
            </w:pPr>
            <w:r>
              <w:rPr>
                <w:sz w:val="21"/>
              </w:rPr>
              <w:t>RBC x 10</w:t>
            </w:r>
            <w:r>
              <w:rPr>
                <w:position w:val="10"/>
                <w:sz w:val="13"/>
              </w:rPr>
              <w:t>12</w:t>
            </w:r>
            <w:r>
              <w:rPr>
                <w:sz w:val="21"/>
              </w:rPr>
              <w:t>/L</w:t>
            </w:r>
          </w:p>
        </w:tc>
        <w:tc>
          <w:tcPr>
            <w:tcW w:w="1253" w:type="dxa"/>
          </w:tcPr>
          <w:p>
            <w:pPr>
              <w:pStyle w:val="TableParagraph"/>
              <w:spacing w:before="7"/>
              <w:ind w:right="343"/>
              <w:jc w:val="center"/>
              <w:rPr>
                <w:sz w:val="21"/>
              </w:rPr>
            </w:pPr>
            <w:r>
              <w:rPr>
                <w:sz w:val="21"/>
              </w:rPr>
              <w:t>9.2</w:t>
            </w:r>
          </w:p>
        </w:tc>
        <w:tc>
          <w:tcPr>
            <w:tcW w:w="1253" w:type="dxa"/>
          </w:tcPr>
          <w:p>
            <w:pPr>
              <w:pStyle w:val="TableParagraph"/>
              <w:spacing w:before="7"/>
              <w:ind w:right="343"/>
              <w:jc w:val="center"/>
              <w:rPr>
                <w:sz w:val="21"/>
              </w:rPr>
            </w:pPr>
            <w:r>
              <w:rPr>
                <w:sz w:val="21"/>
              </w:rPr>
              <w:t>10.4</w:t>
            </w:r>
          </w:p>
        </w:tc>
        <w:tc>
          <w:tcPr>
            <w:tcW w:w="1255" w:type="dxa"/>
          </w:tcPr>
          <w:p>
            <w:pPr>
              <w:pStyle w:val="TableParagraph"/>
              <w:spacing w:before="7"/>
              <w:ind w:left="344" w:right="344"/>
              <w:jc w:val="center"/>
              <w:rPr>
                <w:sz w:val="21"/>
              </w:rPr>
            </w:pPr>
            <w:r>
              <w:rPr>
                <w:sz w:val="21"/>
              </w:rPr>
              <w:t>9.7</w:t>
            </w:r>
          </w:p>
        </w:tc>
        <w:tc>
          <w:tcPr>
            <w:tcW w:w="1250" w:type="dxa"/>
          </w:tcPr>
          <w:p>
            <w:pPr>
              <w:pStyle w:val="TableParagraph"/>
              <w:spacing w:before="7"/>
              <w:ind w:left="339" w:right="338"/>
              <w:jc w:val="center"/>
              <w:rPr>
                <w:sz w:val="21"/>
              </w:rPr>
            </w:pPr>
            <w:r>
              <w:rPr>
                <w:sz w:val="21"/>
              </w:rPr>
              <w:t>10.4</w:t>
            </w:r>
          </w:p>
        </w:tc>
        <w:tc>
          <w:tcPr>
            <w:tcW w:w="1318" w:type="dxa"/>
          </w:tcPr>
          <w:p>
            <w:pPr>
              <w:pStyle w:val="TableParagraph"/>
              <w:spacing w:before="7"/>
              <w:ind w:left="302"/>
              <w:rPr>
                <w:sz w:val="21"/>
              </w:rPr>
            </w:pPr>
            <w:r>
              <w:rPr>
                <w:sz w:val="21"/>
              </w:rPr>
              <w:t>0.3228</w:t>
            </w:r>
          </w:p>
        </w:tc>
        <w:tc>
          <w:tcPr>
            <w:tcW w:w="1195" w:type="dxa"/>
          </w:tcPr>
          <w:p>
            <w:pPr>
              <w:pStyle w:val="TableParagraph"/>
              <w:spacing w:before="7"/>
              <w:ind w:right="401"/>
              <w:jc w:val="center"/>
              <w:rPr>
                <w:sz w:val="21"/>
              </w:rPr>
            </w:pPr>
            <w:r>
              <w:rPr>
                <w:sz w:val="21"/>
              </w:rPr>
              <w:t>0.68</w:t>
            </w:r>
          </w:p>
        </w:tc>
      </w:tr>
      <w:tr>
        <w:trPr>
          <w:trHeight w:val="342" w:hRule="exact"/>
        </w:trPr>
        <w:tc>
          <w:tcPr>
            <w:tcW w:w="2340" w:type="dxa"/>
          </w:tcPr>
          <w:p>
            <w:pPr>
              <w:pStyle w:val="TableParagraph"/>
              <w:spacing w:before="50"/>
              <w:ind w:left="69"/>
              <w:rPr>
                <w:sz w:val="21"/>
              </w:rPr>
            </w:pPr>
            <w:r>
              <w:rPr>
                <w:sz w:val="21"/>
              </w:rPr>
              <w:t>PCV L/L</w:t>
            </w:r>
          </w:p>
        </w:tc>
        <w:tc>
          <w:tcPr>
            <w:tcW w:w="1253" w:type="dxa"/>
          </w:tcPr>
          <w:p>
            <w:pPr>
              <w:pStyle w:val="TableParagraph"/>
              <w:spacing w:before="25"/>
              <w:ind w:left="342" w:right="343"/>
              <w:jc w:val="center"/>
              <w:rPr>
                <w:sz w:val="13"/>
              </w:rPr>
            </w:pPr>
            <w:r>
              <w:rPr>
                <w:w w:val="105"/>
                <w:sz w:val="21"/>
              </w:rPr>
              <w:t>0.35</w:t>
            </w:r>
            <w:r>
              <w:rPr>
                <w:w w:val="105"/>
                <w:position w:val="10"/>
                <w:sz w:val="13"/>
              </w:rPr>
              <w:t>b</w:t>
            </w:r>
          </w:p>
        </w:tc>
        <w:tc>
          <w:tcPr>
            <w:tcW w:w="1253" w:type="dxa"/>
          </w:tcPr>
          <w:p>
            <w:pPr>
              <w:pStyle w:val="TableParagraph"/>
              <w:spacing w:before="25"/>
              <w:ind w:left="342" w:right="343"/>
              <w:jc w:val="center"/>
              <w:rPr>
                <w:sz w:val="13"/>
              </w:rPr>
            </w:pPr>
            <w:r>
              <w:rPr>
                <w:w w:val="105"/>
                <w:sz w:val="21"/>
              </w:rPr>
              <w:t>0.36</w:t>
            </w:r>
            <w:r>
              <w:rPr>
                <w:w w:val="105"/>
                <w:position w:val="10"/>
                <w:sz w:val="13"/>
              </w:rPr>
              <w:t>b</w:t>
            </w:r>
          </w:p>
        </w:tc>
        <w:tc>
          <w:tcPr>
            <w:tcW w:w="1255" w:type="dxa"/>
          </w:tcPr>
          <w:p>
            <w:pPr>
              <w:pStyle w:val="TableParagraph"/>
              <w:spacing w:before="25"/>
              <w:ind w:right="344"/>
              <w:jc w:val="center"/>
              <w:rPr>
                <w:sz w:val="13"/>
              </w:rPr>
            </w:pPr>
            <w:r>
              <w:rPr>
                <w:w w:val="105"/>
                <w:sz w:val="21"/>
              </w:rPr>
              <w:t>0.40</w:t>
            </w:r>
            <w:r>
              <w:rPr>
                <w:w w:val="105"/>
                <w:position w:val="10"/>
                <w:sz w:val="13"/>
              </w:rPr>
              <w:t>a</w:t>
            </w:r>
          </w:p>
        </w:tc>
        <w:tc>
          <w:tcPr>
            <w:tcW w:w="1250" w:type="dxa"/>
          </w:tcPr>
          <w:p>
            <w:pPr>
              <w:pStyle w:val="TableParagraph"/>
              <w:spacing w:before="25"/>
              <w:ind w:left="341" w:right="338"/>
              <w:jc w:val="center"/>
              <w:rPr>
                <w:sz w:val="13"/>
              </w:rPr>
            </w:pPr>
            <w:r>
              <w:rPr>
                <w:w w:val="105"/>
                <w:sz w:val="21"/>
              </w:rPr>
              <w:t>0.44</w:t>
            </w:r>
            <w:r>
              <w:rPr>
                <w:w w:val="105"/>
                <w:position w:val="10"/>
                <w:sz w:val="13"/>
              </w:rPr>
              <w:t>a</w:t>
            </w:r>
          </w:p>
        </w:tc>
        <w:tc>
          <w:tcPr>
            <w:tcW w:w="1318" w:type="dxa"/>
          </w:tcPr>
          <w:p>
            <w:pPr>
              <w:pStyle w:val="TableParagraph"/>
              <w:spacing w:before="50"/>
              <w:ind w:left="302"/>
              <w:rPr>
                <w:sz w:val="21"/>
              </w:rPr>
            </w:pPr>
            <w:r>
              <w:rPr>
                <w:sz w:val="21"/>
              </w:rPr>
              <w:t>0.0259</w:t>
            </w:r>
          </w:p>
        </w:tc>
        <w:tc>
          <w:tcPr>
            <w:tcW w:w="1195" w:type="dxa"/>
          </w:tcPr>
          <w:p>
            <w:pPr>
              <w:pStyle w:val="TableParagraph"/>
              <w:spacing w:before="50"/>
              <w:ind w:right="401"/>
              <w:jc w:val="center"/>
              <w:rPr>
                <w:sz w:val="21"/>
              </w:rPr>
            </w:pPr>
            <w:r>
              <w:rPr>
                <w:sz w:val="21"/>
              </w:rPr>
              <w:t>0.02</w:t>
            </w:r>
          </w:p>
        </w:tc>
      </w:tr>
      <w:tr>
        <w:trPr>
          <w:trHeight w:val="304" w:hRule="exact"/>
        </w:trPr>
        <w:tc>
          <w:tcPr>
            <w:tcW w:w="2340" w:type="dxa"/>
          </w:tcPr>
          <w:p>
            <w:pPr>
              <w:pStyle w:val="TableParagraph"/>
              <w:spacing w:before="31"/>
              <w:ind w:left="69"/>
              <w:rPr>
                <w:sz w:val="21"/>
              </w:rPr>
            </w:pPr>
            <w:r>
              <w:rPr>
                <w:sz w:val="21"/>
              </w:rPr>
              <w:t>HMG g/L</w:t>
            </w:r>
          </w:p>
        </w:tc>
        <w:tc>
          <w:tcPr>
            <w:tcW w:w="1253" w:type="dxa"/>
          </w:tcPr>
          <w:p>
            <w:pPr>
              <w:pStyle w:val="TableParagraph"/>
              <w:spacing w:before="31"/>
              <w:ind w:right="343"/>
              <w:jc w:val="center"/>
              <w:rPr>
                <w:sz w:val="21"/>
              </w:rPr>
            </w:pPr>
            <w:r>
              <w:rPr>
                <w:sz w:val="21"/>
              </w:rPr>
              <w:t>117.3</w:t>
            </w:r>
          </w:p>
        </w:tc>
        <w:tc>
          <w:tcPr>
            <w:tcW w:w="1253" w:type="dxa"/>
          </w:tcPr>
          <w:p>
            <w:pPr>
              <w:pStyle w:val="TableParagraph"/>
              <w:spacing w:before="31"/>
              <w:ind w:right="343"/>
              <w:jc w:val="center"/>
              <w:rPr>
                <w:sz w:val="21"/>
              </w:rPr>
            </w:pPr>
            <w:r>
              <w:rPr>
                <w:sz w:val="21"/>
              </w:rPr>
              <w:t>121.0</w:t>
            </w:r>
          </w:p>
        </w:tc>
        <w:tc>
          <w:tcPr>
            <w:tcW w:w="1255" w:type="dxa"/>
          </w:tcPr>
          <w:p>
            <w:pPr>
              <w:pStyle w:val="TableParagraph"/>
              <w:spacing w:before="31"/>
              <w:ind w:left="344" w:right="344"/>
              <w:jc w:val="center"/>
              <w:rPr>
                <w:sz w:val="21"/>
              </w:rPr>
            </w:pPr>
            <w:r>
              <w:rPr>
                <w:sz w:val="21"/>
              </w:rPr>
              <w:t>134.3</w:t>
            </w:r>
          </w:p>
        </w:tc>
        <w:tc>
          <w:tcPr>
            <w:tcW w:w="1250" w:type="dxa"/>
          </w:tcPr>
          <w:p>
            <w:pPr>
              <w:pStyle w:val="TableParagraph"/>
              <w:spacing w:before="31"/>
              <w:ind w:left="345" w:right="338"/>
              <w:jc w:val="center"/>
              <w:rPr>
                <w:sz w:val="21"/>
              </w:rPr>
            </w:pPr>
            <w:r>
              <w:rPr>
                <w:sz w:val="21"/>
              </w:rPr>
              <w:t>132.3</w:t>
            </w:r>
          </w:p>
        </w:tc>
        <w:tc>
          <w:tcPr>
            <w:tcW w:w="1318" w:type="dxa"/>
          </w:tcPr>
          <w:p>
            <w:pPr>
              <w:pStyle w:val="TableParagraph"/>
              <w:spacing w:before="31"/>
              <w:ind w:left="302"/>
              <w:rPr>
                <w:sz w:val="21"/>
              </w:rPr>
            </w:pPr>
            <w:r>
              <w:rPr>
                <w:sz w:val="21"/>
              </w:rPr>
              <w:t>0.1864</w:t>
            </w:r>
          </w:p>
        </w:tc>
        <w:tc>
          <w:tcPr>
            <w:tcW w:w="1195" w:type="dxa"/>
          </w:tcPr>
          <w:p>
            <w:pPr>
              <w:pStyle w:val="TableParagraph"/>
              <w:spacing w:before="31"/>
              <w:ind w:left="344" w:right="401"/>
              <w:jc w:val="center"/>
              <w:rPr>
                <w:sz w:val="21"/>
              </w:rPr>
            </w:pPr>
            <w:r>
              <w:rPr>
                <w:sz w:val="21"/>
              </w:rPr>
              <w:t>7.91</w:t>
            </w:r>
          </w:p>
        </w:tc>
      </w:tr>
      <w:tr>
        <w:trPr>
          <w:trHeight w:val="282" w:hRule="exact"/>
        </w:trPr>
        <w:tc>
          <w:tcPr>
            <w:tcW w:w="2340" w:type="dxa"/>
          </w:tcPr>
          <w:p>
            <w:pPr>
              <w:pStyle w:val="TableParagraph"/>
              <w:spacing w:before="11"/>
              <w:ind w:left="69"/>
              <w:rPr>
                <w:sz w:val="21"/>
              </w:rPr>
            </w:pPr>
            <w:r>
              <w:rPr>
                <w:sz w:val="21"/>
              </w:rPr>
              <w:t>MCV Fl</w:t>
            </w:r>
          </w:p>
        </w:tc>
        <w:tc>
          <w:tcPr>
            <w:tcW w:w="1253" w:type="dxa"/>
          </w:tcPr>
          <w:p>
            <w:pPr>
              <w:pStyle w:val="TableParagraph"/>
              <w:spacing w:before="11"/>
              <w:ind w:left="340" w:right="343"/>
              <w:jc w:val="center"/>
              <w:rPr>
                <w:sz w:val="21"/>
              </w:rPr>
            </w:pPr>
            <w:r>
              <w:rPr>
                <w:sz w:val="21"/>
              </w:rPr>
              <w:t>37.8</w:t>
            </w:r>
          </w:p>
        </w:tc>
        <w:tc>
          <w:tcPr>
            <w:tcW w:w="1253" w:type="dxa"/>
          </w:tcPr>
          <w:p>
            <w:pPr>
              <w:pStyle w:val="TableParagraph"/>
              <w:spacing w:before="11"/>
              <w:ind w:right="343"/>
              <w:jc w:val="center"/>
              <w:rPr>
                <w:sz w:val="21"/>
              </w:rPr>
            </w:pPr>
            <w:r>
              <w:rPr>
                <w:sz w:val="21"/>
              </w:rPr>
              <w:t>35.3</w:t>
            </w:r>
          </w:p>
        </w:tc>
        <w:tc>
          <w:tcPr>
            <w:tcW w:w="1255" w:type="dxa"/>
          </w:tcPr>
          <w:p>
            <w:pPr>
              <w:pStyle w:val="TableParagraph"/>
              <w:spacing w:before="11"/>
              <w:ind w:left="344" w:right="344"/>
              <w:jc w:val="center"/>
              <w:rPr>
                <w:sz w:val="21"/>
              </w:rPr>
            </w:pPr>
            <w:r>
              <w:rPr>
                <w:sz w:val="21"/>
              </w:rPr>
              <w:t>41.3</w:t>
            </w:r>
          </w:p>
        </w:tc>
        <w:tc>
          <w:tcPr>
            <w:tcW w:w="1250" w:type="dxa"/>
          </w:tcPr>
          <w:p>
            <w:pPr>
              <w:pStyle w:val="TableParagraph"/>
              <w:spacing w:before="11"/>
              <w:ind w:left="340" w:right="338"/>
              <w:jc w:val="center"/>
              <w:rPr>
                <w:sz w:val="21"/>
              </w:rPr>
            </w:pPr>
            <w:r>
              <w:rPr>
                <w:sz w:val="21"/>
              </w:rPr>
              <w:t>38.8</w:t>
            </w:r>
          </w:p>
        </w:tc>
        <w:tc>
          <w:tcPr>
            <w:tcW w:w="1318" w:type="dxa"/>
          </w:tcPr>
          <w:p>
            <w:pPr>
              <w:pStyle w:val="TableParagraph"/>
              <w:spacing w:before="11"/>
              <w:ind w:left="302"/>
              <w:rPr>
                <w:sz w:val="21"/>
              </w:rPr>
            </w:pPr>
            <w:r>
              <w:rPr>
                <w:sz w:val="21"/>
              </w:rPr>
              <w:t>0.6263</w:t>
            </w:r>
          </w:p>
        </w:tc>
        <w:tc>
          <w:tcPr>
            <w:tcW w:w="1195" w:type="dxa"/>
          </w:tcPr>
          <w:p>
            <w:pPr>
              <w:pStyle w:val="TableParagraph"/>
              <w:spacing w:before="11"/>
              <w:ind w:right="401"/>
              <w:jc w:val="center"/>
              <w:rPr>
                <w:sz w:val="21"/>
              </w:rPr>
            </w:pPr>
            <w:r>
              <w:rPr>
                <w:sz w:val="21"/>
              </w:rPr>
              <w:t>4.45</w:t>
            </w:r>
          </w:p>
        </w:tc>
      </w:tr>
      <w:tr>
        <w:trPr>
          <w:trHeight w:val="265" w:hRule="exact"/>
        </w:trPr>
        <w:tc>
          <w:tcPr>
            <w:tcW w:w="2340" w:type="dxa"/>
          </w:tcPr>
          <w:p>
            <w:pPr>
              <w:pStyle w:val="TableParagraph"/>
              <w:spacing w:before="10"/>
              <w:ind w:left="69"/>
              <w:rPr>
                <w:sz w:val="21"/>
              </w:rPr>
            </w:pPr>
            <w:r>
              <w:rPr>
                <w:sz w:val="21"/>
              </w:rPr>
              <w:t>MCHC g/L</w:t>
            </w:r>
          </w:p>
        </w:tc>
        <w:tc>
          <w:tcPr>
            <w:tcW w:w="1253" w:type="dxa"/>
          </w:tcPr>
          <w:p>
            <w:pPr>
              <w:pStyle w:val="TableParagraph"/>
              <w:spacing w:before="10"/>
              <w:ind w:right="343"/>
              <w:jc w:val="center"/>
              <w:rPr>
                <w:sz w:val="21"/>
              </w:rPr>
            </w:pPr>
            <w:r>
              <w:rPr>
                <w:sz w:val="21"/>
              </w:rPr>
              <w:t>331.5</w:t>
            </w:r>
          </w:p>
        </w:tc>
        <w:tc>
          <w:tcPr>
            <w:tcW w:w="1253" w:type="dxa"/>
          </w:tcPr>
          <w:p>
            <w:pPr>
              <w:pStyle w:val="TableParagraph"/>
              <w:spacing w:before="10"/>
              <w:ind w:right="343"/>
              <w:jc w:val="center"/>
              <w:rPr>
                <w:sz w:val="21"/>
              </w:rPr>
            </w:pPr>
            <w:r>
              <w:rPr>
                <w:sz w:val="21"/>
              </w:rPr>
              <w:t>332.0</w:t>
            </w:r>
          </w:p>
        </w:tc>
        <w:tc>
          <w:tcPr>
            <w:tcW w:w="1255" w:type="dxa"/>
          </w:tcPr>
          <w:p>
            <w:pPr>
              <w:pStyle w:val="TableParagraph"/>
              <w:spacing w:before="10"/>
              <w:ind w:left="344" w:right="344"/>
              <w:jc w:val="center"/>
              <w:rPr>
                <w:sz w:val="21"/>
              </w:rPr>
            </w:pPr>
            <w:r>
              <w:rPr>
                <w:sz w:val="21"/>
              </w:rPr>
              <w:t>331.2</w:t>
            </w:r>
          </w:p>
        </w:tc>
        <w:tc>
          <w:tcPr>
            <w:tcW w:w="1250" w:type="dxa"/>
          </w:tcPr>
          <w:p>
            <w:pPr>
              <w:pStyle w:val="TableParagraph"/>
              <w:spacing w:before="10"/>
              <w:ind w:left="345" w:right="338"/>
              <w:jc w:val="center"/>
              <w:rPr>
                <w:sz w:val="21"/>
              </w:rPr>
            </w:pPr>
            <w:r>
              <w:rPr>
                <w:sz w:val="21"/>
              </w:rPr>
              <w:t>331.5</w:t>
            </w:r>
          </w:p>
        </w:tc>
        <w:tc>
          <w:tcPr>
            <w:tcW w:w="1318" w:type="dxa"/>
          </w:tcPr>
          <w:p>
            <w:pPr>
              <w:pStyle w:val="TableParagraph"/>
              <w:spacing w:before="10"/>
              <w:ind w:left="302"/>
              <w:rPr>
                <w:sz w:val="21"/>
              </w:rPr>
            </w:pPr>
            <w:r>
              <w:rPr>
                <w:sz w:val="21"/>
              </w:rPr>
              <w:t>0.2603</w:t>
            </w:r>
          </w:p>
        </w:tc>
        <w:tc>
          <w:tcPr>
            <w:tcW w:w="1195" w:type="dxa"/>
          </w:tcPr>
          <w:p>
            <w:pPr>
              <w:pStyle w:val="TableParagraph"/>
              <w:spacing w:before="10"/>
              <w:ind w:left="344" w:right="401"/>
              <w:jc w:val="center"/>
              <w:rPr>
                <w:sz w:val="21"/>
              </w:rPr>
            </w:pPr>
            <w:r>
              <w:rPr>
                <w:sz w:val="21"/>
              </w:rPr>
              <w:t>0.34</w:t>
            </w:r>
          </w:p>
        </w:tc>
      </w:tr>
      <w:tr>
        <w:trPr>
          <w:trHeight w:val="302" w:hRule="exact"/>
        </w:trPr>
        <w:tc>
          <w:tcPr>
            <w:tcW w:w="2340" w:type="dxa"/>
          </w:tcPr>
          <w:p>
            <w:pPr>
              <w:pStyle w:val="TableParagraph"/>
              <w:spacing w:before="1"/>
              <w:ind w:left="69"/>
              <w:rPr>
                <w:sz w:val="21"/>
              </w:rPr>
            </w:pPr>
            <w:r>
              <w:rPr>
                <w:sz w:val="21"/>
              </w:rPr>
              <w:t>WBC x 10</w:t>
            </w:r>
            <w:r>
              <w:rPr>
                <w:position w:val="10"/>
                <w:sz w:val="13"/>
              </w:rPr>
              <w:t>9</w:t>
            </w:r>
            <w:r>
              <w:rPr>
                <w:sz w:val="21"/>
              </w:rPr>
              <w:t>/L</w:t>
            </w:r>
          </w:p>
        </w:tc>
        <w:tc>
          <w:tcPr>
            <w:tcW w:w="1253" w:type="dxa"/>
          </w:tcPr>
          <w:p>
            <w:pPr>
              <w:pStyle w:val="TableParagraph"/>
              <w:spacing w:before="26"/>
              <w:ind w:left="340" w:right="343"/>
              <w:jc w:val="center"/>
              <w:rPr>
                <w:sz w:val="21"/>
              </w:rPr>
            </w:pPr>
            <w:r>
              <w:rPr>
                <w:sz w:val="21"/>
              </w:rPr>
              <w:t>11.0</w:t>
            </w:r>
          </w:p>
        </w:tc>
        <w:tc>
          <w:tcPr>
            <w:tcW w:w="1253" w:type="dxa"/>
          </w:tcPr>
          <w:p>
            <w:pPr>
              <w:pStyle w:val="TableParagraph"/>
              <w:spacing w:before="26"/>
              <w:ind w:right="343"/>
              <w:jc w:val="center"/>
              <w:rPr>
                <w:sz w:val="21"/>
              </w:rPr>
            </w:pPr>
            <w:r>
              <w:rPr>
                <w:sz w:val="21"/>
              </w:rPr>
              <w:t>10.0</w:t>
            </w:r>
          </w:p>
        </w:tc>
        <w:tc>
          <w:tcPr>
            <w:tcW w:w="1255" w:type="dxa"/>
          </w:tcPr>
          <w:p>
            <w:pPr>
              <w:pStyle w:val="TableParagraph"/>
              <w:spacing w:before="26"/>
              <w:ind w:left="344" w:right="344"/>
              <w:jc w:val="center"/>
              <w:rPr>
                <w:sz w:val="21"/>
              </w:rPr>
            </w:pPr>
            <w:r>
              <w:rPr>
                <w:sz w:val="21"/>
              </w:rPr>
              <w:t>11.1</w:t>
            </w:r>
          </w:p>
        </w:tc>
        <w:tc>
          <w:tcPr>
            <w:tcW w:w="1250" w:type="dxa"/>
          </w:tcPr>
          <w:p>
            <w:pPr>
              <w:pStyle w:val="TableParagraph"/>
              <w:spacing w:before="26"/>
              <w:ind w:left="340" w:right="338"/>
              <w:jc w:val="center"/>
              <w:rPr>
                <w:sz w:val="21"/>
              </w:rPr>
            </w:pPr>
            <w:r>
              <w:rPr>
                <w:sz w:val="21"/>
              </w:rPr>
              <w:t>12.1</w:t>
            </w:r>
          </w:p>
        </w:tc>
        <w:tc>
          <w:tcPr>
            <w:tcW w:w="1318" w:type="dxa"/>
          </w:tcPr>
          <w:p>
            <w:pPr>
              <w:pStyle w:val="TableParagraph"/>
              <w:spacing w:before="26"/>
              <w:ind w:left="302"/>
              <w:rPr>
                <w:sz w:val="21"/>
              </w:rPr>
            </w:pPr>
            <w:r>
              <w:rPr>
                <w:sz w:val="21"/>
              </w:rPr>
              <w:t>0.3718</w:t>
            </w:r>
          </w:p>
        </w:tc>
        <w:tc>
          <w:tcPr>
            <w:tcW w:w="1195" w:type="dxa"/>
          </w:tcPr>
          <w:p>
            <w:pPr>
              <w:pStyle w:val="TableParagraph"/>
              <w:spacing w:before="26"/>
              <w:ind w:right="401"/>
              <w:jc w:val="center"/>
              <w:rPr>
                <w:sz w:val="21"/>
              </w:rPr>
            </w:pPr>
            <w:r>
              <w:rPr>
                <w:sz w:val="21"/>
              </w:rPr>
              <w:t>1.06</w:t>
            </w:r>
          </w:p>
        </w:tc>
      </w:tr>
      <w:tr>
        <w:trPr>
          <w:trHeight w:val="326" w:hRule="exact"/>
        </w:trPr>
        <w:tc>
          <w:tcPr>
            <w:tcW w:w="2340" w:type="dxa"/>
          </w:tcPr>
          <w:p>
            <w:pPr>
              <w:pStyle w:val="TableParagraph"/>
              <w:spacing w:before="25"/>
              <w:ind w:left="69"/>
              <w:rPr>
                <w:sz w:val="21"/>
              </w:rPr>
            </w:pPr>
            <w:r>
              <w:rPr>
                <w:sz w:val="21"/>
              </w:rPr>
              <w:t>SGN x 10</w:t>
            </w:r>
            <w:r>
              <w:rPr>
                <w:position w:val="10"/>
                <w:sz w:val="13"/>
              </w:rPr>
              <w:t>9</w:t>
            </w:r>
            <w:r>
              <w:rPr>
                <w:sz w:val="21"/>
              </w:rPr>
              <w:t>/L</w:t>
            </w:r>
          </w:p>
        </w:tc>
        <w:tc>
          <w:tcPr>
            <w:tcW w:w="1253" w:type="dxa"/>
          </w:tcPr>
          <w:p>
            <w:pPr>
              <w:pStyle w:val="TableParagraph"/>
              <w:spacing w:before="50"/>
              <w:ind w:right="343"/>
              <w:jc w:val="center"/>
              <w:rPr>
                <w:sz w:val="21"/>
              </w:rPr>
            </w:pPr>
            <w:r>
              <w:rPr>
                <w:sz w:val="21"/>
              </w:rPr>
              <w:t>3.6</w:t>
            </w:r>
          </w:p>
        </w:tc>
        <w:tc>
          <w:tcPr>
            <w:tcW w:w="1253" w:type="dxa"/>
          </w:tcPr>
          <w:p>
            <w:pPr>
              <w:pStyle w:val="TableParagraph"/>
              <w:spacing w:before="50"/>
              <w:ind w:right="341"/>
              <w:jc w:val="center"/>
              <w:rPr>
                <w:sz w:val="21"/>
              </w:rPr>
            </w:pPr>
            <w:r>
              <w:rPr>
                <w:sz w:val="21"/>
              </w:rPr>
              <w:t>3.7</w:t>
            </w:r>
          </w:p>
        </w:tc>
        <w:tc>
          <w:tcPr>
            <w:tcW w:w="1255" w:type="dxa"/>
          </w:tcPr>
          <w:p>
            <w:pPr>
              <w:pStyle w:val="TableParagraph"/>
              <w:spacing w:before="50"/>
              <w:ind w:left="344" w:right="344"/>
              <w:jc w:val="center"/>
              <w:rPr>
                <w:sz w:val="21"/>
              </w:rPr>
            </w:pPr>
            <w:r>
              <w:rPr>
                <w:sz w:val="21"/>
              </w:rPr>
              <w:t>3.9</w:t>
            </w:r>
          </w:p>
        </w:tc>
        <w:tc>
          <w:tcPr>
            <w:tcW w:w="1250" w:type="dxa"/>
          </w:tcPr>
          <w:p>
            <w:pPr>
              <w:pStyle w:val="TableParagraph"/>
              <w:spacing w:before="50"/>
              <w:ind w:left="342" w:right="338"/>
              <w:jc w:val="center"/>
              <w:rPr>
                <w:sz w:val="21"/>
              </w:rPr>
            </w:pPr>
            <w:r>
              <w:rPr>
                <w:sz w:val="21"/>
              </w:rPr>
              <w:t>3.8</w:t>
            </w:r>
          </w:p>
        </w:tc>
        <w:tc>
          <w:tcPr>
            <w:tcW w:w="1318" w:type="dxa"/>
          </w:tcPr>
          <w:p>
            <w:pPr>
              <w:pStyle w:val="TableParagraph"/>
              <w:spacing w:before="50"/>
              <w:ind w:left="302"/>
              <w:rPr>
                <w:sz w:val="21"/>
              </w:rPr>
            </w:pPr>
            <w:r>
              <w:rPr>
                <w:sz w:val="21"/>
              </w:rPr>
              <w:t>0.9012</w:t>
            </w:r>
          </w:p>
        </w:tc>
        <w:tc>
          <w:tcPr>
            <w:tcW w:w="1195" w:type="dxa"/>
          </w:tcPr>
          <w:p>
            <w:pPr>
              <w:pStyle w:val="TableParagraph"/>
              <w:spacing w:before="50"/>
              <w:ind w:right="401"/>
              <w:jc w:val="center"/>
              <w:rPr>
                <w:sz w:val="21"/>
              </w:rPr>
            </w:pPr>
            <w:r>
              <w:rPr>
                <w:sz w:val="21"/>
              </w:rPr>
              <w:t>0.45</w:t>
            </w:r>
          </w:p>
        </w:tc>
      </w:tr>
      <w:tr>
        <w:trPr>
          <w:trHeight w:val="325" w:hRule="exact"/>
        </w:trPr>
        <w:tc>
          <w:tcPr>
            <w:tcW w:w="2340" w:type="dxa"/>
          </w:tcPr>
          <w:p>
            <w:pPr>
              <w:pStyle w:val="TableParagraph"/>
              <w:spacing w:before="25"/>
              <w:ind w:left="69"/>
              <w:rPr>
                <w:sz w:val="21"/>
              </w:rPr>
            </w:pPr>
            <w:r>
              <w:rPr>
                <w:sz w:val="21"/>
              </w:rPr>
              <w:t>LYM x 10</w:t>
            </w:r>
            <w:r>
              <w:rPr>
                <w:position w:val="10"/>
                <w:sz w:val="13"/>
              </w:rPr>
              <w:t>9</w:t>
            </w:r>
            <w:r>
              <w:rPr>
                <w:sz w:val="21"/>
              </w:rPr>
              <w:t>/L</w:t>
            </w:r>
          </w:p>
        </w:tc>
        <w:tc>
          <w:tcPr>
            <w:tcW w:w="1253" w:type="dxa"/>
          </w:tcPr>
          <w:p>
            <w:pPr>
              <w:pStyle w:val="TableParagraph"/>
              <w:spacing w:before="50"/>
              <w:ind w:right="343"/>
              <w:jc w:val="center"/>
              <w:rPr>
                <w:sz w:val="21"/>
              </w:rPr>
            </w:pPr>
            <w:r>
              <w:rPr>
                <w:sz w:val="21"/>
              </w:rPr>
              <w:t>7.2</w:t>
            </w:r>
          </w:p>
        </w:tc>
        <w:tc>
          <w:tcPr>
            <w:tcW w:w="1253" w:type="dxa"/>
          </w:tcPr>
          <w:p>
            <w:pPr>
              <w:pStyle w:val="TableParagraph"/>
              <w:spacing w:before="50"/>
              <w:ind w:right="341"/>
              <w:jc w:val="center"/>
              <w:rPr>
                <w:sz w:val="21"/>
              </w:rPr>
            </w:pPr>
            <w:r>
              <w:rPr>
                <w:sz w:val="21"/>
              </w:rPr>
              <w:t>6.2</w:t>
            </w:r>
          </w:p>
        </w:tc>
        <w:tc>
          <w:tcPr>
            <w:tcW w:w="1255" w:type="dxa"/>
          </w:tcPr>
          <w:p>
            <w:pPr>
              <w:pStyle w:val="TableParagraph"/>
              <w:spacing w:before="50"/>
              <w:ind w:left="344" w:right="344"/>
              <w:jc w:val="center"/>
              <w:rPr>
                <w:sz w:val="21"/>
              </w:rPr>
            </w:pPr>
            <w:r>
              <w:rPr>
                <w:sz w:val="21"/>
              </w:rPr>
              <w:t>6.6</w:t>
            </w:r>
          </w:p>
        </w:tc>
        <w:tc>
          <w:tcPr>
            <w:tcW w:w="1250" w:type="dxa"/>
          </w:tcPr>
          <w:p>
            <w:pPr>
              <w:pStyle w:val="TableParagraph"/>
              <w:spacing w:before="50"/>
              <w:ind w:left="342" w:right="338"/>
              <w:jc w:val="center"/>
              <w:rPr>
                <w:sz w:val="21"/>
              </w:rPr>
            </w:pPr>
            <w:r>
              <w:rPr>
                <w:sz w:val="21"/>
              </w:rPr>
              <w:t>8.0</w:t>
            </w:r>
          </w:p>
        </w:tc>
        <w:tc>
          <w:tcPr>
            <w:tcW w:w="1318" w:type="dxa"/>
          </w:tcPr>
          <w:p>
            <w:pPr>
              <w:pStyle w:val="TableParagraph"/>
              <w:spacing w:before="50"/>
              <w:ind w:left="302"/>
              <w:rPr>
                <w:sz w:val="21"/>
              </w:rPr>
            </w:pPr>
            <w:r>
              <w:rPr>
                <w:sz w:val="21"/>
              </w:rPr>
              <w:t>0.2232</w:t>
            </w:r>
          </w:p>
        </w:tc>
        <w:tc>
          <w:tcPr>
            <w:tcW w:w="1195" w:type="dxa"/>
          </w:tcPr>
          <w:p>
            <w:pPr>
              <w:pStyle w:val="TableParagraph"/>
              <w:spacing w:before="50"/>
              <w:ind w:right="401"/>
              <w:jc w:val="center"/>
              <w:rPr>
                <w:sz w:val="21"/>
              </w:rPr>
            </w:pPr>
            <w:r>
              <w:rPr>
                <w:sz w:val="21"/>
              </w:rPr>
              <w:t>0.80</w:t>
            </w:r>
          </w:p>
        </w:tc>
      </w:tr>
      <w:tr>
        <w:trPr>
          <w:trHeight w:val="325" w:hRule="exact"/>
        </w:trPr>
        <w:tc>
          <w:tcPr>
            <w:tcW w:w="2340" w:type="dxa"/>
          </w:tcPr>
          <w:p>
            <w:pPr>
              <w:pStyle w:val="TableParagraph"/>
              <w:spacing w:before="23"/>
              <w:ind w:left="69"/>
              <w:rPr>
                <w:sz w:val="21"/>
              </w:rPr>
            </w:pPr>
            <w:r>
              <w:rPr>
                <w:sz w:val="21"/>
              </w:rPr>
              <w:t>BAS x 10</w:t>
            </w:r>
            <w:r>
              <w:rPr>
                <w:position w:val="10"/>
                <w:sz w:val="13"/>
              </w:rPr>
              <w:t>9</w:t>
            </w:r>
            <w:r>
              <w:rPr>
                <w:sz w:val="21"/>
              </w:rPr>
              <w:t>/L</w:t>
            </w:r>
          </w:p>
        </w:tc>
        <w:tc>
          <w:tcPr>
            <w:tcW w:w="1253" w:type="dxa"/>
          </w:tcPr>
          <w:p>
            <w:pPr>
              <w:pStyle w:val="TableParagraph"/>
              <w:spacing w:before="48"/>
              <w:ind w:left="340" w:right="343"/>
              <w:jc w:val="center"/>
              <w:rPr>
                <w:sz w:val="21"/>
              </w:rPr>
            </w:pPr>
            <w:r>
              <w:rPr>
                <w:sz w:val="21"/>
              </w:rPr>
              <w:t>0.00</w:t>
            </w:r>
          </w:p>
        </w:tc>
        <w:tc>
          <w:tcPr>
            <w:tcW w:w="1253" w:type="dxa"/>
          </w:tcPr>
          <w:p>
            <w:pPr>
              <w:pStyle w:val="TableParagraph"/>
              <w:spacing w:before="48"/>
              <w:ind w:right="343"/>
              <w:jc w:val="center"/>
              <w:rPr>
                <w:sz w:val="21"/>
              </w:rPr>
            </w:pPr>
            <w:r>
              <w:rPr>
                <w:sz w:val="21"/>
              </w:rPr>
              <w:t>0.02</w:t>
            </w:r>
          </w:p>
        </w:tc>
        <w:tc>
          <w:tcPr>
            <w:tcW w:w="1255" w:type="dxa"/>
          </w:tcPr>
          <w:p>
            <w:pPr>
              <w:pStyle w:val="TableParagraph"/>
              <w:spacing w:before="48"/>
              <w:ind w:left="344" w:right="344"/>
              <w:jc w:val="center"/>
              <w:rPr>
                <w:sz w:val="21"/>
              </w:rPr>
            </w:pPr>
            <w:r>
              <w:rPr>
                <w:sz w:val="21"/>
              </w:rPr>
              <w:t>0.01</w:t>
            </w:r>
          </w:p>
        </w:tc>
        <w:tc>
          <w:tcPr>
            <w:tcW w:w="1250" w:type="dxa"/>
          </w:tcPr>
          <w:p>
            <w:pPr>
              <w:pStyle w:val="TableParagraph"/>
              <w:spacing w:before="48"/>
              <w:ind w:left="340" w:right="338"/>
              <w:jc w:val="center"/>
              <w:rPr>
                <w:sz w:val="21"/>
              </w:rPr>
            </w:pPr>
            <w:r>
              <w:rPr>
                <w:sz w:val="21"/>
              </w:rPr>
              <w:t>0.00</w:t>
            </w:r>
          </w:p>
        </w:tc>
        <w:tc>
          <w:tcPr>
            <w:tcW w:w="1318" w:type="dxa"/>
          </w:tcPr>
          <w:p>
            <w:pPr>
              <w:pStyle w:val="TableParagraph"/>
              <w:spacing w:before="48"/>
              <w:ind w:left="302"/>
              <w:rPr>
                <w:sz w:val="21"/>
              </w:rPr>
            </w:pPr>
            <w:r>
              <w:rPr>
                <w:sz w:val="21"/>
              </w:rPr>
              <w:t>0.6025</w:t>
            </w:r>
          </w:p>
        </w:tc>
        <w:tc>
          <w:tcPr>
            <w:tcW w:w="1195" w:type="dxa"/>
          </w:tcPr>
          <w:p>
            <w:pPr>
              <w:pStyle w:val="TableParagraph"/>
              <w:spacing w:before="48"/>
              <w:ind w:right="401"/>
              <w:jc w:val="center"/>
              <w:rPr>
                <w:sz w:val="21"/>
              </w:rPr>
            </w:pPr>
            <w:r>
              <w:rPr>
                <w:sz w:val="21"/>
              </w:rPr>
              <w:t>0.02</w:t>
            </w:r>
          </w:p>
        </w:tc>
      </w:tr>
      <w:tr>
        <w:trPr>
          <w:trHeight w:val="342" w:hRule="exact"/>
        </w:trPr>
        <w:tc>
          <w:tcPr>
            <w:tcW w:w="2340" w:type="dxa"/>
          </w:tcPr>
          <w:p>
            <w:pPr>
              <w:pStyle w:val="TableParagraph"/>
              <w:spacing w:before="25"/>
              <w:ind w:left="69"/>
              <w:rPr>
                <w:sz w:val="21"/>
              </w:rPr>
            </w:pPr>
            <w:r>
              <w:rPr>
                <w:sz w:val="21"/>
              </w:rPr>
              <w:t>EOS x 10</w:t>
            </w:r>
            <w:r>
              <w:rPr>
                <w:position w:val="10"/>
                <w:sz w:val="13"/>
              </w:rPr>
              <w:t>9</w:t>
            </w:r>
            <w:r>
              <w:rPr>
                <w:sz w:val="21"/>
              </w:rPr>
              <w:t>/L</w:t>
            </w:r>
          </w:p>
        </w:tc>
        <w:tc>
          <w:tcPr>
            <w:tcW w:w="1253" w:type="dxa"/>
          </w:tcPr>
          <w:p>
            <w:pPr>
              <w:pStyle w:val="TableParagraph"/>
              <w:spacing w:before="50"/>
              <w:ind w:left="340" w:right="343"/>
              <w:jc w:val="center"/>
              <w:rPr>
                <w:sz w:val="21"/>
              </w:rPr>
            </w:pPr>
            <w:r>
              <w:rPr>
                <w:sz w:val="21"/>
              </w:rPr>
              <w:t>0.13</w:t>
            </w:r>
          </w:p>
        </w:tc>
        <w:tc>
          <w:tcPr>
            <w:tcW w:w="1253" w:type="dxa"/>
          </w:tcPr>
          <w:p>
            <w:pPr>
              <w:pStyle w:val="TableParagraph"/>
              <w:spacing w:before="50"/>
              <w:ind w:right="343"/>
              <w:jc w:val="center"/>
              <w:rPr>
                <w:sz w:val="21"/>
              </w:rPr>
            </w:pPr>
            <w:r>
              <w:rPr>
                <w:sz w:val="21"/>
              </w:rPr>
              <w:t>0.09</w:t>
            </w:r>
          </w:p>
        </w:tc>
        <w:tc>
          <w:tcPr>
            <w:tcW w:w="1255" w:type="dxa"/>
          </w:tcPr>
          <w:p>
            <w:pPr>
              <w:pStyle w:val="TableParagraph"/>
              <w:spacing w:before="50"/>
              <w:ind w:left="344" w:right="344"/>
              <w:jc w:val="center"/>
              <w:rPr>
                <w:sz w:val="21"/>
              </w:rPr>
            </w:pPr>
            <w:r>
              <w:rPr>
                <w:sz w:val="21"/>
              </w:rPr>
              <w:t>0.16</w:t>
            </w:r>
          </w:p>
        </w:tc>
        <w:tc>
          <w:tcPr>
            <w:tcW w:w="1250" w:type="dxa"/>
          </w:tcPr>
          <w:p>
            <w:pPr>
              <w:pStyle w:val="TableParagraph"/>
              <w:spacing w:before="50"/>
              <w:ind w:left="340" w:right="338"/>
              <w:jc w:val="center"/>
              <w:rPr>
                <w:sz w:val="21"/>
              </w:rPr>
            </w:pPr>
            <w:r>
              <w:rPr>
                <w:sz w:val="21"/>
              </w:rPr>
              <w:t>0.12</w:t>
            </w:r>
          </w:p>
        </w:tc>
        <w:tc>
          <w:tcPr>
            <w:tcW w:w="1318" w:type="dxa"/>
          </w:tcPr>
          <w:p>
            <w:pPr>
              <w:pStyle w:val="TableParagraph"/>
              <w:spacing w:before="50"/>
              <w:ind w:left="302"/>
              <w:rPr>
                <w:sz w:val="21"/>
              </w:rPr>
            </w:pPr>
            <w:r>
              <w:rPr>
                <w:sz w:val="21"/>
              </w:rPr>
              <w:t>0.8966</w:t>
            </w:r>
          </w:p>
        </w:tc>
        <w:tc>
          <w:tcPr>
            <w:tcW w:w="1195" w:type="dxa"/>
          </w:tcPr>
          <w:p>
            <w:pPr>
              <w:pStyle w:val="TableParagraph"/>
              <w:spacing w:before="50"/>
              <w:ind w:right="401"/>
              <w:jc w:val="center"/>
              <w:rPr>
                <w:sz w:val="21"/>
              </w:rPr>
            </w:pPr>
            <w:r>
              <w:rPr>
                <w:sz w:val="21"/>
              </w:rPr>
              <w:t>0.09</w:t>
            </w:r>
          </w:p>
        </w:tc>
      </w:tr>
      <w:tr>
        <w:trPr>
          <w:trHeight w:val="304" w:hRule="exact"/>
        </w:trPr>
        <w:tc>
          <w:tcPr>
            <w:tcW w:w="2340" w:type="dxa"/>
          </w:tcPr>
          <w:p>
            <w:pPr>
              <w:pStyle w:val="TableParagraph"/>
              <w:spacing w:before="31"/>
              <w:ind w:left="69"/>
              <w:rPr>
                <w:sz w:val="21"/>
              </w:rPr>
            </w:pPr>
            <w:r>
              <w:rPr>
                <w:sz w:val="21"/>
              </w:rPr>
              <w:t>PSP g/Dl</w:t>
            </w:r>
          </w:p>
        </w:tc>
        <w:tc>
          <w:tcPr>
            <w:tcW w:w="1253" w:type="dxa"/>
          </w:tcPr>
          <w:p>
            <w:pPr>
              <w:pStyle w:val="TableParagraph"/>
              <w:spacing w:before="31"/>
              <w:ind w:left="340" w:right="343"/>
              <w:jc w:val="center"/>
              <w:rPr>
                <w:sz w:val="21"/>
              </w:rPr>
            </w:pPr>
            <w:r>
              <w:rPr>
                <w:sz w:val="21"/>
              </w:rPr>
              <w:t>65.8</w:t>
            </w:r>
          </w:p>
        </w:tc>
        <w:tc>
          <w:tcPr>
            <w:tcW w:w="1253" w:type="dxa"/>
          </w:tcPr>
          <w:p>
            <w:pPr>
              <w:pStyle w:val="TableParagraph"/>
              <w:spacing w:before="31"/>
              <w:ind w:right="343"/>
              <w:jc w:val="center"/>
              <w:rPr>
                <w:sz w:val="21"/>
              </w:rPr>
            </w:pPr>
            <w:r>
              <w:rPr>
                <w:sz w:val="21"/>
              </w:rPr>
              <w:t>70.0</w:t>
            </w:r>
          </w:p>
        </w:tc>
        <w:tc>
          <w:tcPr>
            <w:tcW w:w="1255" w:type="dxa"/>
          </w:tcPr>
          <w:p>
            <w:pPr>
              <w:pStyle w:val="TableParagraph"/>
              <w:spacing w:before="31"/>
              <w:ind w:left="344" w:right="344"/>
              <w:jc w:val="center"/>
              <w:rPr>
                <w:sz w:val="21"/>
              </w:rPr>
            </w:pPr>
            <w:r>
              <w:rPr>
                <w:sz w:val="21"/>
              </w:rPr>
              <w:t>67.5</w:t>
            </w:r>
          </w:p>
        </w:tc>
        <w:tc>
          <w:tcPr>
            <w:tcW w:w="1250" w:type="dxa"/>
          </w:tcPr>
          <w:p>
            <w:pPr>
              <w:pStyle w:val="TableParagraph"/>
              <w:spacing w:before="31"/>
              <w:ind w:left="340" w:right="338"/>
              <w:jc w:val="center"/>
              <w:rPr>
                <w:sz w:val="21"/>
              </w:rPr>
            </w:pPr>
            <w:r>
              <w:rPr>
                <w:sz w:val="21"/>
              </w:rPr>
              <w:t>67.5</w:t>
            </w:r>
          </w:p>
        </w:tc>
        <w:tc>
          <w:tcPr>
            <w:tcW w:w="1318" w:type="dxa"/>
          </w:tcPr>
          <w:p>
            <w:pPr>
              <w:pStyle w:val="TableParagraph"/>
              <w:spacing w:before="31"/>
              <w:ind w:left="302"/>
              <w:rPr>
                <w:sz w:val="21"/>
              </w:rPr>
            </w:pPr>
            <w:r>
              <w:rPr>
                <w:sz w:val="21"/>
              </w:rPr>
              <w:t>0.3443</w:t>
            </w:r>
          </w:p>
        </w:tc>
        <w:tc>
          <w:tcPr>
            <w:tcW w:w="1195" w:type="dxa"/>
          </w:tcPr>
          <w:p>
            <w:pPr>
              <w:pStyle w:val="TableParagraph"/>
              <w:spacing w:before="31"/>
              <w:ind w:right="401"/>
              <w:jc w:val="center"/>
              <w:rPr>
                <w:sz w:val="21"/>
              </w:rPr>
            </w:pPr>
            <w:r>
              <w:rPr>
                <w:sz w:val="21"/>
              </w:rPr>
              <w:t>2.13</w:t>
            </w:r>
          </w:p>
        </w:tc>
      </w:tr>
      <w:tr>
        <w:trPr>
          <w:trHeight w:val="304" w:hRule="exact"/>
        </w:trPr>
        <w:tc>
          <w:tcPr>
            <w:tcW w:w="2340" w:type="dxa"/>
          </w:tcPr>
          <w:p>
            <w:pPr>
              <w:pStyle w:val="TableParagraph"/>
              <w:spacing w:before="11"/>
              <w:ind w:left="69"/>
              <w:rPr>
                <w:sz w:val="21"/>
              </w:rPr>
            </w:pPr>
            <w:r>
              <w:rPr>
                <w:sz w:val="21"/>
              </w:rPr>
              <w:t>Glucose mmol/L</w:t>
            </w:r>
          </w:p>
        </w:tc>
        <w:tc>
          <w:tcPr>
            <w:tcW w:w="1253" w:type="dxa"/>
          </w:tcPr>
          <w:p>
            <w:pPr>
              <w:pStyle w:val="TableParagraph"/>
              <w:spacing w:before="11"/>
              <w:ind w:right="343"/>
              <w:jc w:val="center"/>
              <w:rPr>
                <w:sz w:val="21"/>
              </w:rPr>
            </w:pPr>
            <w:r>
              <w:rPr>
                <w:sz w:val="21"/>
              </w:rPr>
              <w:t>3.6</w:t>
            </w:r>
          </w:p>
        </w:tc>
        <w:tc>
          <w:tcPr>
            <w:tcW w:w="1253" w:type="dxa"/>
          </w:tcPr>
          <w:p>
            <w:pPr>
              <w:pStyle w:val="TableParagraph"/>
              <w:spacing w:before="11"/>
              <w:ind w:right="341"/>
              <w:jc w:val="center"/>
              <w:rPr>
                <w:sz w:val="21"/>
              </w:rPr>
            </w:pPr>
            <w:r>
              <w:rPr>
                <w:sz w:val="21"/>
              </w:rPr>
              <w:t>4.4</w:t>
            </w:r>
          </w:p>
        </w:tc>
        <w:tc>
          <w:tcPr>
            <w:tcW w:w="1255" w:type="dxa"/>
          </w:tcPr>
          <w:p>
            <w:pPr>
              <w:pStyle w:val="TableParagraph"/>
              <w:spacing w:before="11"/>
              <w:ind w:left="344" w:right="344"/>
              <w:jc w:val="center"/>
              <w:rPr>
                <w:sz w:val="21"/>
              </w:rPr>
            </w:pPr>
            <w:r>
              <w:rPr>
                <w:sz w:val="21"/>
              </w:rPr>
              <w:t>4.1</w:t>
            </w:r>
          </w:p>
        </w:tc>
        <w:tc>
          <w:tcPr>
            <w:tcW w:w="1250" w:type="dxa"/>
          </w:tcPr>
          <w:p>
            <w:pPr>
              <w:pStyle w:val="TableParagraph"/>
              <w:spacing w:before="11"/>
              <w:ind w:left="342" w:right="338"/>
              <w:jc w:val="center"/>
              <w:rPr>
                <w:sz w:val="21"/>
              </w:rPr>
            </w:pPr>
            <w:r>
              <w:rPr>
                <w:sz w:val="21"/>
              </w:rPr>
              <w:t>4.3</w:t>
            </w:r>
          </w:p>
        </w:tc>
        <w:tc>
          <w:tcPr>
            <w:tcW w:w="1318" w:type="dxa"/>
          </w:tcPr>
          <w:p>
            <w:pPr>
              <w:pStyle w:val="TableParagraph"/>
              <w:spacing w:before="11"/>
              <w:ind w:left="302"/>
              <w:rPr>
                <w:sz w:val="21"/>
              </w:rPr>
            </w:pPr>
            <w:r>
              <w:rPr>
                <w:sz w:val="21"/>
              </w:rPr>
              <w:t>0.1407</w:t>
            </w:r>
          </w:p>
        </w:tc>
        <w:tc>
          <w:tcPr>
            <w:tcW w:w="1195" w:type="dxa"/>
          </w:tcPr>
          <w:p>
            <w:pPr>
              <w:pStyle w:val="TableParagraph"/>
              <w:spacing w:before="11"/>
              <w:ind w:right="401"/>
              <w:jc w:val="center"/>
              <w:rPr>
                <w:sz w:val="21"/>
              </w:rPr>
            </w:pPr>
            <w:r>
              <w:rPr>
                <w:sz w:val="21"/>
              </w:rPr>
              <w:t>0.28</w:t>
            </w:r>
          </w:p>
        </w:tc>
      </w:tr>
      <w:tr>
        <w:trPr>
          <w:trHeight w:val="304" w:hRule="exact"/>
        </w:trPr>
        <w:tc>
          <w:tcPr>
            <w:tcW w:w="2340" w:type="dxa"/>
          </w:tcPr>
          <w:p>
            <w:pPr>
              <w:pStyle w:val="TableParagraph"/>
              <w:spacing w:before="31"/>
              <w:ind w:left="69"/>
              <w:rPr>
                <w:sz w:val="21"/>
              </w:rPr>
            </w:pPr>
            <w:r>
              <w:rPr>
                <w:sz w:val="21"/>
              </w:rPr>
              <w:t>Creatinine mmol/L</w:t>
            </w:r>
          </w:p>
        </w:tc>
        <w:tc>
          <w:tcPr>
            <w:tcW w:w="1253" w:type="dxa"/>
          </w:tcPr>
          <w:p>
            <w:pPr>
              <w:pStyle w:val="TableParagraph"/>
              <w:spacing w:before="31"/>
              <w:ind w:left="341" w:right="343"/>
              <w:jc w:val="center"/>
              <w:rPr>
                <w:sz w:val="21"/>
              </w:rPr>
            </w:pPr>
            <w:r>
              <w:rPr>
                <w:sz w:val="21"/>
              </w:rPr>
              <w:t>84.1</w:t>
            </w:r>
          </w:p>
        </w:tc>
        <w:tc>
          <w:tcPr>
            <w:tcW w:w="1253" w:type="dxa"/>
          </w:tcPr>
          <w:p>
            <w:pPr>
              <w:pStyle w:val="TableParagraph"/>
              <w:spacing w:before="31"/>
              <w:ind w:right="343"/>
              <w:jc w:val="center"/>
              <w:rPr>
                <w:sz w:val="21"/>
              </w:rPr>
            </w:pPr>
            <w:r>
              <w:rPr>
                <w:sz w:val="21"/>
              </w:rPr>
              <w:t>84.3</w:t>
            </w:r>
          </w:p>
        </w:tc>
        <w:tc>
          <w:tcPr>
            <w:tcW w:w="1255" w:type="dxa"/>
          </w:tcPr>
          <w:p>
            <w:pPr>
              <w:pStyle w:val="TableParagraph"/>
              <w:spacing w:before="31"/>
              <w:ind w:left="344" w:right="344"/>
              <w:jc w:val="center"/>
              <w:rPr>
                <w:sz w:val="21"/>
              </w:rPr>
            </w:pPr>
            <w:r>
              <w:rPr>
                <w:sz w:val="21"/>
              </w:rPr>
              <w:t>87.6</w:t>
            </w:r>
          </w:p>
        </w:tc>
        <w:tc>
          <w:tcPr>
            <w:tcW w:w="1250" w:type="dxa"/>
          </w:tcPr>
          <w:p>
            <w:pPr>
              <w:pStyle w:val="TableParagraph"/>
              <w:spacing w:before="31"/>
              <w:ind w:left="340" w:right="338"/>
              <w:jc w:val="center"/>
              <w:rPr>
                <w:sz w:val="21"/>
              </w:rPr>
            </w:pPr>
            <w:r>
              <w:rPr>
                <w:sz w:val="21"/>
              </w:rPr>
              <w:t>83.7</w:t>
            </w:r>
          </w:p>
        </w:tc>
        <w:tc>
          <w:tcPr>
            <w:tcW w:w="1318" w:type="dxa"/>
          </w:tcPr>
          <w:p>
            <w:pPr>
              <w:pStyle w:val="TableParagraph"/>
              <w:spacing w:before="31"/>
              <w:ind w:left="302"/>
              <w:rPr>
                <w:sz w:val="21"/>
              </w:rPr>
            </w:pPr>
            <w:r>
              <w:rPr>
                <w:sz w:val="21"/>
              </w:rPr>
              <w:t>0.5539</w:t>
            </w:r>
          </w:p>
        </w:tc>
        <w:tc>
          <w:tcPr>
            <w:tcW w:w="1195" w:type="dxa"/>
          </w:tcPr>
          <w:p>
            <w:pPr>
              <w:pStyle w:val="TableParagraph"/>
              <w:spacing w:before="31"/>
              <w:ind w:left="344" w:right="401"/>
              <w:jc w:val="center"/>
              <w:rPr>
                <w:sz w:val="21"/>
              </w:rPr>
            </w:pPr>
            <w:r>
              <w:rPr>
                <w:sz w:val="21"/>
              </w:rPr>
              <w:t>2.91</w:t>
            </w:r>
          </w:p>
        </w:tc>
      </w:tr>
      <w:tr>
        <w:trPr>
          <w:trHeight w:val="283" w:hRule="exact"/>
        </w:trPr>
        <w:tc>
          <w:tcPr>
            <w:tcW w:w="2340" w:type="dxa"/>
          </w:tcPr>
          <w:p>
            <w:pPr>
              <w:pStyle w:val="TableParagraph"/>
              <w:spacing w:before="11"/>
              <w:ind w:left="69"/>
              <w:rPr>
                <w:sz w:val="21"/>
              </w:rPr>
            </w:pPr>
            <w:r>
              <w:rPr>
                <w:sz w:val="21"/>
              </w:rPr>
              <w:t>Urea mmol/L</w:t>
            </w:r>
          </w:p>
        </w:tc>
        <w:tc>
          <w:tcPr>
            <w:tcW w:w="1253" w:type="dxa"/>
          </w:tcPr>
          <w:p>
            <w:pPr>
              <w:pStyle w:val="TableParagraph"/>
              <w:spacing w:before="11"/>
              <w:ind w:right="343"/>
              <w:jc w:val="center"/>
              <w:rPr>
                <w:sz w:val="21"/>
              </w:rPr>
            </w:pPr>
            <w:r>
              <w:rPr>
                <w:sz w:val="21"/>
              </w:rPr>
              <w:t>6.9</w:t>
            </w:r>
          </w:p>
        </w:tc>
        <w:tc>
          <w:tcPr>
            <w:tcW w:w="1253" w:type="dxa"/>
          </w:tcPr>
          <w:p>
            <w:pPr>
              <w:pStyle w:val="TableParagraph"/>
              <w:spacing w:before="11"/>
              <w:ind w:right="341"/>
              <w:jc w:val="center"/>
              <w:rPr>
                <w:sz w:val="21"/>
              </w:rPr>
            </w:pPr>
            <w:r>
              <w:rPr>
                <w:sz w:val="21"/>
              </w:rPr>
              <w:t>7.9</w:t>
            </w:r>
          </w:p>
        </w:tc>
        <w:tc>
          <w:tcPr>
            <w:tcW w:w="1255" w:type="dxa"/>
          </w:tcPr>
          <w:p>
            <w:pPr>
              <w:pStyle w:val="TableParagraph"/>
              <w:spacing w:before="11"/>
              <w:ind w:left="344" w:right="344"/>
              <w:jc w:val="center"/>
              <w:rPr>
                <w:sz w:val="21"/>
              </w:rPr>
            </w:pPr>
            <w:r>
              <w:rPr>
                <w:sz w:val="21"/>
              </w:rPr>
              <w:t>7.5</w:t>
            </w:r>
          </w:p>
        </w:tc>
        <w:tc>
          <w:tcPr>
            <w:tcW w:w="1250" w:type="dxa"/>
          </w:tcPr>
          <w:p>
            <w:pPr>
              <w:pStyle w:val="TableParagraph"/>
              <w:spacing w:before="11"/>
              <w:ind w:left="342" w:right="338"/>
              <w:jc w:val="center"/>
              <w:rPr>
                <w:sz w:val="21"/>
              </w:rPr>
            </w:pPr>
            <w:r>
              <w:rPr>
                <w:sz w:val="21"/>
              </w:rPr>
              <w:t>7.0</w:t>
            </w:r>
          </w:p>
        </w:tc>
        <w:tc>
          <w:tcPr>
            <w:tcW w:w="1318" w:type="dxa"/>
          </w:tcPr>
          <w:p>
            <w:pPr>
              <w:pStyle w:val="TableParagraph"/>
              <w:spacing w:before="11"/>
              <w:ind w:left="302"/>
              <w:rPr>
                <w:sz w:val="21"/>
              </w:rPr>
            </w:pPr>
            <w:r>
              <w:rPr>
                <w:sz w:val="21"/>
              </w:rPr>
              <w:t>0.5667</w:t>
            </w:r>
          </w:p>
        </w:tc>
        <w:tc>
          <w:tcPr>
            <w:tcW w:w="1195" w:type="dxa"/>
          </w:tcPr>
          <w:p>
            <w:pPr>
              <w:pStyle w:val="TableParagraph"/>
              <w:spacing w:before="11"/>
              <w:ind w:right="401"/>
              <w:jc w:val="center"/>
              <w:rPr>
                <w:sz w:val="21"/>
              </w:rPr>
            </w:pPr>
            <w:r>
              <w:rPr>
                <w:sz w:val="21"/>
              </w:rPr>
              <w:t>0.77</w:t>
            </w:r>
          </w:p>
        </w:tc>
      </w:tr>
      <w:tr>
        <w:trPr>
          <w:trHeight w:val="282" w:hRule="exact"/>
        </w:trPr>
        <w:tc>
          <w:tcPr>
            <w:tcW w:w="2340" w:type="dxa"/>
          </w:tcPr>
          <w:p>
            <w:pPr>
              <w:pStyle w:val="TableParagraph"/>
              <w:spacing w:before="11"/>
              <w:ind w:left="69"/>
              <w:rPr>
                <w:sz w:val="21"/>
              </w:rPr>
            </w:pPr>
            <w:r>
              <w:rPr>
                <w:sz w:val="21"/>
              </w:rPr>
              <w:t>ALT U/L</w:t>
            </w:r>
          </w:p>
        </w:tc>
        <w:tc>
          <w:tcPr>
            <w:tcW w:w="1253" w:type="dxa"/>
          </w:tcPr>
          <w:p>
            <w:pPr>
              <w:pStyle w:val="TableParagraph"/>
              <w:spacing w:before="11"/>
              <w:ind w:left="340" w:right="343"/>
              <w:jc w:val="center"/>
              <w:rPr>
                <w:sz w:val="21"/>
              </w:rPr>
            </w:pPr>
            <w:r>
              <w:rPr>
                <w:sz w:val="21"/>
              </w:rPr>
              <w:t>15.4</w:t>
            </w:r>
          </w:p>
        </w:tc>
        <w:tc>
          <w:tcPr>
            <w:tcW w:w="1253" w:type="dxa"/>
          </w:tcPr>
          <w:p>
            <w:pPr>
              <w:pStyle w:val="TableParagraph"/>
              <w:spacing w:before="11"/>
              <w:ind w:right="343"/>
              <w:jc w:val="center"/>
              <w:rPr>
                <w:sz w:val="21"/>
              </w:rPr>
            </w:pPr>
            <w:r>
              <w:rPr>
                <w:sz w:val="21"/>
              </w:rPr>
              <w:t>17.3</w:t>
            </w:r>
          </w:p>
        </w:tc>
        <w:tc>
          <w:tcPr>
            <w:tcW w:w="1255" w:type="dxa"/>
          </w:tcPr>
          <w:p>
            <w:pPr>
              <w:pStyle w:val="TableParagraph"/>
              <w:spacing w:before="11"/>
              <w:ind w:left="344" w:right="344"/>
              <w:jc w:val="center"/>
              <w:rPr>
                <w:sz w:val="21"/>
              </w:rPr>
            </w:pPr>
            <w:r>
              <w:rPr>
                <w:sz w:val="21"/>
              </w:rPr>
              <w:t>19.1</w:t>
            </w:r>
          </w:p>
        </w:tc>
        <w:tc>
          <w:tcPr>
            <w:tcW w:w="1250" w:type="dxa"/>
          </w:tcPr>
          <w:p>
            <w:pPr>
              <w:pStyle w:val="TableParagraph"/>
              <w:spacing w:before="11"/>
              <w:ind w:left="342" w:right="338"/>
              <w:jc w:val="center"/>
              <w:rPr>
                <w:sz w:val="21"/>
              </w:rPr>
            </w:pPr>
            <w:r>
              <w:rPr>
                <w:sz w:val="21"/>
              </w:rPr>
              <w:t>18.0</w:t>
            </w:r>
          </w:p>
        </w:tc>
        <w:tc>
          <w:tcPr>
            <w:tcW w:w="1318" w:type="dxa"/>
          </w:tcPr>
          <w:p>
            <w:pPr>
              <w:pStyle w:val="TableParagraph"/>
              <w:spacing w:before="11"/>
              <w:ind w:left="302"/>
              <w:rPr>
                <w:sz w:val="21"/>
              </w:rPr>
            </w:pPr>
            <w:r>
              <w:rPr>
                <w:sz w:val="21"/>
              </w:rPr>
              <w:t>0.4125</w:t>
            </w:r>
          </w:p>
        </w:tc>
        <w:tc>
          <w:tcPr>
            <w:tcW w:w="1195" w:type="dxa"/>
          </w:tcPr>
          <w:p>
            <w:pPr>
              <w:pStyle w:val="TableParagraph"/>
              <w:spacing w:before="11"/>
              <w:ind w:right="401"/>
              <w:jc w:val="center"/>
              <w:rPr>
                <w:sz w:val="21"/>
              </w:rPr>
            </w:pPr>
            <w:r>
              <w:rPr>
                <w:sz w:val="21"/>
              </w:rPr>
              <w:t>2.11</w:t>
            </w:r>
          </w:p>
        </w:tc>
      </w:tr>
      <w:tr>
        <w:trPr>
          <w:trHeight w:val="281" w:hRule="exact"/>
        </w:trPr>
        <w:tc>
          <w:tcPr>
            <w:tcW w:w="2340" w:type="dxa"/>
          </w:tcPr>
          <w:p>
            <w:pPr>
              <w:pStyle w:val="TableParagraph"/>
              <w:spacing w:before="10"/>
              <w:ind w:left="69"/>
              <w:rPr>
                <w:sz w:val="21"/>
              </w:rPr>
            </w:pPr>
            <w:r>
              <w:rPr>
                <w:sz w:val="21"/>
              </w:rPr>
              <w:t>AST U/L</w:t>
            </w:r>
          </w:p>
        </w:tc>
        <w:tc>
          <w:tcPr>
            <w:tcW w:w="1253" w:type="dxa"/>
          </w:tcPr>
          <w:p>
            <w:pPr>
              <w:pStyle w:val="TableParagraph"/>
              <w:spacing w:before="10"/>
              <w:ind w:left="340" w:right="343"/>
              <w:jc w:val="center"/>
              <w:rPr>
                <w:sz w:val="21"/>
              </w:rPr>
            </w:pPr>
            <w:r>
              <w:rPr>
                <w:sz w:val="21"/>
              </w:rPr>
              <w:t>65.8</w:t>
            </w:r>
          </w:p>
        </w:tc>
        <w:tc>
          <w:tcPr>
            <w:tcW w:w="1253" w:type="dxa"/>
          </w:tcPr>
          <w:p>
            <w:pPr>
              <w:pStyle w:val="TableParagraph"/>
              <w:spacing w:before="10"/>
              <w:ind w:right="343"/>
              <w:jc w:val="center"/>
              <w:rPr>
                <w:sz w:val="21"/>
              </w:rPr>
            </w:pPr>
            <w:r>
              <w:rPr>
                <w:sz w:val="21"/>
              </w:rPr>
              <w:t>67.5</w:t>
            </w:r>
          </w:p>
        </w:tc>
        <w:tc>
          <w:tcPr>
            <w:tcW w:w="1255" w:type="dxa"/>
          </w:tcPr>
          <w:p>
            <w:pPr>
              <w:pStyle w:val="TableParagraph"/>
              <w:spacing w:before="10"/>
              <w:ind w:left="344" w:right="344"/>
              <w:jc w:val="center"/>
              <w:rPr>
                <w:sz w:val="21"/>
              </w:rPr>
            </w:pPr>
            <w:r>
              <w:rPr>
                <w:sz w:val="21"/>
              </w:rPr>
              <w:t>72.8</w:t>
            </w:r>
          </w:p>
        </w:tc>
        <w:tc>
          <w:tcPr>
            <w:tcW w:w="1250" w:type="dxa"/>
          </w:tcPr>
          <w:p>
            <w:pPr>
              <w:pStyle w:val="TableParagraph"/>
              <w:spacing w:before="10"/>
              <w:ind w:left="339" w:right="338"/>
              <w:jc w:val="center"/>
              <w:rPr>
                <w:sz w:val="21"/>
              </w:rPr>
            </w:pPr>
            <w:r>
              <w:rPr>
                <w:sz w:val="21"/>
              </w:rPr>
              <w:t>73.5</w:t>
            </w:r>
          </w:p>
        </w:tc>
        <w:tc>
          <w:tcPr>
            <w:tcW w:w="1318" w:type="dxa"/>
          </w:tcPr>
          <w:p>
            <w:pPr>
              <w:pStyle w:val="TableParagraph"/>
              <w:spacing w:before="10"/>
              <w:ind w:left="302"/>
              <w:rPr>
                <w:sz w:val="21"/>
              </w:rPr>
            </w:pPr>
            <w:r>
              <w:rPr>
                <w:sz w:val="21"/>
              </w:rPr>
              <w:t>0.2664</w:t>
            </w:r>
          </w:p>
        </w:tc>
        <w:tc>
          <w:tcPr>
            <w:tcW w:w="1195" w:type="dxa"/>
          </w:tcPr>
          <w:p>
            <w:pPr>
              <w:pStyle w:val="TableParagraph"/>
              <w:spacing w:before="10"/>
              <w:ind w:right="401"/>
              <w:jc w:val="center"/>
              <w:rPr>
                <w:sz w:val="21"/>
              </w:rPr>
            </w:pPr>
            <w:r>
              <w:rPr>
                <w:sz w:val="21"/>
              </w:rPr>
              <w:t>4.16</w:t>
            </w:r>
          </w:p>
        </w:tc>
      </w:tr>
      <w:tr>
        <w:trPr>
          <w:trHeight w:val="282" w:hRule="exact"/>
        </w:trPr>
        <w:tc>
          <w:tcPr>
            <w:tcW w:w="2340" w:type="dxa"/>
          </w:tcPr>
          <w:p>
            <w:pPr>
              <w:pStyle w:val="TableParagraph"/>
              <w:spacing w:before="10"/>
              <w:ind w:left="69"/>
              <w:rPr>
                <w:sz w:val="21"/>
              </w:rPr>
            </w:pPr>
            <w:r>
              <w:rPr>
                <w:sz w:val="21"/>
              </w:rPr>
              <w:t>Phosphorus mmol/L</w:t>
            </w:r>
          </w:p>
        </w:tc>
        <w:tc>
          <w:tcPr>
            <w:tcW w:w="1253" w:type="dxa"/>
          </w:tcPr>
          <w:p>
            <w:pPr>
              <w:pStyle w:val="TableParagraph"/>
              <w:spacing w:before="10"/>
              <w:ind w:right="343"/>
              <w:jc w:val="center"/>
              <w:rPr>
                <w:sz w:val="21"/>
              </w:rPr>
            </w:pPr>
            <w:r>
              <w:rPr>
                <w:sz w:val="21"/>
              </w:rPr>
              <w:t>2.5</w:t>
            </w:r>
          </w:p>
        </w:tc>
        <w:tc>
          <w:tcPr>
            <w:tcW w:w="1253" w:type="dxa"/>
          </w:tcPr>
          <w:p>
            <w:pPr>
              <w:pStyle w:val="TableParagraph"/>
              <w:spacing w:before="10"/>
              <w:ind w:right="341"/>
              <w:jc w:val="center"/>
              <w:rPr>
                <w:sz w:val="21"/>
              </w:rPr>
            </w:pPr>
            <w:r>
              <w:rPr>
                <w:sz w:val="21"/>
              </w:rPr>
              <w:t>2.7</w:t>
            </w:r>
          </w:p>
        </w:tc>
        <w:tc>
          <w:tcPr>
            <w:tcW w:w="1255" w:type="dxa"/>
          </w:tcPr>
          <w:p>
            <w:pPr>
              <w:pStyle w:val="TableParagraph"/>
              <w:spacing w:before="10"/>
              <w:ind w:left="344" w:right="344"/>
              <w:jc w:val="center"/>
              <w:rPr>
                <w:sz w:val="21"/>
              </w:rPr>
            </w:pPr>
            <w:r>
              <w:rPr>
                <w:sz w:val="21"/>
              </w:rPr>
              <w:t>2.5</w:t>
            </w:r>
          </w:p>
        </w:tc>
        <w:tc>
          <w:tcPr>
            <w:tcW w:w="1250" w:type="dxa"/>
          </w:tcPr>
          <w:p>
            <w:pPr>
              <w:pStyle w:val="TableParagraph"/>
              <w:spacing w:before="10"/>
              <w:ind w:left="342" w:right="338"/>
              <w:jc w:val="center"/>
              <w:rPr>
                <w:sz w:val="21"/>
              </w:rPr>
            </w:pPr>
            <w:r>
              <w:rPr>
                <w:sz w:val="21"/>
              </w:rPr>
              <w:t>2.7</w:t>
            </w:r>
          </w:p>
        </w:tc>
        <w:tc>
          <w:tcPr>
            <w:tcW w:w="1318" w:type="dxa"/>
          </w:tcPr>
          <w:p>
            <w:pPr>
              <w:pStyle w:val="TableParagraph"/>
              <w:spacing w:before="10"/>
              <w:ind w:left="302"/>
              <w:rPr>
                <w:sz w:val="21"/>
              </w:rPr>
            </w:pPr>
            <w:r>
              <w:rPr>
                <w:sz w:val="21"/>
              </w:rPr>
              <w:t>0.6351</w:t>
            </w:r>
          </w:p>
        </w:tc>
        <w:tc>
          <w:tcPr>
            <w:tcW w:w="1195" w:type="dxa"/>
          </w:tcPr>
          <w:p>
            <w:pPr>
              <w:pStyle w:val="TableParagraph"/>
              <w:spacing w:before="10"/>
              <w:ind w:left="344" w:right="401"/>
              <w:jc w:val="center"/>
              <w:rPr>
                <w:sz w:val="21"/>
              </w:rPr>
            </w:pPr>
            <w:r>
              <w:rPr>
                <w:sz w:val="21"/>
              </w:rPr>
              <w:t>0.17</w:t>
            </w:r>
          </w:p>
        </w:tc>
      </w:tr>
      <w:tr>
        <w:trPr>
          <w:trHeight w:val="283" w:hRule="exact"/>
        </w:trPr>
        <w:tc>
          <w:tcPr>
            <w:tcW w:w="2340" w:type="dxa"/>
          </w:tcPr>
          <w:p>
            <w:pPr>
              <w:pStyle w:val="TableParagraph"/>
              <w:spacing w:before="11"/>
              <w:ind w:left="69"/>
              <w:rPr>
                <w:sz w:val="21"/>
              </w:rPr>
            </w:pPr>
            <w:r>
              <w:rPr>
                <w:sz w:val="21"/>
              </w:rPr>
              <w:t>Magnesium mmol/L</w:t>
            </w:r>
          </w:p>
        </w:tc>
        <w:tc>
          <w:tcPr>
            <w:tcW w:w="1253" w:type="dxa"/>
          </w:tcPr>
          <w:p>
            <w:pPr>
              <w:pStyle w:val="TableParagraph"/>
              <w:spacing w:before="11"/>
              <w:ind w:right="343"/>
              <w:jc w:val="center"/>
              <w:rPr>
                <w:sz w:val="21"/>
              </w:rPr>
            </w:pPr>
            <w:r>
              <w:rPr>
                <w:sz w:val="21"/>
              </w:rPr>
              <w:t>1.4</w:t>
            </w:r>
          </w:p>
        </w:tc>
        <w:tc>
          <w:tcPr>
            <w:tcW w:w="1253" w:type="dxa"/>
          </w:tcPr>
          <w:p>
            <w:pPr>
              <w:pStyle w:val="TableParagraph"/>
              <w:spacing w:before="11"/>
              <w:ind w:right="341"/>
              <w:jc w:val="center"/>
              <w:rPr>
                <w:sz w:val="21"/>
              </w:rPr>
            </w:pPr>
            <w:r>
              <w:rPr>
                <w:sz w:val="21"/>
              </w:rPr>
              <w:t>1.4</w:t>
            </w:r>
          </w:p>
        </w:tc>
        <w:tc>
          <w:tcPr>
            <w:tcW w:w="1255" w:type="dxa"/>
          </w:tcPr>
          <w:p>
            <w:pPr>
              <w:pStyle w:val="TableParagraph"/>
              <w:spacing w:before="11"/>
              <w:ind w:left="344" w:right="344"/>
              <w:jc w:val="center"/>
              <w:rPr>
                <w:sz w:val="21"/>
              </w:rPr>
            </w:pPr>
            <w:r>
              <w:rPr>
                <w:sz w:val="21"/>
              </w:rPr>
              <w:t>1.2</w:t>
            </w:r>
          </w:p>
        </w:tc>
        <w:tc>
          <w:tcPr>
            <w:tcW w:w="1250" w:type="dxa"/>
          </w:tcPr>
          <w:p>
            <w:pPr>
              <w:pStyle w:val="TableParagraph"/>
              <w:spacing w:before="11"/>
              <w:ind w:left="342" w:right="338"/>
              <w:jc w:val="center"/>
              <w:rPr>
                <w:sz w:val="21"/>
              </w:rPr>
            </w:pPr>
            <w:r>
              <w:rPr>
                <w:sz w:val="21"/>
              </w:rPr>
              <w:t>1.3</w:t>
            </w:r>
          </w:p>
        </w:tc>
        <w:tc>
          <w:tcPr>
            <w:tcW w:w="1318" w:type="dxa"/>
          </w:tcPr>
          <w:p>
            <w:pPr>
              <w:pStyle w:val="TableParagraph"/>
              <w:spacing w:before="11"/>
              <w:ind w:left="302"/>
              <w:rPr>
                <w:sz w:val="21"/>
              </w:rPr>
            </w:pPr>
            <w:r>
              <w:rPr>
                <w:sz w:val="21"/>
              </w:rPr>
              <w:t>0.2667</w:t>
            </w:r>
          </w:p>
        </w:tc>
        <w:tc>
          <w:tcPr>
            <w:tcW w:w="1195" w:type="dxa"/>
          </w:tcPr>
          <w:p>
            <w:pPr>
              <w:pStyle w:val="TableParagraph"/>
              <w:spacing w:before="11"/>
              <w:ind w:left="344" w:right="401"/>
              <w:jc w:val="center"/>
              <w:rPr>
                <w:sz w:val="21"/>
              </w:rPr>
            </w:pPr>
            <w:r>
              <w:rPr>
                <w:sz w:val="21"/>
              </w:rPr>
              <w:t>0.10</w:t>
            </w:r>
          </w:p>
        </w:tc>
      </w:tr>
      <w:tr>
        <w:trPr>
          <w:trHeight w:val="297" w:hRule="exact"/>
        </w:trPr>
        <w:tc>
          <w:tcPr>
            <w:tcW w:w="2340" w:type="dxa"/>
            <w:tcBorders>
              <w:bottom w:val="single" w:sz="4" w:space="0" w:color="000000"/>
            </w:tcBorders>
          </w:tcPr>
          <w:p>
            <w:pPr>
              <w:pStyle w:val="TableParagraph"/>
              <w:spacing w:before="11"/>
              <w:ind w:left="69"/>
              <w:rPr>
                <w:sz w:val="21"/>
              </w:rPr>
            </w:pPr>
            <w:r>
              <w:rPr>
                <w:sz w:val="21"/>
              </w:rPr>
              <w:t>Calcium mmol/L</w:t>
            </w:r>
          </w:p>
        </w:tc>
        <w:tc>
          <w:tcPr>
            <w:tcW w:w="1253" w:type="dxa"/>
            <w:tcBorders>
              <w:bottom w:val="single" w:sz="4" w:space="0" w:color="000000"/>
            </w:tcBorders>
          </w:tcPr>
          <w:p>
            <w:pPr>
              <w:pStyle w:val="TableParagraph"/>
              <w:spacing w:before="11"/>
              <w:ind w:right="343"/>
              <w:jc w:val="center"/>
              <w:rPr>
                <w:sz w:val="21"/>
              </w:rPr>
            </w:pPr>
            <w:r>
              <w:rPr>
                <w:sz w:val="21"/>
              </w:rPr>
              <w:t>2.9</w:t>
            </w:r>
          </w:p>
        </w:tc>
        <w:tc>
          <w:tcPr>
            <w:tcW w:w="1253" w:type="dxa"/>
            <w:tcBorders>
              <w:bottom w:val="single" w:sz="4" w:space="0" w:color="000000"/>
            </w:tcBorders>
          </w:tcPr>
          <w:p>
            <w:pPr>
              <w:pStyle w:val="TableParagraph"/>
              <w:spacing w:before="11"/>
              <w:ind w:right="341"/>
              <w:jc w:val="center"/>
              <w:rPr>
                <w:sz w:val="21"/>
              </w:rPr>
            </w:pPr>
            <w:r>
              <w:rPr>
                <w:sz w:val="21"/>
              </w:rPr>
              <w:t>2.9</w:t>
            </w:r>
          </w:p>
        </w:tc>
        <w:tc>
          <w:tcPr>
            <w:tcW w:w="1255" w:type="dxa"/>
            <w:tcBorders>
              <w:bottom w:val="single" w:sz="4" w:space="0" w:color="000000"/>
            </w:tcBorders>
          </w:tcPr>
          <w:p>
            <w:pPr>
              <w:pStyle w:val="TableParagraph"/>
              <w:spacing w:before="11"/>
              <w:ind w:left="344" w:right="344"/>
              <w:jc w:val="center"/>
              <w:rPr>
                <w:sz w:val="21"/>
              </w:rPr>
            </w:pPr>
            <w:r>
              <w:rPr>
                <w:sz w:val="21"/>
              </w:rPr>
              <w:t>3.0</w:t>
            </w:r>
          </w:p>
        </w:tc>
        <w:tc>
          <w:tcPr>
            <w:tcW w:w="1250" w:type="dxa"/>
            <w:tcBorders>
              <w:bottom w:val="single" w:sz="4" w:space="0" w:color="000000"/>
            </w:tcBorders>
          </w:tcPr>
          <w:p>
            <w:pPr>
              <w:pStyle w:val="TableParagraph"/>
              <w:spacing w:before="11"/>
              <w:ind w:left="342" w:right="338"/>
              <w:jc w:val="center"/>
              <w:rPr>
                <w:sz w:val="21"/>
              </w:rPr>
            </w:pPr>
            <w:r>
              <w:rPr>
                <w:sz w:val="21"/>
              </w:rPr>
              <w:t>2.9</w:t>
            </w:r>
          </w:p>
        </w:tc>
        <w:tc>
          <w:tcPr>
            <w:tcW w:w="1318" w:type="dxa"/>
            <w:tcBorders>
              <w:bottom w:val="single" w:sz="4" w:space="0" w:color="000000"/>
            </w:tcBorders>
          </w:tcPr>
          <w:p>
            <w:pPr>
              <w:pStyle w:val="TableParagraph"/>
              <w:spacing w:before="11"/>
              <w:ind w:left="302"/>
              <w:rPr>
                <w:sz w:val="21"/>
              </w:rPr>
            </w:pPr>
            <w:r>
              <w:rPr>
                <w:sz w:val="21"/>
              </w:rPr>
              <w:t>0.8022</w:t>
            </w:r>
          </w:p>
        </w:tc>
        <w:tc>
          <w:tcPr>
            <w:tcW w:w="1195" w:type="dxa"/>
            <w:tcBorders>
              <w:bottom w:val="single" w:sz="4" w:space="0" w:color="000000"/>
            </w:tcBorders>
          </w:tcPr>
          <w:p>
            <w:pPr>
              <w:pStyle w:val="TableParagraph"/>
              <w:spacing w:before="11"/>
              <w:ind w:left="344" w:right="401"/>
              <w:jc w:val="center"/>
              <w:rPr>
                <w:sz w:val="21"/>
              </w:rPr>
            </w:pPr>
            <w:r>
              <w:rPr>
                <w:sz w:val="21"/>
              </w:rPr>
              <w:t>0.06</w:t>
            </w:r>
          </w:p>
        </w:tc>
      </w:tr>
    </w:tbl>
    <w:p>
      <w:pPr>
        <w:pStyle w:val="BodyText"/>
        <w:rPr>
          <w:sz w:val="22"/>
        </w:rPr>
      </w:pPr>
    </w:p>
    <w:p>
      <w:pPr>
        <w:pStyle w:val="BodyText"/>
        <w:spacing w:before="5"/>
        <w:rPr>
          <w:sz w:val="21"/>
        </w:rPr>
      </w:pPr>
    </w:p>
    <w:p>
      <w:pPr>
        <w:pStyle w:val="BodyText"/>
        <w:spacing w:line="273" w:lineRule="auto"/>
        <w:ind w:left="735" w:right="737"/>
        <w:jc w:val="both"/>
      </w:pPr>
      <w:r>
        <w:rPr/>
        <w:t>RBC - red blood cell; PCV - packed cell volume;HMG - hemoglobin; MCV -mean corpuscular volume; MCHC - mean corpuscular hemoglobin concentration; WBC white blood cell;SGN – neutrophils segmented; LYM – lymphocytes; BAS – basophils; EOS – eosinophils; PSP - plasma protein concentration; ALT - alanine aminotransferase;  AST  -  aspartate  aminotransferase;  </w:t>
      </w:r>
      <w:r>
        <w:rPr>
          <w:position w:val="11"/>
          <w:sz w:val="15"/>
        </w:rPr>
        <w:t>a,b,c   </w:t>
      </w:r>
      <w:r>
        <w:rPr/>
        <w:t>different   superscripts</w:t>
      </w:r>
    </w:p>
    <w:p>
      <w:pPr>
        <w:pStyle w:val="BodyText"/>
        <w:spacing w:line="278" w:lineRule="auto" w:before="4"/>
        <w:ind w:left="736" w:right="740"/>
        <w:jc w:val="both"/>
      </w:pPr>
      <w:r>
        <w:rPr/>
        <w:t>following means within the same column indicate differences at P ˂ 0.05; SEM – standard error of the mean.</w:t>
      </w:r>
    </w:p>
    <w:p>
      <w:pPr>
        <w:spacing w:after="0" w:line="278" w:lineRule="auto"/>
        <w:jc w:val="both"/>
        <w:sectPr>
          <w:pgSz w:w="11900" w:h="16840"/>
          <w:pgMar w:header="0" w:footer="1679" w:top="1600" w:bottom="1860" w:left="920" w:right="900"/>
        </w:sectPr>
      </w:pPr>
    </w:p>
    <w:p>
      <w:pPr>
        <w:pStyle w:val="BodyText"/>
        <w:rPr>
          <w:sz w:val="20"/>
        </w:rPr>
      </w:pPr>
    </w:p>
    <w:p>
      <w:pPr>
        <w:pStyle w:val="BodyText"/>
        <w:spacing w:before="5"/>
        <w:rPr>
          <w:sz w:val="16"/>
        </w:rPr>
      </w:pPr>
    </w:p>
    <w:p>
      <w:pPr>
        <w:pStyle w:val="BodyText"/>
        <w:spacing w:line="280" w:lineRule="auto" w:before="74"/>
        <w:ind w:left="615" w:right="598"/>
        <w:jc w:val="both"/>
      </w:pPr>
      <w:r>
        <w:rPr/>
        <w:pict>
          <v:shape style="position:absolute;margin-left:57.84pt;margin-top:60.686172pt;width:480.15pt;height:30.15pt;mso-position-horizontal-relative:page;mso-position-vertical-relative:paragraph;z-index:4048"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069"/>
                    <w:gridCol w:w="1255"/>
                    <w:gridCol w:w="1254"/>
                    <w:gridCol w:w="1254"/>
                    <w:gridCol w:w="1255"/>
                    <w:gridCol w:w="1256"/>
                    <w:gridCol w:w="1252"/>
                  </w:tblGrid>
                  <w:tr>
                    <w:trPr>
                      <w:trHeight w:val="298" w:hRule="exact"/>
                    </w:trPr>
                    <w:tc>
                      <w:tcPr>
                        <w:tcW w:w="2069" w:type="dxa"/>
                        <w:vMerge w:val="restart"/>
                        <w:tcBorders>
                          <w:left w:val="single" w:sz="2" w:space="0" w:color="000000"/>
                          <w:right w:val="single" w:sz="2" w:space="0" w:color="000000"/>
                        </w:tcBorders>
                      </w:tcPr>
                      <w:p>
                        <w:pPr>
                          <w:pStyle w:val="TableParagraph"/>
                          <w:spacing w:before="165"/>
                          <w:ind w:left="508"/>
                          <w:rPr>
                            <w:b/>
                            <w:sz w:val="21"/>
                          </w:rPr>
                        </w:pPr>
                        <w:r>
                          <w:rPr>
                            <w:b/>
                            <w:sz w:val="21"/>
                          </w:rPr>
                          <w:t>Parameter</w:t>
                        </w:r>
                      </w:p>
                    </w:tc>
                    <w:tc>
                      <w:tcPr>
                        <w:tcW w:w="5018" w:type="dxa"/>
                        <w:gridSpan w:val="4"/>
                        <w:tcBorders>
                          <w:left w:val="single" w:sz="2" w:space="0" w:color="000000"/>
                          <w:right w:val="single" w:sz="2" w:space="0" w:color="000000"/>
                        </w:tcBorders>
                      </w:tcPr>
                      <w:p>
                        <w:pPr>
                          <w:pStyle w:val="TableParagraph"/>
                          <w:spacing w:before="0"/>
                          <w:ind w:left="1921" w:right="1920"/>
                          <w:jc w:val="center"/>
                          <w:rPr>
                            <w:b/>
                            <w:sz w:val="21"/>
                          </w:rPr>
                        </w:pPr>
                        <w:r>
                          <w:rPr>
                            <w:b/>
                            <w:sz w:val="21"/>
                          </w:rPr>
                          <w:t>Treatments</w:t>
                        </w:r>
                      </w:p>
                    </w:tc>
                    <w:tc>
                      <w:tcPr>
                        <w:tcW w:w="1256" w:type="dxa"/>
                        <w:vMerge w:val="restart"/>
                        <w:tcBorders>
                          <w:left w:val="single" w:sz="2" w:space="0" w:color="000000"/>
                          <w:right w:val="single" w:sz="3" w:space="0" w:color="000000"/>
                        </w:tcBorders>
                      </w:tcPr>
                      <w:p>
                        <w:pPr>
                          <w:pStyle w:val="TableParagraph"/>
                          <w:spacing w:before="165"/>
                          <w:ind w:left="247"/>
                          <w:rPr>
                            <w:b/>
                            <w:sz w:val="21"/>
                          </w:rPr>
                        </w:pPr>
                        <w:r>
                          <w:rPr>
                            <w:b/>
                            <w:sz w:val="21"/>
                          </w:rPr>
                          <w:t>P value</w:t>
                        </w:r>
                      </w:p>
                    </w:tc>
                    <w:tc>
                      <w:tcPr>
                        <w:tcW w:w="1252" w:type="dxa"/>
                        <w:vMerge w:val="restart"/>
                        <w:tcBorders>
                          <w:left w:val="single" w:sz="3" w:space="0" w:color="000000"/>
                          <w:right w:val="single" w:sz="2" w:space="0" w:color="000000"/>
                        </w:tcBorders>
                      </w:tcPr>
                      <w:p>
                        <w:pPr>
                          <w:pStyle w:val="TableParagraph"/>
                          <w:spacing w:before="165"/>
                          <w:ind w:left="388"/>
                          <w:rPr>
                            <w:b/>
                            <w:sz w:val="21"/>
                          </w:rPr>
                        </w:pPr>
                        <w:r>
                          <w:rPr>
                            <w:b/>
                            <w:sz w:val="21"/>
                          </w:rPr>
                          <w:t>SEM</w:t>
                        </w:r>
                      </w:p>
                    </w:tc>
                  </w:tr>
                  <w:tr>
                    <w:trPr>
                      <w:trHeight w:val="293" w:hRule="exact"/>
                    </w:trPr>
                    <w:tc>
                      <w:tcPr>
                        <w:tcW w:w="2069" w:type="dxa"/>
                        <w:vMerge/>
                        <w:tcBorders>
                          <w:left w:val="single" w:sz="2" w:space="0" w:color="000000"/>
                          <w:bottom w:val="single" w:sz="4" w:space="0" w:color="000000"/>
                          <w:right w:val="single" w:sz="2" w:space="0" w:color="000000"/>
                        </w:tcBorders>
                      </w:tcPr>
                      <w:p>
                        <w:pPr/>
                      </w:p>
                    </w:tc>
                    <w:tc>
                      <w:tcPr>
                        <w:tcW w:w="1255" w:type="dxa"/>
                        <w:tcBorders>
                          <w:left w:val="single" w:sz="2" w:space="0" w:color="000000"/>
                          <w:bottom w:val="single" w:sz="4" w:space="0" w:color="000000"/>
                          <w:right w:val="single" w:sz="2" w:space="0" w:color="000000"/>
                        </w:tcBorders>
                      </w:tcPr>
                      <w:p>
                        <w:pPr>
                          <w:pStyle w:val="TableParagraph"/>
                          <w:spacing w:line="239" w:lineRule="exact" w:before="0"/>
                          <w:ind w:left="342" w:right="341"/>
                          <w:jc w:val="center"/>
                          <w:rPr>
                            <w:b/>
                            <w:sz w:val="21"/>
                          </w:rPr>
                        </w:pPr>
                        <w:r>
                          <w:rPr>
                            <w:b/>
                            <w:sz w:val="21"/>
                          </w:rPr>
                          <w:t>CX</w:t>
                        </w:r>
                      </w:p>
                    </w:tc>
                    <w:tc>
                      <w:tcPr>
                        <w:tcW w:w="1254" w:type="dxa"/>
                        <w:tcBorders>
                          <w:left w:val="single" w:sz="2" w:space="0" w:color="000000"/>
                          <w:bottom w:val="single" w:sz="4" w:space="0" w:color="000000"/>
                          <w:right w:val="single" w:sz="1" w:space="0" w:color="000000"/>
                        </w:tcBorders>
                      </w:tcPr>
                      <w:p>
                        <w:pPr>
                          <w:pStyle w:val="TableParagraph"/>
                          <w:spacing w:line="239" w:lineRule="exact" w:before="0"/>
                          <w:ind w:left="341" w:right="341"/>
                          <w:jc w:val="center"/>
                          <w:rPr>
                            <w:b/>
                            <w:sz w:val="21"/>
                          </w:rPr>
                        </w:pPr>
                        <w:r>
                          <w:rPr>
                            <w:b/>
                            <w:sz w:val="21"/>
                          </w:rPr>
                          <w:t>EZ</w:t>
                        </w:r>
                      </w:p>
                    </w:tc>
                    <w:tc>
                      <w:tcPr>
                        <w:tcW w:w="1254" w:type="dxa"/>
                        <w:tcBorders>
                          <w:left w:val="single" w:sz="1" w:space="0" w:color="000000"/>
                          <w:bottom w:val="single" w:sz="4" w:space="0" w:color="000000"/>
                          <w:right w:val="single" w:sz="2" w:space="0" w:color="000000"/>
                        </w:tcBorders>
                      </w:tcPr>
                      <w:p>
                        <w:pPr>
                          <w:pStyle w:val="TableParagraph"/>
                          <w:spacing w:line="239" w:lineRule="exact" w:before="0"/>
                          <w:ind w:left="342" w:right="341"/>
                          <w:jc w:val="center"/>
                          <w:rPr>
                            <w:b/>
                            <w:sz w:val="21"/>
                          </w:rPr>
                        </w:pPr>
                        <w:r>
                          <w:rPr>
                            <w:b/>
                            <w:sz w:val="21"/>
                          </w:rPr>
                          <w:t>SB</w:t>
                        </w:r>
                      </w:p>
                    </w:tc>
                    <w:tc>
                      <w:tcPr>
                        <w:tcW w:w="1255" w:type="dxa"/>
                        <w:tcBorders>
                          <w:left w:val="single" w:sz="2" w:space="0" w:color="000000"/>
                          <w:bottom w:val="single" w:sz="4" w:space="0" w:color="000000"/>
                          <w:right w:val="single" w:sz="2" w:space="0" w:color="000000"/>
                        </w:tcBorders>
                      </w:tcPr>
                      <w:p>
                        <w:pPr>
                          <w:pStyle w:val="TableParagraph"/>
                          <w:spacing w:line="239" w:lineRule="exact" w:before="0"/>
                          <w:ind w:left="338"/>
                          <w:rPr>
                            <w:b/>
                            <w:sz w:val="21"/>
                          </w:rPr>
                        </w:pPr>
                        <w:r>
                          <w:rPr>
                            <w:b/>
                            <w:sz w:val="21"/>
                          </w:rPr>
                          <w:t>EZSB</w:t>
                        </w:r>
                      </w:p>
                    </w:tc>
                    <w:tc>
                      <w:tcPr>
                        <w:tcW w:w="1256" w:type="dxa"/>
                        <w:vMerge/>
                        <w:tcBorders>
                          <w:left w:val="single" w:sz="2" w:space="0" w:color="000000"/>
                          <w:bottom w:val="single" w:sz="4" w:space="0" w:color="000000"/>
                          <w:right w:val="single" w:sz="3" w:space="0" w:color="000000"/>
                        </w:tcBorders>
                      </w:tcPr>
                      <w:p>
                        <w:pPr/>
                      </w:p>
                    </w:tc>
                    <w:tc>
                      <w:tcPr>
                        <w:tcW w:w="1252" w:type="dxa"/>
                        <w:vMerge/>
                        <w:tcBorders>
                          <w:left w:val="single" w:sz="3" w:space="0" w:color="000000"/>
                          <w:bottom w:val="single" w:sz="4" w:space="0" w:color="000000"/>
                          <w:right w:val="single" w:sz="2" w:space="0" w:color="000000"/>
                        </w:tcBorders>
                      </w:tcPr>
                      <w:p>
                        <w:pPr/>
                      </w:p>
                    </w:tc>
                  </w:tr>
                </w:tbl>
                <w:p>
                  <w:pPr>
                    <w:pStyle w:val="BodyText"/>
                  </w:pPr>
                </w:p>
              </w:txbxContent>
            </v:textbox>
            <w10:wrap type="none"/>
          </v:shape>
        </w:pict>
      </w:r>
      <w:r>
        <w:rPr>
          <w:b/>
        </w:rPr>
        <w:t>Table 3</w:t>
      </w:r>
      <w:r>
        <w:rPr/>
        <w:t>. Haematological and biochemical profile in goats that consumed </w:t>
      </w:r>
      <w:r>
        <w:rPr>
          <w:i/>
        </w:rPr>
        <w:t>Salix </w:t>
      </w:r>
      <w:r>
        <w:rPr>
          <w:i/>
        </w:rPr>
        <w:t>babylonica </w:t>
      </w:r>
      <w:r>
        <w:rPr/>
        <w:t>extract, exogenous enzyme and their combination as feed  additives.</w:t>
      </w:r>
    </w:p>
    <w:p>
      <w:pPr>
        <w:pStyle w:val="BodyText"/>
        <w:rPr>
          <w:sz w:val="20"/>
        </w:rPr>
      </w:pPr>
    </w:p>
    <w:p>
      <w:pPr>
        <w:pStyle w:val="BodyText"/>
        <w:rPr>
          <w:sz w:val="26"/>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71"/>
        <w:gridCol w:w="1254"/>
        <w:gridCol w:w="1254"/>
        <w:gridCol w:w="1255"/>
        <w:gridCol w:w="1250"/>
        <w:gridCol w:w="1287"/>
        <w:gridCol w:w="1224"/>
      </w:tblGrid>
      <w:tr>
        <w:trPr>
          <w:trHeight w:val="298" w:hRule="exact"/>
        </w:trPr>
        <w:tc>
          <w:tcPr>
            <w:tcW w:w="2071" w:type="dxa"/>
            <w:vMerge w:val="restart"/>
          </w:tcPr>
          <w:p>
            <w:pPr/>
          </w:p>
        </w:tc>
        <w:tc>
          <w:tcPr>
            <w:tcW w:w="1254" w:type="dxa"/>
          </w:tcPr>
          <w:p>
            <w:pPr/>
          </w:p>
        </w:tc>
        <w:tc>
          <w:tcPr>
            <w:tcW w:w="1254" w:type="dxa"/>
          </w:tcPr>
          <w:p>
            <w:pPr/>
          </w:p>
        </w:tc>
        <w:tc>
          <w:tcPr>
            <w:tcW w:w="1255" w:type="dxa"/>
          </w:tcPr>
          <w:p>
            <w:pPr/>
          </w:p>
        </w:tc>
        <w:tc>
          <w:tcPr>
            <w:tcW w:w="1250" w:type="dxa"/>
          </w:tcPr>
          <w:p>
            <w:pPr/>
          </w:p>
        </w:tc>
        <w:tc>
          <w:tcPr>
            <w:tcW w:w="1287" w:type="dxa"/>
          </w:tcPr>
          <w:p>
            <w:pPr/>
          </w:p>
        </w:tc>
        <w:tc>
          <w:tcPr>
            <w:tcW w:w="1224" w:type="dxa"/>
            <w:vMerge w:val="restart"/>
          </w:tcPr>
          <w:p>
            <w:pPr/>
          </w:p>
        </w:tc>
      </w:tr>
      <w:tr>
        <w:trPr>
          <w:trHeight w:val="293" w:hRule="exact"/>
        </w:trPr>
        <w:tc>
          <w:tcPr>
            <w:tcW w:w="2071" w:type="dxa"/>
            <w:vMerge/>
          </w:tcPr>
          <w:p>
            <w:pPr/>
          </w:p>
        </w:tc>
        <w:tc>
          <w:tcPr>
            <w:tcW w:w="1254" w:type="dxa"/>
          </w:tcPr>
          <w:p>
            <w:pPr/>
          </w:p>
        </w:tc>
        <w:tc>
          <w:tcPr>
            <w:tcW w:w="1254" w:type="dxa"/>
          </w:tcPr>
          <w:p>
            <w:pPr/>
          </w:p>
        </w:tc>
        <w:tc>
          <w:tcPr>
            <w:tcW w:w="1255" w:type="dxa"/>
          </w:tcPr>
          <w:p>
            <w:pPr/>
          </w:p>
        </w:tc>
        <w:tc>
          <w:tcPr>
            <w:tcW w:w="1250" w:type="dxa"/>
          </w:tcPr>
          <w:p>
            <w:pPr/>
          </w:p>
        </w:tc>
        <w:tc>
          <w:tcPr>
            <w:tcW w:w="1287" w:type="dxa"/>
          </w:tcPr>
          <w:p>
            <w:pPr/>
          </w:p>
        </w:tc>
        <w:tc>
          <w:tcPr>
            <w:tcW w:w="1224" w:type="dxa"/>
            <w:vMerge/>
          </w:tcPr>
          <w:p>
            <w:pPr/>
          </w:p>
        </w:tc>
      </w:tr>
      <w:tr>
        <w:trPr>
          <w:trHeight w:val="299" w:hRule="exact"/>
        </w:trPr>
        <w:tc>
          <w:tcPr>
            <w:tcW w:w="2071" w:type="dxa"/>
          </w:tcPr>
          <w:p>
            <w:pPr>
              <w:pStyle w:val="TableParagraph"/>
              <w:spacing w:line="249" w:lineRule="exact" w:before="0"/>
              <w:ind w:left="67"/>
              <w:rPr>
                <w:sz w:val="21"/>
              </w:rPr>
            </w:pPr>
            <w:r>
              <w:rPr>
                <w:sz w:val="21"/>
              </w:rPr>
              <w:t>RBC x 10</w:t>
            </w:r>
            <w:r>
              <w:rPr>
                <w:position w:val="10"/>
                <w:sz w:val="13"/>
              </w:rPr>
              <w:t>12</w:t>
            </w:r>
            <w:r>
              <w:rPr>
                <w:sz w:val="21"/>
              </w:rPr>
              <w:t>/L</w:t>
            </w:r>
          </w:p>
        </w:tc>
        <w:tc>
          <w:tcPr>
            <w:tcW w:w="1254" w:type="dxa"/>
          </w:tcPr>
          <w:p>
            <w:pPr>
              <w:pStyle w:val="TableParagraph"/>
              <w:spacing w:before="7"/>
              <w:ind w:left="341" w:right="344"/>
              <w:jc w:val="center"/>
              <w:rPr>
                <w:sz w:val="21"/>
              </w:rPr>
            </w:pPr>
            <w:r>
              <w:rPr>
                <w:sz w:val="21"/>
              </w:rPr>
              <w:t>11.9</w:t>
            </w:r>
          </w:p>
        </w:tc>
        <w:tc>
          <w:tcPr>
            <w:tcW w:w="1254" w:type="dxa"/>
          </w:tcPr>
          <w:p>
            <w:pPr>
              <w:pStyle w:val="TableParagraph"/>
              <w:spacing w:before="7"/>
              <w:ind w:left="342" w:right="343"/>
              <w:jc w:val="center"/>
              <w:rPr>
                <w:sz w:val="21"/>
              </w:rPr>
            </w:pPr>
            <w:r>
              <w:rPr>
                <w:sz w:val="21"/>
              </w:rPr>
              <w:t>11.6</w:t>
            </w:r>
          </w:p>
        </w:tc>
        <w:tc>
          <w:tcPr>
            <w:tcW w:w="1255" w:type="dxa"/>
          </w:tcPr>
          <w:p>
            <w:pPr>
              <w:pStyle w:val="TableParagraph"/>
              <w:spacing w:before="7"/>
              <w:ind w:left="0" w:right="418"/>
              <w:jc w:val="right"/>
              <w:rPr>
                <w:sz w:val="21"/>
              </w:rPr>
            </w:pPr>
            <w:r>
              <w:rPr>
                <w:sz w:val="21"/>
              </w:rPr>
              <w:t>12.0</w:t>
            </w:r>
          </w:p>
        </w:tc>
        <w:tc>
          <w:tcPr>
            <w:tcW w:w="1250" w:type="dxa"/>
          </w:tcPr>
          <w:p>
            <w:pPr>
              <w:pStyle w:val="TableParagraph"/>
              <w:spacing w:before="7"/>
              <w:ind w:left="341" w:right="341"/>
              <w:jc w:val="center"/>
              <w:rPr>
                <w:sz w:val="21"/>
              </w:rPr>
            </w:pPr>
            <w:r>
              <w:rPr>
                <w:sz w:val="21"/>
              </w:rPr>
              <w:t>11.5</w:t>
            </w:r>
          </w:p>
        </w:tc>
        <w:tc>
          <w:tcPr>
            <w:tcW w:w="1287" w:type="dxa"/>
          </w:tcPr>
          <w:p>
            <w:pPr>
              <w:pStyle w:val="TableParagraph"/>
              <w:spacing w:before="7"/>
              <w:ind w:left="288" w:right="315"/>
              <w:jc w:val="center"/>
              <w:rPr>
                <w:sz w:val="21"/>
              </w:rPr>
            </w:pPr>
            <w:r>
              <w:rPr>
                <w:sz w:val="21"/>
              </w:rPr>
              <w:t>0.8491</w:t>
            </w:r>
          </w:p>
        </w:tc>
        <w:tc>
          <w:tcPr>
            <w:tcW w:w="1224" w:type="dxa"/>
          </w:tcPr>
          <w:p>
            <w:pPr>
              <w:pStyle w:val="TableParagraph"/>
              <w:spacing w:before="7"/>
              <w:ind w:left="388"/>
              <w:rPr>
                <w:sz w:val="21"/>
              </w:rPr>
            </w:pPr>
            <w:r>
              <w:rPr>
                <w:sz w:val="21"/>
              </w:rPr>
              <w:t>0.63</w:t>
            </w:r>
          </w:p>
        </w:tc>
      </w:tr>
      <w:tr>
        <w:trPr>
          <w:trHeight w:val="325" w:hRule="exact"/>
        </w:trPr>
        <w:tc>
          <w:tcPr>
            <w:tcW w:w="2071" w:type="dxa"/>
          </w:tcPr>
          <w:p>
            <w:pPr>
              <w:pStyle w:val="TableParagraph"/>
              <w:spacing w:before="31"/>
              <w:ind w:left="67"/>
              <w:rPr>
                <w:sz w:val="21"/>
              </w:rPr>
            </w:pPr>
            <w:r>
              <w:rPr>
                <w:sz w:val="21"/>
              </w:rPr>
              <w:t>PCV L/L</w:t>
            </w:r>
          </w:p>
        </w:tc>
        <w:tc>
          <w:tcPr>
            <w:tcW w:w="1254" w:type="dxa"/>
          </w:tcPr>
          <w:p>
            <w:pPr>
              <w:pStyle w:val="TableParagraph"/>
              <w:spacing w:before="31"/>
              <w:ind w:right="344"/>
              <w:jc w:val="center"/>
              <w:rPr>
                <w:sz w:val="21"/>
              </w:rPr>
            </w:pPr>
            <w:r>
              <w:rPr>
                <w:sz w:val="21"/>
              </w:rPr>
              <w:t>0.36</w:t>
            </w:r>
          </w:p>
        </w:tc>
        <w:tc>
          <w:tcPr>
            <w:tcW w:w="1254" w:type="dxa"/>
          </w:tcPr>
          <w:p>
            <w:pPr>
              <w:pStyle w:val="TableParagraph"/>
              <w:spacing w:before="31"/>
              <w:ind w:left="342" w:right="343"/>
              <w:jc w:val="center"/>
              <w:rPr>
                <w:sz w:val="21"/>
              </w:rPr>
            </w:pPr>
            <w:r>
              <w:rPr>
                <w:sz w:val="21"/>
              </w:rPr>
              <w:t>0.41</w:t>
            </w:r>
          </w:p>
        </w:tc>
        <w:tc>
          <w:tcPr>
            <w:tcW w:w="1255" w:type="dxa"/>
          </w:tcPr>
          <w:p>
            <w:pPr>
              <w:pStyle w:val="TableParagraph"/>
              <w:spacing w:before="31"/>
              <w:ind w:left="0" w:right="418"/>
              <w:jc w:val="right"/>
              <w:rPr>
                <w:sz w:val="21"/>
              </w:rPr>
            </w:pPr>
            <w:r>
              <w:rPr>
                <w:sz w:val="21"/>
              </w:rPr>
              <w:t>0.37</w:t>
            </w:r>
          </w:p>
        </w:tc>
        <w:tc>
          <w:tcPr>
            <w:tcW w:w="1250" w:type="dxa"/>
          </w:tcPr>
          <w:p>
            <w:pPr>
              <w:pStyle w:val="TableParagraph"/>
              <w:spacing w:before="31"/>
              <w:ind w:left="341" w:right="341"/>
              <w:jc w:val="center"/>
              <w:rPr>
                <w:sz w:val="21"/>
              </w:rPr>
            </w:pPr>
            <w:r>
              <w:rPr>
                <w:sz w:val="21"/>
              </w:rPr>
              <w:t>0.39</w:t>
            </w:r>
          </w:p>
        </w:tc>
        <w:tc>
          <w:tcPr>
            <w:tcW w:w="1287" w:type="dxa"/>
          </w:tcPr>
          <w:p>
            <w:pPr>
              <w:pStyle w:val="TableParagraph"/>
              <w:spacing w:before="31"/>
              <w:ind w:left="288" w:right="315"/>
              <w:jc w:val="center"/>
              <w:rPr>
                <w:sz w:val="21"/>
              </w:rPr>
            </w:pPr>
            <w:r>
              <w:rPr>
                <w:sz w:val="21"/>
              </w:rPr>
              <w:t>0.6186</w:t>
            </w:r>
          </w:p>
        </w:tc>
        <w:tc>
          <w:tcPr>
            <w:tcW w:w="1224" w:type="dxa"/>
          </w:tcPr>
          <w:p>
            <w:pPr>
              <w:pStyle w:val="TableParagraph"/>
              <w:spacing w:before="31"/>
              <w:ind w:left="388"/>
              <w:rPr>
                <w:sz w:val="21"/>
              </w:rPr>
            </w:pPr>
            <w:r>
              <w:rPr>
                <w:sz w:val="21"/>
              </w:rPr>
              <w:t>0.04</w:t>
            </w:r>
          </w:p>
        </w:tc>
      </w:tr>
      <w:tr>
        <w:trPr>
          <w:trHeight w:val="304" w:hRule="exact"/>
        </w:trPr>
        <w:tc>
          <w:tcPr>
            <w:tcW w:w="2071" w:type="dxa"/>
          </w:tcPr>
          <w:p>
            <w:pPr>
              <w:pStyle w:val="TableParagraph"/>
              <w:spacing w:before="33"/>
              <w:ind w:left="67"/>
              <w:rPr>
                <w:sz w:val="21"/>
              </w:rPr>
            </w:pPr>
            <w:r>
              <w:rPr>
                <w:sz w:val="21"/>
              </w:rPr>
              <w:t>HMG g/L</w:t>
            </w:r>
          </w:p>
        </w:tc>
        <w:tc>
          <w:tcPr>
            <w:tcW w:w="1254" w:type="dxa"/>
          </w:tcPr>
          <w:p>
            <w:pPr>
              <w:pStyle w:val="TableParagraph"/>
              <w:spacing w:before="33"/>
              <w:ind w:right="344"/>
              <w:jc w:val="center"/>
              <w:rPr>
                <w:sz w:val="21"/>
              </w:rPr>
            </w:pPr>
            <w:r>
              <w:rPr>
                <w:sz w:val="21"/>
              </w:rPr>
              <w:t>121.3</w:t>
            </w:r>
          </w:p>
        </w:tc>
        <w:tc>
          <w:tcPr>
            <w:tcW w:w="1254" w:type="dxa"/>
          </w:tcPr>
          <w:p>
            <w:pPr>
              <w:pStyle w:val="TableParagraph"/>
              <w:spacing w:before="33"/>
              <w:ind w:left="344" w:right="343"/>
              <w:jc w:val="center"/>
              <w:rPr>
                <w:sz w:val="21"/>
              </w:rPr>
            </w:pPr>
            <w:r>
              <w:rPr>
                <w:sz w:val="21"/>
              </w:rPr>
              <w:t>135.3</w:t>
            </w:r>
          </w:p>
        </w:tc>
        <w:tc>
          <w:tcPr>
            <w:tcW w:w="1255" w:type="dxa"/>
          </w:tcPr>
          <w:p>
            <w:pPr>
              <w:pStyle w:val="TableParagraph"/>
              <w:spacing w:before="33"/>
              <w:ind w:left="0" w:right="357"/>
              <w:jc w:val="right"/>
              <w:rPr>
                <w:sz w:val="21"/>
              </w:rPr>
            </w:pPr>
            <w:r>
              <w:rPr>
                <w:sz w:val="21"/>
              </w:rPr>
              <w:t>125.0</w:t>
            </w:r>
          </w:p>
        </w:tc>
        <w:tc>
          <w:tcPr>
            <w:tcW w:w="1250" w:type="dxa"/>
          </w:tcPr>
          <w:p>
            <w:pPr>
              <w:pStyle w:val="TableParagraph"/>
              <w:spacing w:before="33"/>
              <w:ind w:right="341"/>
              <w:jc w:val="center"/>
              <w:rPr>
                <w:sz w:val="21"/>
              </w:rPr>
            </w:pPr>
            <w:r>
              <w:rPr>
                <w:sz w:val="21"/>
              </w:rPr>
              <w:t>130.8</w:t>
            </w:r>
          </w:p>
        </w:tc>
        <w:tc>
          <w:tcPr>
            <w:tcW w:w="1287" w:type="dxa"/>
          </w:tcPr>
          <w:p>
            <w:pPr>
              <w:pStyle w:val="TableParagraph"/>
              <w:spacing w:before="33"/>
              <w:ind w:left="288" w:right="314"/>
              <w:jc w:val="center"/>
              <w:rPr>
                <w:sz w:val="21"/>
              </w:rPr>
            </w:pPr>
            <w:r>
              <w:rPr>
                <w:sz w:val="21"/>
              </w:rPr>
              <w:t>0.7087</w:t>
            </w:r>
          </w:p>
        </w:tc>
        <w:tc>
          <w:tcPr>
            <w:tcW w:w="1224" w:type="dxa"/>
          </w:tcPr>
          <w:p>
            <w:pPr>
              <w:pStyle w:val="TableParagraph"/>
              <w:spacing w:before="33"/>
              <w:ind w:left="328"/>
              <w:rPr>
                <w:sz w:val="21"/>
              </w:rPr>
            </w:pPr>
            <w:r>
              <w:rPr>
                <w:sz w:val="21"/>
              </w:rPr>
              <w:t>12.63</w:t>
            </w:r>
          </w:p>
        </w:tc>
      </w:tr>
      <w:tr>
        <w:trPr>
          <w:trHeight w:val="282" w:hRule="exact"/>
        </w:trPr>
        <w:tc>
          <w:tcPr>
            <w:tcW w:w="2071" w:type="dxa"/>
          </w:tcPr>
          <w:p>
            <w:pPr>
              <w:pStyle w:val="TableParagraph"/>
              <w:spacing w:before="10"/>
              <w:ind w:left="67"/>
              <w:rPr>
                <w:sz w:val="21"/>
              </w:rPr>
            </w:pPr>
            <w:r>
              <w:rPr>
                <w:sz w:val="21"/>
              </w:rPr>
              <w:t>MCV Fl</w:t>
            </w:r>
          </w:p>
        </w:tc>
        <w:tc>
          <w:tcPr>
            <w:tcW w:w="1254" w:type="dxa"/>
          </w:tcPr>
          <w:p>
            <w:pPr>
              <w:pStyle w:val="TableParagraph"/>
              <w:spacing w:before="10"/>
              <w:ind w:left="341" w:right="344"/>
              <w:jc w:val="center"/>
              <w:rPr>
                <w:sz w:val="21"/>
              </w:rPr>
            </w:pPr>
            <w:r>
              <w:rPr>
                <w:sz w:val="21"/>
              </w:rPr>
              <w:t>30.0</w:t>
            </w:r>
          </w:p>
        </w:tc>
        <w:tc>
          <w:tcPr>
            <w:tcW w:w="1254" w:type="dxa"/>
          </w:tcPr>
          <w:p>
            <w:pPr>
              <w:pStyle w:val="TableParagraph"/>
              <w:spacing w:before="10"/>
              <w:ind w:left="342" w:right="343"/>
              <w:jc w:val="center"/>
              <w:rPr>
                <w:sz w:val="21"/>
              </w:rPr>
            </w:pPr>
            <w:r>
              <w:rPr>
                <w:sz w:val="21"/>
              </w:rPr>
              <w:t>34.0</w:t>
            </w:r>
          </w:p>
        </w:tc>
        <w:tc>
          <w:tcPr>
            <w:tcW w:w="1255" w:type="dxa"/>
          </w:tcPr>
          <w:p>
            <w:pPr>
              <w:pStyle w:val="TableParagraph"/>
              <w:spacing w:before="10"/>
              <w:ind w:left="0" w:right="418"/>
              <w:jc w:val="right"/>
              <w:rPr>
                <w:sz w:val="21"/>
              </w:rPr>
            </w:pPr>
            <w:r>
              <w:rPr>
                <w:sz w:val="21"/>
              </w:rPr>
              <w:t>30.8</w:t>
            </w:r>
          </w:p>
        </w:tc>
        <w:tc>
          <w:tcPr>
            <w:tcW w:w="1250" w:type="dxa"/>
          </w:tcPr>
          <w:p>
            <w:pPr>
              <w:pStyle w:val="TableParagraph"/>
              <w:spacing w:before="10"/>
              <w:ind w:left="341" w:right="341"/>
              <w:jc w:val="center"/>
              <w:rPr>
                <w:sz w:val="21"/>
              </w:rPr>
            </w:pPr>
            <w:r>
              <w:rPr>
                <w:sz w:val="21"/>
              </w:rPr>
              <w:t>33.8</w:t>
            </w:r>
          </w:p>
        </w:tc>
        <w:tc>
          <w:tcPr>
            <w:tcW w:w="1287" w:type="dxa"/>
          </w:tcPr>
          <w:p>
            <w:pPr>
              <w:pStyle w:val="TableParagraph"/>
              <w:spacing w:before="10"/>
              <w:ind w:left="288" w:right="315"/>
              <w:jc w:val="center"/>
              <w:rPr>
                <w:sz w:val="21"/>
              </w:rPr>
            </w:pPr>
            <w:r>
              <w:rPr>
                <w:sz w:val="21"/>
              </w:rPr>
              <w:t>0.6883</w:t>
            </w:r>
          </w:p>
        </w:tc>
        <w:tc>
          <w:tcPr>
            <w:tcW w:w="1224" w:type="dxa"/>
          </w:tcPr>
          <w:p>
            <w:pPr>
              <w:pStyle w:val="TableParagraph"/>
              <w:spacing w:before="10"/>
              <w:ind w:left="388"/>
              <w:rPr>
                <w:sz w:val="21"/>
              </w:rPr>
            </w:pPr>
            <w:r>
              <w:rPr>
                <w:sz w:val="21"/>
              </w:rPr>
              <w:t>4.04</w:t>
            </w:r>
          </w:p>
        </w:tc>
      </w:tr>
      <w:tr>
        <w:trPr>
          <w:trHeight w:val="266" w:hRule="exact"/>
        </w:trPr>
        <w:tc>
          <w:tcPr>
            <w:tcW w:w="2071" w:type="dxa"/>
          </w:tcPr>
          <w:p>
            <w:pPr>
              <w:pStyle w:val="TableParagraph"/>
              <w:spacing w:before="11"/>
              <w:ind w:left="67"/>
              <w:rPr>
                <w:sz w:val="21"/>
              </w:rPr>
            </w:pPr>
            <w:r>
              <w:rPr>
                <w:sz w:val="21"/>
              </w:rPr>
              <w:t>MCHC g/L</w:t>
            </w:r>
          </w:p>
        </w:tc>
        <w:tc>
          <w:tcPr>
            <w:tcW w:w="1254" w:type="dxa"/>
          </w:tcPr>
          <w:p>
            <w:pPr>
              <w:pStyle w:val="TableParagraph"/>
              <w:spacing w:before="11"/>
              <w:ind w:right="344"/>
              <w:jc w:val="center"/>
              <w:rPr>
                <w:sz w:val="21"/>
              </w:rPr>
            </w:pPr>
            <w:r>
              <w:rPr>
                <w:sz w:val="21"/>
              </w:rPr>
              <w:t>332.0</w:t>
            </w:r>
          </w:p>
        </w:tc>
        <w:tc>
          <w:tcPr>
            <w:tcW w:w="1254" w:type="dxa"/>
          </w:tcPr>
          <w:p>
            <w:pPr>
              <w:pStyle w:val="TableParagraph"/>
              <w:spacing w:before="11"/>
              <w:ind w:left="344" w:right="343"/>
              <w:jc w:val="center"/>
              <w:rPr>
                <w:sz w:val="21"/>
              </w:rPr>
            </w:pPr>
            <w:r>
              <w:rPr>
                <w:sz w:val="21"/>
              </w:rPr>
              <w:t>332.5</w:t>
            </w:r>
          </w:p>
        </w:tc>
        <w:tc>
          <w:tcPr>
            <w:tcW w:w="1255" w:type="dxa"/>
          </w:tcPr>
          <w:p>
            <w:pPr>
              <w:pStyle w:val="TableParagraph"/>
              <w:spacing w:before="11"/>
              <w:ind w:left="0" w:right="355"/>
              <w:jc w:val="right"/>
              <w:rPr>
                <w:sz w:val="21"/>
              </w:rPr>
            </w:pPr>
            <w:r>
              <w:rPr>
                <w:sz w:val="21"/>
              </w:rPr>
              <w:t>332.0</w:t>
            </w:r>
          </w:p>
        </w:tc>
        <w:tc>
          <w:tcPr>
            <w:tcW w:w="1250" w:type="dxa"/>
          </w:tcPr>
          <w:p>
            <w:pPr>
              <w:pStyle w:val="TableParagraph"/>
              <w:spacing w:before="11"/>
              <w:ind w:right="341"/>
              <w:jc w:val="center"/>
              <w:rPr>
                <w:sz w:val="21"/>
              </w:rPr>
            </w:pPr>
            <w:r>
              <w:rPr>
                <w:sz w:val="21"/>
              </w:rPr>
              <w:t>331.7</w:t>
            </w:r>
          </w:p>
        </w:tc>
        <w:tc>
          <w:tcPr>
            <w:tcW w:w="1287" w:type="dxa"/>
          </w:tcPr>
          <w:p>
            <w:pPr>
              <w:pStyle w:val="TableParagraph"/>
              <w:spacing w:before="11"/>
              <w:ind w:left="288" w:right="314"/>
              <w:jc w:val="center"/>
              <w:rPr>
                <w:sz w:val="21"/>
              </w:rPr>
            </w:pPr>
            <w:r>
              <w:rPr>
                <w:sz w:val="21"/>
              </w:rPr>
              <w:t>0.4547</w:t>
            </w:r>
          </w:p>
        </w:tc>
        <w:tc>
          <w:tcPr>
            <w:tcW w:w="1224" w:type="dxa"/>
          </w:tcPr>
          <w:p>
            <w:pPr>
              <w:pStyle w:val="TableParagraph"/>
              <w:spacing w:before="11"/>
              <w:ind w:left="389"/>
              <w:rPr>
                <w:sz w:val="21"/>
              </w:rPr>
            </w:pPr>
            <w:r>
              <w:rPr>
                <w:sz w:val="21"/>
              </w:rPr>
              <w:t>0.44</w:t>
            </w:r>
          </w:p>
        </w:tc>
      </w:tr>
      <w:tr>
        <w:trPr>
          <w:trHeight w:val="304" w:hRule="exact"/>
        </w:trPr>
        <w:tc>
          <w:tcPr>
            <w:tcW w:w="2071" w:type="dxa"/>
          </w:tcPr>
          <w:p>
            <w:pPr>
              <w:pStyle w:val="TableParagraph"/>
              <w:spacing w:before="3"/>
              <w:ind w:left="67"/>
              <w:rPr>
                <w:sz w:val="21"/>
              </w:rPr>
            </w:pPr>
            <w:r>
              <w:rPr>
                <w:sz w:val="21"/>
              </w:rPr>
              <w:t>WBC x 10</w:t>
            </w:r>
            <w:r>
              <w:rPr>
                <w:position w:val="10"/>
                <w:sz w:val="13"/>
              </w:rPr>
              <w:t>9</w:t>
            </w:r>
            <w:r>
              <w:rPr>
                <w:sz w:val="21"/>
              </w:rPr>
              <w:t>/L</w:t>
            </w:r>
          </w:p>
        </w:tc>
        <w:tc>
          <w:tcPr>
            <w:tcW w:w="1254" w:type="dxa"/>
          </w:tcPr>
          <w:p>
            <w:pPr>
              <w:pStyle w:val="TableParagraph"/>
              <w:ind w:left="341" w:right="344"/>
              <w:jc w:val="center"/>
              <w:rPr>
                <w:sz w:val="21"/>
              </w:rPr>
            </w:pPr>
            <w:r>
              <w:rPr>
                <w:sz w:val="21"/>
              </w:rPr>
              <w:t>12.0</w:t>
            </w:r>
          </w:p>
        </w:tc>
        <w:tc>
          <w:tcPr>
            <w:tcW w:w="1254" w:type="dxa"/>
          </w:tcPr>
          <w:p>
            <w:pPr>
              <w:pStyle w:val="TableParagraph"/>
              <w:ind w:left="342" w:right="343"/>
              <w:jc w:val="center"/>
              <w:rPr>
                <w:sz w:val="21"/>
              </w:rPr>
            </w:pPr>
            <w:r>
              <w:rPr>
                <w:sz w:val="21"/>
              </w:rPr>
              <w:t>12.2</w:t>
            </w:r>
          </w:p>
        </w:tc>
        <w:tc>
          <w:tcPr>
            <w:tcW w:w="1255" w:type="dxa"/>
          </w:tcPr>
          <w:p>
            <w:pPr>
              <w:pStyle w:val="TableParagraph"/>
              <w:ind w:left="0" w:right="418"/>
              <w:jc w:val="right"/>
              <w:rPr>
                <w:sz w:val="21"/>
              </w:rPr>
            </w:pPr>
            <w:r>
              <w:rPr>
                <w:sz w:val="21"/>
              </w:rPr>
              <w:t>11.8</w:t>
            </w:r>
          </w:p>
        </w:tc>
        <w:tc>
          <w:tcPr>
            <w:tcW w:w="1250" w:type="dxa"/>
          </w:tcPr>
          <w:p>
            <w:pPr>
              <w:pStyle w:val="TableParagraph"/>
              <w:ind w:left="341" w:right="341"/>
              <w:jc w:val="center"/>
              <w:rPr>
                <w:sz w:val="21"/>
              </w:rPr>
            </w:pPr>
            <w:r>
              <w:rPr>
                <w:sz w:val="21"/>
              </w:rPr>
              <w:t>12.7</w:t>
            </w:r>
          </w:p>
        </w:tc>
        <w:tc>
          <w:tcPr>
            <w:tcW w:w="1287" w:type="dxa"/>
          </w:tcPr>
          <w:p>
            <w:pPr>
              <w:pStyle w:val="TableParagraph"/>
              <w:ind w:left="288" w:right="315"/>
              <w:jc w:val="center"/>
              <w:rPr>
                <w:sz w:val="21"/>
              </w:rPr>
            </w:pPr>
            <w:r>
              <w:rPr>
                <w:sz w:val="21"/>
              </w:rPr>
              <w:t>0.9738</w:t>
            </w:r>
          </w:p>
        </w:tc>
        <w:tc>
          <w:tcPr>
            <w:tcW w:w="1224" w:type="dxa"/>
          </w:tcPr>
          <w:p>
            <w:pPr>
              <w:pStyle w:val="TableParagraph"/>
              <w:ind w:left="388"/>
              <w:rPr>
                <w:sz w:val="21"/>
              </w:rPr>
            </w:pPr>
            <w:r>
              <w:rPr>
                <w:sz w:val="21"/>
              </w:rPr>
              <w:t>2.06</w:t>
            </w:r>
          </w:p>
        </w:tc>
      </w:tr>
      <w:tr>
        <w:trPr>
          <w:trHeight w:val="325" w:hRule="exact"/>
        </w:trPr>
        <w:tc>
          <w:tcPr>
            <w:tcW w:w="2071" w:type="dxa"/>
          </w:tcPr>
          <w:p>
            <w:pPr>
              <w:pStyle w:val="TableParagraph"/>
              <w:spacing w:before="23"/>
              <w:ind w:left="67"/>
              <w:rPr>
                <w:sz w:val="21"/>
              </w:rPr>
            </w:pPr>
            <w:r>
              <w:rPr>
                <w:sz w:val="21"/>
              </w:rPr>
              <w:t>SGN x 10</w:t>
            </w:r>
            <w:r>
              <w:rPr>
                <w:position w:val="10"/>
                <w:sz w:val="13"/>
              </w:rPr>
              <w:t>9</w:t>
            </w:r>
            <w:r>
              <w:rPr>
                <w:sz w:val="21"/>
              </w:rPr>
              <w:t>/L</w:t>
            </w:r>
          </w:p>
        </w:tc>
        <w:tc>
          <w:tcPr>
            <w:tcW w:w="1254" w:type="dxa"/>
          </w:tcPr>
          <w:p>
            <w:pPr>
              <w:pStyle w:val="TableParagraph"/>
              <w:spacing w:before="48"/>
              <w:ind w:right="343"/>
              <w:jc w:val="center"/>
              <w:rPr>
                <w:sz w:val="21"/>
              </w:rPr>
            </w:pPr>
            <w:r>
              <w:rPr>
                <w:sz w:val="21"/>
              </w:rPr>
              <w:t>5.4</w:t>
            </w:r>
          </w:p>
        </w:tc>
        <w:tc>
          <w:tcPr>
            <w:tcW w:w="1254" w:type="dxa"/>
          </w:tcPr>
          <w:p>
            <w:pPr>
              <w:pStyle w:val="TableParagraph"/>
              <w:spacing w:before="48"/>
              <w:ind w:left="342" w:right="343"/>
              <w:jc w:val="center"/>
              <w:rPr>
                <w:sz w:val="21"/>
              </w:rPr>
            </w:pPr>
            <w:r>
              <w:rPr>
                <w:sz w:val="21"/>
              </w:rPr>
              <w:t>6.0</w:t>
            </w:r>
          </w:p>
        </w:tc>
        <w:tc>
          <w:tcPr>
            <w:tcW w:w="1255" w:type="dxa"/>
          </w:tcPr>
          <w:p>
            <w:pPr>
              <w:pStyle w:val="TableParagraph"/>
              <w:spacing w:before="48"/>
              <w:ind w:left="461" w:right="461"/>
              <w:jc w:val="center"/>
              <w:rPr>
                <w:sz w:val="21"/>
              </w:rPr>
            </w:pPr>
            <w:r>
              <w:rPr>
                <w:sz w:val="21"/>
              </w:rPr>
              <w:t>5.7</w:t>
            </w:r>
          </w:p>
        </w:tc>
        <w:tc>
          <w:tcPr>
            <w:tcW w:w="1250" w:type="dxa"/>
          </w:tcPr>
          <w:p>
            <w:pPr>
              <w:pStyle w:val="TableParagraph"/>
              <w:spacing w:before="48"/>
              <w:ind w:right="339"/>
              <w:jc w:val="center"/>
              <w:rPr>
                <w:sz w:val="21"/>
              </w:rPr>
            </w:pPr>
            <w:r>
              <w:rPr>
                <w:sz w:val="21"/>
              </w:rPr>
              <w:t>5.4</w:t>
            </w:r>
          </w:p>
        </w:tc>
        <w:tc>
          <w:tcPr>
            <w:tcW w:w="1287" w:type="dxa"/>
          </w:tcPr>
          <w:p>
            <w:pPr>
              <w:pStyle w:val="TableParagraph"/>
              <w:spacing w:before="48"/>
              <w:ind w:left="288" w:right="315"/>
              <w:jc w:val="center"/>
              <w:rPr>
                <w:sz w:val="21"/>
              </w:rPr>
            </w:pPr>
            <w:r>
              <w:rPr>
                <w:sz w:val="21"/>
              </w:rPr>
              <w:t>0.9660</w:t>
            </w:r>
          </w:p>
        </w:tc>
        <w:tc>
          <w:tcPr>
            <w:tcW w:w="1224" w:type="dxa"/>
          </w:tcPr>
          <w:p>
            <w:pPr>
              <w:pStyle w:val="TableParagraph"/>
              <w:spacing w:before="48"/>
              <w:ind w:left="388"/>
              <w:rPr>
                <w:sz w:val="21"/>
              </w:rPr>
            </w:pPr>
            <w:r>
              <w:rPr>
                <w:sz w:val="21"/>
              </w:rPr>
              <w:t>1.27</w:t>
            </w:r>
          </w:p>
        </w:tc>
      </w:tr>
      <w:tr>
        <w:trPr>
          <w:trHeight w:val="325" w:hRule="exact"/>
        </w:trPr>
        <w:tc>
          <w:tcPr>
            <w:tcW w:w="2071" w:type="dxa"/>
          </w:tcPr>
          <w:p>
            <w:pPr>
              <w:pStyle w:val="TableParagraph"/>
              <w:spacing w:before="25"/>
              <w:ind w:left="67"/>
              <w:rPr>
                <w:sz w:val="21"/>
              </w:rPr>
            </w:pPr>
            <w:r>
              <w:rPr>
                <w:sz w:val="21"/>
              </w:rPr>
              <w:t>LYM x 10</w:t>
            </w:r>
            <w:r>
              <w:rPr>
                <w:position w:val="10"/>
                <w:sz w:val="13"/>
              </w:rPr>
              <w:t>9</w:t>
            </w:r>
            <w:r>
              <w:rPr>
                <w:sz w:val="21"/>
              </w:rPr>
              <w:t>/L</w:t>
            </w:r>
          </w:p>
        </w:tc>
        <w:tc>
          <w:tcPr>
            <w:tcW w:w="1254" w:type="dxa"/>
          </w:tcPr>
          <w:p>
            <w:pPr>
              <w:pStyle w:val="TableParagraph"/>
              <w:spacing w:before="50"/>
              <w:ind w:right="343"/>
              <w:jc w:val="center"/>
              <w:rPr>
                <w:sz w:val="21"/>
              </w:rPr>
            </w:pPr>
            <w:r>
              <w:rPr>
                <w:sz w:val="21"/>
              </w:rPr>
              <w:t>6.6</w:t>
            </w:r>
          </w:p>
        </w:tc>
        <w:tc>
          <w:tcPr>
            <w:tcW w:w="1254" w:type="dxa"/>
          </w:tcPr>
          <w:p>
            <w:pPr>
              <w:pStyle w:val="TableParagraph"/>
              <w:spacing w:before="50"/>
              <w:ind w:left="342" w:right="343"/>
              <w:jc w:val="center"/>
              <w:rPr>
                <w:sz w:val="21"/>
              </w:rPr>
            </w:pPr>
            <w:r>
              <w:rPr>
                <w:sz w:val="21"/>
              </w:rPr>
              <w:t>5.6</w:t>
            </w:r>
          </w:p>
        </w:tc>
        <w:tc>
          <w:tcPr>
            <w:tcW w:w="1255" w:type="dxa"/>
          </w:tcPr>
          <w:p>
            <w:pPr>
              <w:pStyle w:val="TableParagraph"/>
              <w:spacing w:before="50"/>
              <w:ind w:left="461" w:right="461"/>
              <w:jc w:val="center"/>
              <w:rPr>
                <w:sz w:val="21"/>
              </w:rPr>
            </w:pPr>
            <w:r>
              <w:rPr>
                <w:sz w:val="21"/>
              </w:rPr>
              <w:t>5.6</w:t>
            </w:r>
          </w:p>
        </w:tc>
        <w:tc>
          <w:tcPr>
            <w:tcW w:w="1250" w:type="dxa"/>
          </w:tcPr>
          <w:p>
            <w:pPr>
              <w:pStyle w:val="TableParagraph"/>
              <w:spacing w:before="50"/>
              <w:ind w:right="339"/>
              <w:jc w:val="center"/>
              <w:rPr>
                <w:sz w:val="21"/>
              </w:rPr>
            </w:pPr>
            <w:r>
              <w:rPr>
                <w:sz w:val="21"/>
              </w:rPr>
              <w:t>6.2</w:t>
            </w:r>
          </w:p>
        </w:tc>
        <w:tc>
          <w:tcPr>
            <w:tcW w:w="1287" w:type="dxa"/>
          </w:tcPr>
          <w:p>
            <w:pPr>
              <w:pStyle w:val="TableParagraph"/>
              <w:spacing w:before="50"/>
              <w:ind w:left="288" w:right="315"/>
              <w:jc w:val="center"/>
              <w:rPr>
                <w:sz w:val="21"/>
              </w:rPr>
            </w:pPr>
            <w:r>
              <w:rPr>
                <w:sz w:val="21"/>
              </w:rPr>
              <w:t>0.6779</w:t>
            </w:r>
          </w:p>
        </w:tc>
        <w:tc>
          <w:tcPr>
            <w:tcW w:w="1224" w:type="dxa"/>
          </w:tcPr>
          <w:p>
            <w:pPr>
              <w:pStyle w:val="TableParagraph"/>
              <w:spacing w:before="50"/>
              <w:ind w:left="388"/>
              <w:rPr>
                <w:sz w:val="21"/>
              </w:rPr>
            </w:pPr>
            <w:r>
              <w:rPr>
                <w:sz w:val="21"/>
              </w:rPr>
              <w:t>0.93</w:t>
            </w:r>
          </w:p>
        </w:tc>
      </w:tr>
      <w:tr>
        <w:trPr>
          <w:trHeight w:val="325" w:hRule="exact"/>
        </w:trPr>
        <w:tc>
          <w:tcPr>
            <w:tcW w:w="2071" w:type="dxa"/>
          </w:tcPr>
          <w:p>
            <w:pPr>
              <w:pStyle w:val="TableParagraph"/>
              <w:spacing w:before="23"/>
              <w:ind w:left="67"/>
              <w:rPr>
                <w:sz w:val="21"/>
              </w:rPr>
            </w:pPr>
            <w:r>
              <w:rPr>
                <w:sz w:val="21"/>
              </w:rPr>
              <w:t>BAS x 10</w:t>
            </w:r>
            <w:r>
              <w:rPr>
                <w:position w:val="10"/>
                <w:sz w:val="13"/>
              </w:rPr>
              <w:t>9</w:t>
            </w:r>
            <w:r>
              <w:rPr>
                <w:sz w:val="21"/>
              </w:rPr>
              <w:t>/L</w:t>
            </w:r>
          </w:p>
        </w:tc>
        <w:tc>
          <w:tcPr>
            <w:tcW w:w="1254" w:type="dxa"/>
          </w:tcPr>
          <w:p>
            <w:pPr>
              <w:pStyle w:val="TableParagraph"/>
              <w:spacing w:before="48"/>
              <w:ind w:left="341" w:right="344"/>
              <w:jc w:val="center"/>
              <w:rPr>
                <w:sz w:val="21"/>
              </w:rPr>
            </w:pPr>
            <w:r>
              <w:rPr>
                <w:sz w:val="21"/>
              </w:rPr>
              <w:t>0.03</w:t>
            </w:r>
          </w:p>
        </w:tc>
        <w:tc>
          <w:tcPr>
            <w:tcW w:w="1254" w:type="dxa"/>
          </w:tcPr>
          <w:p>
            <w:pPr>
              <w:pStyle w:val="TableParagraph"/>
              <w:spacing w:before="48"/>
              <w:ind w:left="342" w:right="343"/>
              <w:jc w:val="center"/>
              <w:rPr>
                <w:sz w:val="21"/>
              </w:rPr>
            </w:pPr>
            <w:r>
              <w:rPr>
                <w:sz w:val="21"/>
              </w:rPr>
              <w:t>0.05</w:t>
            </w:r>
          </w:p>
        </w:tc>
        <w:tc>
          <w:tcPr>
            <w:tcW w:w="1255" w:type="dxa"/>
          </w:tcPr>
          <w:p>
            <w:pPr>
              <w:pStyle w:val="TableParagraph"/>
              <w:spacing w:before="48"/>
              <w:ind w:left="0" w:right="418"/>
              <w:jc w:val="right"/>
              <w:rPr>
                <w:sz w:val="21"/>
              </w:rPr>
            </w:pPr>
            <w:r>
              <w:rPr>
                <w:sz w:val="21"/>
              </w:rPr>
              <w:t>0.07</w:t>
            </w:r>
          </w:p>
        </w:tc>
        <w:tc>
          <w:tcPr>
            <w:tcW w:w="1250" w:type="dxa"/>
          </w:tcPr>
          <w:p>
            <w:pPr>
              <w:pStyle w:val="TableParagraph"/>
              <w:spacing w:before="48"/>
              <w:ind w:left="341" w:right="341"/>
              <w:jc w:val="center"/>
              <w:rPr>
                <w:sz w:val="21"/>
              </w:rPr>
            </w:pPr>
            <w:r>
              <w:rPr>
                <w:sz w:val="21"/>
              </w:rPr>
              <w:t>0.15</w:t>
            </w:r>
          </w:p>
        </w:tc>
        <w:tc>
          <w:tcPr>
            <w:tcW w:w="1287" w:type="dxa"/>
          </w:tcPr>
          <w:p>
            <w:pPr>
              <w:pStyle w:val="TableParagraph"/>
              <w:spacing w:before="48"/>
              <w:ind w:left="288" w:right="315"/>
              <w:jc w:val="center"/>
              <w:rPr>
                <w:sz w:val="21"/>
              </w:rPr>
            </w:pPr>
            <w:r>
              <w:rPr>
                <w:sz w:val="21"/>
              </w:rPr>
              <w:t>0.6566</w:t>
            </w:r>
          </w:p>
        </w:tc>
        <w:tc>
          <w:tcPr>
            <w:tcW w:w="1224" w:type="dxa"/>
          </w:tcPr>
          <w:p>
            <w:pPr>
              <w:pStyle w:val="TableParagraph"/>
              <w:spacing w:before="48"/>
              <w:ind w:left="388"/>
              <w:rPr>
                <w:sz w:val="21"/>
              </w:rPr>
            </w:pPr>
            <w:r>
              <w:rPr>
                <w:sz w:val="21"/>
              </w:rPr>
              <w:t>0.11</w:t>
            </w:r>
          </w:p>
        </w:tc>
      </w:tr>
      <w:tr>
        <w:trPr>
          <w:trHeight w:val="342" w:hRule="exact"/>
        </w:trPr>
        <w:tc>
          <w:tcPr>
            <w:tcW w:w="2071" w:type="dxa"/>
          </w:tcPr>
          <w:p>
            <w:pPr>
              <w:pStyle w:val="TableParagraph"/>
              <w:spacing w:before="25"/>
              <w:ind w:left="67"/>
              <w:rPr>
                <w:sz w:val="21"/>
              </w:rPr>
            </w:pPr>
            <w:r>
              <w:rPr>
                <w:sz w:val="21"/>
              </w:rPr>
              <w:t>EOS x 10</w:t>
            </w:r>
            <w:r>
              <w:rPr>
                <w:position w:val="10"/>
                <w:sz w:val="13"/>
              </w:rPr>
              <w:t>9</w:t>
            </w:r>
            <w:r>
              <w:rPr>
                <w:sz w:val="21"/>
              </w:rPr>
              <w:t>/L</w:t>
            </w:r>
          </w:p>
        </w:tc>
        <w:tc>
          <w:tcPr>
            <w:tcW w:w="1254" w:type="dxa"/>
          </w:tcPr>
          <w:p>
            <w:pPr>
              <w:pStyle w:val="TableParagraph"/>
              <w:spacing w:before="25"/>
              <w:ind w:right="343"/>
              <w:jc w:val="center"/>
              <w:rPr>
                <w:sz w:val="13"/>
              </w:rPr>
            </w:pPr>
            <w:r>
              <w:rPr>
                <w:w w:val="105"/>
                <w:sz w:val="21"/>
              </w:rPr>
              <w:t>0.08</w:t>
            </w:r>
            <w:r>
              <w:rPr>
                <w:w w:val="105"/>
                <w:position w:val="10"/>
                <w:sz w:val="13"/>
              </w:rPr>
              <w:t>b</w:t>
            </w:r>
          </w:p>
        </w:tc>
        <w:tc>
          <w:tcPr>
            <w:tcW w:w="1254" w:type="dxa"/>
          </w:tcPr>
          <w:p>
            <w:pPr>
              <w:pStyle w:val="TableParagraph"/>
              <w:spacing w:before="25"/>
              <w:ind w:right="343"/>
              <w:jc w:val="center"/>
              <w:rPr>
                <w:sz w:val="13"/>
              </w:rPr>
            </w:pPr>
            <w:r>
              <w:rPr>
                <w:w w:val="105"/>
                <w:sz w:val="21"/>
              </w:rPr>
              <w:t>0.29</w:t>
            </w:r>
            <w:r>
              <w:rPr>
                <w:w w:val="105"/>
                <w:position w:val="10"/>
                <w:sz w:val="13"/>
              </w:rPr>
              <w:t>a</w:t>
            </w:r>
          </w:p>
        </w:tc>
        <w:tc>
          <w:tcPr>
            <w:tcW w:w="1255" w:type="dxa"/>
          </w:tcPr>
          <w:p>
            <w:pPr>
              <w:pStyle w:val="TableParagraph"/>
              <w:spacing w:before="25"/>
              <w:ind w:left="0" w:right="381"/>
              <w:jc w:val="right"/>
              <w:rPr>
                <w:sz w:val="13"/>
              </w:rPr>
            </w:pPr>
            <w:r>
              <w:rPr>
                <w:sz w:val="21"/>
              </w:rPr>
              <w:t>0.25</w:t>
            </w:r>
            <w:r>
              <w:rPr>
                <w:position w:val="10"/>
                <w:sz w:val="13"/>
              </w:rPr>
              <w:t>a</w:t>
            </w:r>
          </w:p>
        </w:tc>
        <w:tc>
          <w:tcPr>
            <w:tcW w:w="1250" w:type="dxa"/>
          </w:tcPr>
          <w:p>
            <w:pPr>
              <w:pStyle w:val="TableParagraph"/>
              <w:spacing w:before="25"/>
              <w:ind w:left="341" w:right="341"/>
              <w:jc w:val="center"/>
              <w:rPr>
                <w:sz w:val="13"/>
              </w:rPr>
            </w:pPr>
            <w:r>
              <w:rPr>
                <w:w w:val="105"/>
                <w:sz w:val="21"/>
              </w:rPr>
              <w:t>0.51</w:t>
            </w:r>
            <w:r>
              <w:rPr>
                <w:w w:val="105"/>
                <w:position w:val="10"/>
                <w:sz w:val="13"/>
              </w:rPr>
              <w:t>a</w:t>
            </w:r>
          </w:p>
        </w:tc>
        <w:tc>
          <w:tcPr>
            <w:tcW w:w="1287" w:type="dxa"/>
          </w:tcPr>
          <w:p>
            <w:pPr>
              <w:pStyle w:val="TableParagraph"/>
              <w:spacing w:before="50"/>
              <w:ind w:left="288" w:right="315"/>
              <w:jc w:val="center"/>
              <w:rPr>
                <w:sz w:val="21"/>
              </w:rPr>
            </w:pPr>
            <w:r>
              <w:rPr>
                <w:sz w:val="21"/>
              </w:rPr>
              <w:t>0.0191</w:t>
            </w:r>
          </w:p>
        </w:tc>
        <w:tc>
          <w:tcPr>
            <w:tcW w:w="1224" w:type="dxa"/>
          </w:tcPr>
          <w:p>
            <w:pPr>
              <w:pStyle w:val="TableParagraph"/>
              <w:spacing w:before="50"/>
              <w:ind w:left="388"/>
              <w:rPr>
                <w:sz w:val="21"/>
              </w:rPr>
            </w:pPr>
            <w:r>
              <w:rPr>
                <w:sz w:val="21"/>
              </w:rPr>
              <w:t>0.09</w:t>
            </w:r>
          </w:p>
        </w:tc>
      </w:tr>
      <w:tr>
        <w:trPr>
          <w:trHeight w:val="287" w:hRule="exact"/>
        </w:trPr>
        <w:tc>
          <w:tcPr>
            <w:tcW w:w="2071" w:type="dxa"/>
          </w:tcPr>
          <w:p>
            <w:pPr>
              <w:pStyle w:val="TableParagraph"/>
              <w:spacing w:before="31"/>
              <w:ind w:left="67"/>
              <w:rPr>
                <w:sz w:val="21"/>
              </w:rPr>
            </w:pPr>
            <w:r>
              <w:rPr>
                <w:sz w:val="21"/>
              </w:rPr>
              <w:t>PSP g/Dl</w:t>
            </w:r>
          </w:p>
        </w:tc>
        <w:tc>
          <w:tcPr>
            <w:tcW w:w="1254" w:type="dxa"/>
          </w:tcPr>
          <w:p>
            <w:pPr>
              <w:pStyle w:val="TableParagraph"/>
              <w:spacing w:before="31"/>
              <w:ind w:right="344"/>
              <w:jc w:val="center"/>
              <w:rPr>
                <w:sz w:val="21"/>
              </w:rPr>
            </w:pPr>
            <w:r>
              <w:rPr>
                <w:sz w:val="21"/>
              </w:rPr>
              <w:t>70.3</w:t>
            </w:r>
          </w:p>
        </w:tc>
        <w:tc>
          <w:tcPr>
            <w:tcW w:w="1254" w:type="dxa"/>
          </w:tcPr>
          <w:p>
            <w:pPr>
              <w:pStyle w:val="TableParagraph"/>
              <w:spacing w:before="31"/>
              <w:ind w:left="342" w:right="343"/>
              <w:jc w:val="center"/>
              <w:rPr>
                <w:sz w:val="21"/>
              </w:rPr>
            </w:pPr>
            <w:r>
              <w:rPr>
                <w:sz w:val="21"/>
              </w:rPr>
              <w:t>71.3</w:t>
            </w:r>
          </w:p>
        </w:tc>
        <w:tc>
          <w:tcPr>
            <w:tcW w:w="1255" w:type="dxa"/>
          </w:tcPr>
          <w:p>
            <w:pPr>
              <w:pStyle w:val="TableParagraph"/>
              <w:spacing w:before="31"/>
              <w:ind w:left="0" w:right="418"/>
              <w:jc w:val="right"/>
              <w:rPr>
                <w:sz w:val="21"/>
              </w:rPr>
            </w:pPr>
            <w:r>
              <w:rPr>
                <w:sz w:val="21"/>
              </w:rPr>
              <w:t>71.3</w:t>
            </w:r>
          </w:p>
        </w:tc>
        <w:tc>
          <w:tcPr>
            <w:tcW w:w="1250" w:type="dxa"/>
          </w:tcPr>
          <w:p>
            <w:pPr>
              <w:pStyle w:val="TableParagraph"/>
              <w:spacing w:before="31"/>
              <w:ind w:left="341" w:right="341"/>
              <w:jc w:val="center"/>
              <w:rPr>
                <w:sz w:val="21"/>
              </w:rPr>
            </w:pPr>
            <w:r>
              <w:rPr>
                <w:sz w:val="21"/>
              </w:rPr>
              <w:t>70.5</w:t>
            </w:r>
          </w:p>
        </w:tc>
        <w:tc>
          <w:tcPr>
            <w:tcW w:w="1287" w:type="dxa"/>
          </w:tcPr>
          <w:p>
            <w:pPr>
              <w:pStyle w:val="TableParagraph"/>
              <w:spacing w:before="31"/>
              <w:ind w:left="288" w:right="315"/>
              <w:jc w:val="center"/>
              <w:rPr>
                <w:sz w:val="21"/>
              </w:rPr>
            </w:pPr>
            <w:r>
              <w:rPr>
                <w:sz w:val="21"/>
              </w:rPr>
              <w:t>0.9208</w:t>
            </w:r>
          </w:p>
        </w:tc>
        <w:tc>
          <w:tcPr>
            <w:tcW w:w="1224" w:type="dxa"/>
          </w:tcPr>
          <w:p>
            <w:pPr>
              <w:pStyle w:val="TableParagraph"/>
              <w:spacing w:before="31"/>
              <w:ind w:left="388"/>
              <w:rPr>
                <w:sz w:val="21"/>
              </w:rPr>
            </w:pPr>
            <w:r>
              <w:rPr>
                <w:sz w:val="21"/>
              </w:rPr>
              <w:t>1.83</w:t>
            </w:r>
          </w:p>
        </w:tc>
      </w:tr>
      <w:tr>
        <w:trPr>
          <w:trHeight w:val="322" w:hRule="exact"/>
        </w:trPr>
        <w:tc>
          <w:tcPr>
            <w:tcW w:w="2071" w:type="dxa"/>
          </w:tcPr>
          <w:p>
            <w:pPr>
              <w:pStyle w:val="TableParagraph"/>
              <w:ind w:left="67"/>
              <w:rPr>
                <w:sz w:val="21"/>
              </w:rPr>
            </w:pPr>
            <w:r>
              <w:rPr>
                <w:sz w:val="21"/>
              </w:rPr>
              <w:t>Glucose mmol/L</w:t>
            </w:r>
          </w:p>
        </w:tc>
        <w:tc>
          <w:tcPr>
            <w:tcW w:w="1254" w:type="dxa"/>
          </w:tcPr>
          <w:p>
            <w:pPr>
              <w:pStyle w:val="TableParagraph"/>
              <w:spacing w:before="3"/>
              <w:ind w:left="342" w:right="344"/>
              <w:jc w:val="center"/>
              <w:rPr>
                <w:sz w:val="13"/>
              </w:rPr>
            </w:pPr>
            <w:r>
              <w:rPr>
                <w:w w:val="105"/>
                <w:sz w:val="21"/>
              </w:rPr>
              <w:t>4.1</w:t>
            </w:r>
            <w:r>
              <w:rPr>
                <w:w w:val="105"/>
                <w:position w:val="10"/>
                <w:sz w:val="13"/>
              </w:rPr>
              <w:t>a</w:t>
            </w:r>
          </w:p>
        </w:tc>
        <w:tc>
          <w:tcPr>
            <w:tcW w:w="1254" w:type="dxa"/>
          </w:tcPr>
          <w:p>
            <w:pPr>
              <w:pStyle w:val="TableParagraph"/>
              <w:spacing w:before="3"/>
              <w:ind w:left="341" w:right="343"/>
              <w:jc w:val="center"/>
              <w:rPr>
                <w:sz w:val="13"/>
              </w:rPr>
            </w:pPr>
            <w:r>
              <w:rPr>
                <w:w w:val="105"/>
                <w:sz w:val="21"/>
              </w:rPr>
              <w:t>4.0</w:t>
            </w:r>
            <w:r>
              <w:rPr>
                <w:w w:val="105"/>
                <w:position w:val="10"/>
                <w:sz w:val="13"/>
              </w:rPr>
              <w:t>a</w:t>
            </w:r>
          </w:p>
        </w:tc>
        <w:tc>
          <w:tcPr>
            <w:tcW w:w="1255" w:type="dxa"/>
          </w:tcPr>
          <w:p>
            <w:pPr>
              <w:pStyle w:val="TableParagraph"/>
              <w:spacing w:before="3"/>
              <w:ind w:left="0" w:right="441"/>
              <w:jc w:val="right"/>
              <w:rPr>
                <w:sz w:val="13"/>
              </w:rPr>
            </w:pPr>
            <w:r>
              <w:rPr>
                <w:sz w:val="21"/>
              </w:rPr>
              <w:t>4.1</w:t>
            </w:r>
            <w:r>
              <w:rPr>
                <w:position w:val="10"/>
                <w:sz w:val="13"/>
              </w:rPr>
              <w:t>a</w:t>
            </w:r>
          </w:p>
        </w:tc>
        <w:tc>
          <w:tcPr>
            <w:tcW w:w="1250" w:type="dxa"/>
          </w:tcPr>
          <w:p>
            <w:pPr>
              <w:pStyle w:val="TableParagraph"/>
              <w:spacing w:before="3"/>
              <w:ind w:left="340" w:right="341"/>
              <w:jc w:val="center"/>
              <w:rPr>
                <w:sz w:val="13"/>
              </w:rPr>
            </w:pPr>
            <w:r>
              <w:rPr>
                <w:w w:val="105"/>
                <w:sz w:val="21"/>
              </w:rPr>
              <w:t>3.1</w:t>
            </w:r>
            <w:r>
              <w:rPr>
                <w:w w:val="105"/>
                <w:position w:val="10"/>
                <w:sz w:val="13"/>
              </w:rPr>
              <w:t>b</w:t>
            </w:r>
          </w:p>
        </w:tc>
        <w:tc>
          <w:tcPr>
            <w:tcW w:w="1287" w:type="dxa"/>
          </w:tcPr>
          <w:p>
            <w:pPr>
              <w:pStyle w:val="TableParagraph"/>
              <w:ind w:left="288" w:right="315"/>
              <w:jc w:val="center"/>
              <w:rPr>
                <w:sz w:val="21"/>
              </w:rPr>
            </w:pPr>
            <w:r>
              <w:rPr>
                <w:sz w:val="21"/>
              </w:rPr>
              <w:t>0.0334</w:t>
            </w:r>
          </w:p>
        </w:tc>
        <w:tc>
          <w:tcPr>
            <w:tcW w:w="1224" w:type="dxa"/>
          </w:tcPr>
          <w:p>
            <w:pPr>
              <w:pStyle w:val="TableParagraph"/>
              <w:ind w:left="388"/>
              <w:rPr>
                <w:sz w:val="21"/>
              </w:rPr>
            </w:pPr>
            <w:r>
              <w:rPr>
                <w:sz w:val="21"/>
              </w:rPr>
              <w:t>0.28</w:t>
            </w:r>
          </w:p>
        </w:tc>
      </w:tr>
      <w:tr>
        <w:trPr>
          <w:trHeight w:val="304" w:hRule="exact"/>
        </w:trPr>
        <w:tc>
          <w:tcPr>
            <w:tcW w:w="2071" w:type="dxa"/>
          </w:tcPr>
          <w:p>
            <w:pPr>
              <w:pStyle w:val="TableParagraph"/>
              <w:spacing w:before="33"/>
              <w:ind w:left="67"/>
              <w:rPr>
                <w:sz w:val="21"/>
              </w:rPr>
            </w:pPr>
            <w:r>
              <w:rPr>
                <w:sz w:val="21"/>
              </w:rPr>
              <w:t>Creatinine mmol/L</w:t>
            </w:r>
          </w:p>
        </w:tc>
        <w:tc>
          <w:tcPr>
            <w:tcW w:w="1254" w:type="dxa"/>
          </w:tcPr>
          <w:p>
            <w:pPr>
              <w:pStyle w:val="TableParagraph"/>
              <w:spacing w:before="33"/>
              <w:ind w:right="344"/>
              <w:jc w:val="center"/>
              <w:rPr>
                <w:sz w:val="21"/>
              </w:rPr>
            </w:pPr>
            <w:r>
              <w:rPr>
                <w:sz w:val="21"/>
              </w:rPr>
              <w:t>93.6</w:t>
            </w:r>
          </w:p>
        </w:tc>
        <w:tc>
          <w:tcPr>
            <w:tcW w:w="1254" w:type="dxa"/>
          </w:tcPr>
          <w:p>
            <w:pPr>
              <w:pStyle w:val="TableParagraph"/>
              <w:spacing w:before="33"/>
              <w:ind w:right="343"/>
              <w:jc w:val="center"/>
              <w:rPr>
                <w:sz w:val="21"/>
              </w:rPr>
            </w:pPr>
            <w:r>
              <w:rPr>
                <w:sz w:val="21"/>
              </w:rPr>
              <w:t>84.8</w:t>
            </w:r>
          </w:p>
        </w:tc>
        <w:tc>
          <w:tcPr>
            <w:tcW w:w="1255" w:type="dxa"/>
          </w:tcPr>
          <w:p>
            <w:pPr>
              <w:pStyle w:val="TableParagraph"/>
              <w:spacing w:before="33"/>
              <w:ind w:left="0" w:right="355"/>
              <w:jc w:val="right"/>
              <w:rPr>
                <w:sz w:val="21"/>
              </w:rPr>
            </w:pPr>
            <w:r>
              <w:rPr>
                <w:sz w:val="21"/>
              </w:rPr>
              <w:t>102.5</w:t>
            </w:r>
          </w:p>
        </w:tc>
        <w:tc>
          <w:tcPr>
            <w:tcW w:w="1250" w:type="dxa"/>
          </w:tcPr>
          <w:p>
            <w:pPr>
              <w:pStyle w:val="TableParagraph"/>
              <w:spacing w:before="33"/>
              <w:ind w:right="341"/>
              <w:jc w:val="center"/>
              <w:rPr>
                <w:sz w:val="21"/>
              </w:rPr>
            </w:pPr>
            <w:r>
              <w:rPr>
                <w:sz w:val="21"/>
              </w:rPr>
              <w:t>107.1</w:t>
            </w:r>
          </w:p>
        </w:tc>
        <w:tc>
          <w:tcPr>
            <w:tcW w:w="1287" w:type="dxa"/>
          </w:tcPr>
          <w:p>
            <w:pPr>
              <w:pStyle w:val="TableParagraph"/>
              <w:spacing w:before="33"/>
              <w:ind w:left="288" w:right="314"/>
              <w:jc w:val="center"/>
              <w:rPr>
                <w:sz w:val="21"/>
              </w:rPr>
            </w:pPr>
            <w:r>
              <w:rPr>
                <w:sz w:val="21"/>
              </w:rPr>
              <w:t>0.0512</w:t>
            </w:r>
          </w:p>
        </w:tc>
        <w:tc>
          <w:tcPr>
            <w:tcW w:w="1224" w:type="dxa"/>
          </w:tcPr>
          <w:p>
            <w:pPr>
              <w:pStyle w:val="TableParagraph"/>
              <w:spacing w:before="33"/>
              <w:ind w:left="389"/>
              <w:rPr>
                <w:sz w:val="21"/>
              </w:rPr>
            </w:pPr>
            <w:r>
              <w:rPr>
                <w:sz w:val="21"/>
              </w:rPr>
              <w:t>6.45</w:t>
            </w:r>
          </w:p>
        </w:tc>
      </w:tr>
      <w:tr>
        <w:trPr>
          <w:trHeight w:val="281" w:hRule="exact"/>
        </w:trPr>
        <w:tc>
          <w:tcPr>
            <w:tcW w:w="2071" w:type="dxa"/>
          </w:tcPr>
          <w:p>
            <w:pPr>
              <w:pStyle w:val="TableParagraph"/>
              <w:spacing w:before="10"/>
              <w:ind w:left="67"/>
              <w:rPr>
                <w:sz w:val="21"/>
              </w:rPr>
            </w:pPr>
            <w:r>
              <w:rPr>
                <w:sz w:val="21"/>
              </w:rPr>
              <w:t>Urea mmol/L</w:t>
            </w:r>
          </w:p>
        </w:tc>
        <w:tc>
          <w:tcPr>
            <w:tcW w:w="1254" w:type="dxa"/>
          </w:tcPr>
          <w:p>
            <w:pPr>
              <w:pStyle w:val="TableParagraph"/>
              <w:spacing w:before="10"/>
              <w:ind w:right="342"/>
              <w:jc w:val="center"/>
              <w:rPr>
                <w:sz w:val="21"/>
              </w:rPr>
            </w:pPr>
            <w:r>
              <w:rPr>
                <w:sz w:val="21"/>
              </w:rPr>
              <w:t>6.7</w:t>
            </w:r>
          </w:p>
        </w:tc>
        <w:tc>
          <w:tcPr>
            <w:tcW w:w="1254" w:type="dxa"/>
          </w:tcPr>
          <w:p>
            <w:pPr>
              <w:pStyle w:val="TableParagraph"/>
              <w:spacing w:before="10"/>
              <w:ind w:left="342" w:right="343"/>
              <w:jc w:val="center"/>
              <w:rPr>
                <w:sz w:val="21"/>
              </w:rPr>
            </w:pPr>
            <w:r>
              <w:rPr>
                <w:sz w:val="21"/>
              </w:rPr>
              <w:t>7.1</w:t>
            </w:r>
          </w:p>
        </w:tc>
        <w:tc>
          <w:tcPr>
            <w:tcW w:w="1255" w:type="dxa"/>
          </w:tcPr>
          <w:p>
            <w:pPr>
              <w:pStyle w:val="TableParagraph"/>
              <w:spacing w:before="10"/>
              <w:ind w:left="461" w:right="461"/>
              <w:jc w:val="center"/>
              <w:rPr>
                <w:sz w:val="21"/>
              </w:rPr>
            </w:pPr>
            <w:r>
              <w:rPr>
                <w:sz w:val="21"/>
              </w:rPr>
              <w:t>8.3</w:t>
            </w:r>
          </w:p>
        </w:tc>
        <w:tc>
          <w:tcPr>
            <w:tcW w:w="1250" w:type="dxa"/>
          </w:tcPr>
          <w:p>
            <w:pPr>
              <w:pStyle w:val="TableParagraph"/>
              <w:spacing w:before="10"/>
              <w:ind w:right="339"/>
              <w:jc w:val="center"/>
              <w:rPr>
                <w:sz w:val="21"/>
              </w:rPr>
            </w:pPr>
            <w:r>
              <w:rPr>
                <w:sz w:val="21"/>
              </w:rPr>
              <w:t>7.5</w:t>
            </w:r>
          </w:p>
        </w:tc>
        <w:tc>
          <w:tcPr>
            <w:tcW w:w="1287" w:type="dxa"/>
          </w:tcPr>
          <w:p>
            <w:pPr>
              <w:pStyle w:val="TableParagraph"/>
              <w:spacing w:before="10"/>
              <w:ind w:left="288" w:right="315"/>
              <w:jc w:val="center"/>
              <w:rPr>
                <w:sz w:val="21"/>
              </w:rPr>
            </w:pPr>
            <w:r>
              <w:rPr>
                <w:sz w:val="21"/>
              </w:rPr>
              <w:t>0.5178</w:t>
            </w:r>
          </w:p>
        </w:tc>
        <w:tc>
          <w:tcPr>
            <w:tcW w:w="1224" w:type="dxa"/>
          </w:tcPr>
          <w:p>
            <w:pPr>
              <w:pStyle w:val="TableParagraph"/>
              <w:spacing w:before="10"/>
              <w:ind w:left="388"/>
              <w:rPr>
                <w:sz w:val="21"/>
              </w:rPr>
            </w:pPr>
            <w:r>
              <w:rPr>
                <w:sz w:val="21"/>
              </w:rPr>
              <w:t>1.04</w:t>
            </w:r>
          </w:p>
        </w:tc>
      </w:tr>
      <w:tr>
        <w:trPr>
          <w:trHeight w:val="282" w:hRule="exact"/>
        </w:trPr>
        <w:tc>
          <w:tcPr>
            <w:tcW w:w="2071" w:type="dxa"/>
          </w:tcPr>
          <w:p>
            <w:pPr>
              <w:pStyle w:val="TableParagraph"/>
              <w:spacing w:before="10"/>
              <w:ind w:left="67"/>
              <w:rPr>
                <w:sz w:val="21"/>
              </w:rPr>
            </w:pPr>
            <w:r>
              <w:rPr>
                <w:sz w:val="21"/>
              </w:rPr>
              <w:t>ALT U/L</w:t>
            </w:r>
          </w:p>
        </w:tc>
        <w:tc>
          <w:tcPr>
            <w:tcW w:w="1254" w:type="dxa"/>
          </w:tcPr>
          <w:p>
            <w:pPr>
              <w:pStyle w:val="TableParagraph"/>
              <w:spacing w:before="10"/>
              <w:ind w:left="341" w:right="344"/>
              <w:jc w:val="center"/>
              <w:rPr>
                <w:sz w:val="21"/>
              </w:rPr>
            </w:pPr>
            <w:r>
              <w:rPr>
                <w:sz w:val="21"/>
              </w:rPr>
              <w:t>25.1</w:t>
            </w:r>
          </w:p>
        </w:tc>
        <w:tc>
          <w:tcPr>
            <w:tcW w:w="1254" w:type="dxa"/>
          </w:tcPr>
          <w:p>
            <w:pPr>
              <w:pStyle w:val="TableParagraph"/>
              <w:spacing w:before="10"/>
              <w:ind w:left="342" w:right="343"/>
              <w:jc w:val="center"/>
              <w:rPr>
                <w:sz w:val="21"/>
              </w:rPr>
            </w:pPr>
            <w:r>
              <w:rPr>
                <w:sz w:val="21"/>
              </w:rPr>
              <w:t>22.6</w:t>
            </w:r>
          </w:p>
        </w:tc>
        <w:tc>
          <w:tcPr>
            <w:tcW w:w="1255" w:type="dxa"/>
          </w:tcPr>
          <w:p>
            <w:pPr>
              <w:pStyle w:val="TableParagraph"/>
              <w:spacing w:before="10"/>
              <w:ind w:left="0" w:right="418"/>
              <w:jc w:val="right"/>
              <w:rPr>
                <w:sz w:val="21"/>
              </w:rPr>
            </w:pPr>
            <w:r>
              <w:rPr>
                <w:sz w:val="21"/>
              </w:rPr>
              <w:t>23.4</w:t>
            </w:r>
          </w:p>
        </w:tc>
        <w:tc>
          <w:tcPr>
            <w:tcW w:w="1250" w:type="dxa"/>
          </w:tcPr>
          <w:p>
            <w:pPr>
              <w:pStyle w:val="TableParagraph"/>
              <w:spacing w:before="10"/>
              <w:ind w:left="341" w:right="341"/>
              <w:jc w:val="center"/>
              <w:rPr>
                <w:sz w:val="21"/>
              </w:rPr>
            </w:pPr>
            <w:r>
              <w:rPr>
                <w:sz w:val="21"/>
              </w:rPr>
              <w:t>22.0</w:t>
            </w:r>
          </w:p>
        </w:tc>
        <w:tc>
          <w:tcPr>
            <w:tcW w:w="1287" w:type="dxa"/>
          </w:tcPr>
          <w:p>
            <w:pPr>
              <w:pStyle w:val="TableParagraph"/>
              <w:spacing w:before="10"/>
              <w:ind w:left="288" w:right="315"/>
              <w:jc w:val="center"/>
              <w:rPr>
                <w:sz w:val="21"/>
              </w:rPr>
            </w:pPr>
            <w:r>
              <w:rPr>
                <w:sz w:val="21"/>
              </w:rPr>
              <w:t>0.7371</w:t>
            </w:r>
          </w:p>
        </w:tc>
        <w:tc>
          <w:tcPr>
            <w:tcW w:w="1224" w:type="dxa"/>
          </w:tcPr>
          <w:p>
            <w:pPr>
              <w:pStyle w:val="TableParagraph"/>
              <w:spacing w:before="10"/>
              <w:ind w:left="388"/>
              <w:rPr>
                <w:sz w:val="21"/>
              </w:rPr>
            </w:pPr>
            <w:r>
              <w:rPr>
                <w:sz w:val="21"/>
              </w:rPr>
              <w:t>2.90</w:t>
            </w:r>
          </w:p>
        </w:tc>
      </w:tr>
      <w:tr>
        <w:trPr>
          <w:trHeight w:val="283" w:hRule="exact"/>
        </w:trPr>
        <w:tc>
          <w:tcPr>
            <w:tcW w:w="2071" w:type="dxa"/>
          </w:tcPr>
          <w:p>
            <w:pPr>
              <w:pStyle w:val="TableParagraph"/>
              <w:spacing w:before="11"/>
              <w:ind w:left="67"/>
              <w:rPr>
                <w:sz w:val="21"/>
              </w:rPr>
            </w:pPr>
            <w:r>
              <w:rPr>
                <w:sz w:val="21"/>
              </w:rPr>
              <w:t>AST U/L</w:t>
            </w:r>
          </w:p>
        </w:tc>
        <w:tc>
          <w:tcPr>
            <w:tcW w:w="1254" w:type="dxa"/>
          </w:tcPr>
          <w:p>
            <w:pPr>
              <w:pStyle w:val="TableParagraph"/>
              <w:spacing w:before="11"/>
              <w:ind w:left="342" w:right="344"/>
              <w:jc w:val="center"/>
              <w:rPr>
                <w:sz w:val="21"/>
              </w:rPr>
            </w:pPr>
            <w:r>
              <w:rPr>
                <w:sz w:val="21"/>
              </w:rPr>
              <w:t>72.6</w:t>
            </w:r>
          </w:p>
        </w:tc>
        <w:tc>
          <w:tcPr>
            <w:tcW w:w="1254" w:type="dxa"/>
          </w:tcPr>
          <w:p>
            <w:pPr>
              <w:pStyle w:val="TableParagraph"/>
              <w:spacing w:before="11"/>
              <w:ind w:left="342" w:right="343"/>
              <w:jc w:val="center"/>
              <w:rPr>
                <w:sz w:val="21"/>
              </w:rPr>
            </w:pPr>
            <w:r>
              <w:rPr>
                <w:sz w:val="21"/>
              </w:rPr>
              <w:t>75.1</w:t>
            </w:r>
          </w:p>
        </w:tc>
        <w:tc>
          <w:tcPr>
            <w:tcW w:w="1255" w:type="dxa"/>
          </w:tcPr>
          <w:p>
            <w:pPr>
              <w:pStyle w:val="TableParagraph"/>
              <w:spacing w:before="11"/>
              <w:ind w:left="0" w:right="418"/>
              <w:jc w:val="right"/>
              <w:rPr>
                <w:sz w:val="21"/>
              </w:rPr>
            </w:pPr>
            <w:r>
              <w:rPr>
                <w:sz w:val="21"/>
              </w:rPr>
              <w:t>67.5</w:t>
            </w:r>
          </w:p>
        </w:tc>
        <w:tc>
          <w:tcPr>
            <w:tcW w:w="1250" w:type="dxa"/>
          </w:tcPr>
          <w:p>
            <w:pPr>
              <w:pStyle w:val="TableParagraph"/>
              <w:spacing w:before="11"/>
              <w:ind w:left="341" w:right="341"/>
              <w:jc w:val="center"/>
              <w:rPr>
                <w:sz w:val="21"/>
              </w:rPr>
            </w:pPr>
            <w:r>
              <w:rPr>
                <w:sz w:val="21"/>
              </w:rPr>
              <w:t>70.0</w:t>
            </w:r>
          </w:p>
        </w:tc>
        <w:tc>
          <w:tcPr>
            <w:tcW w:w="1287" w:type="dxa"/>
          </w:tcPr>
          <w:p>
            <w:pPr>
              <w:pStyle w:val="TableParagraph"/>
              <w:spacing w:before="11"/>
              <w:ind w:left="288" w:right="315"/>
              <w:jc w:val="center"/>
              <w:rPr>
                <w:sz w:val="21"/>
              </w:rPr>
            </w:pPr>
            <w:r>
              <w:rPr>
                <w:sz w:val="21"/>
              </w:rPr>
              <w:t>0.5935</w:t>
            </w:r>
          </w:p>
        </w:tc>
        <w:tc>
          <w:tcPr>
            <w:tcW w:w="1224" w:type="dxa"/>
          </w:tcPr>
          <w:p>
            <w:pPr>
              <w:pStyle w:val="TableParagraph"/>
              <w:spacing w:before="11"/>
              <w:ind w:left="388"/>
              <w:rPr>
                <w:sz w:val="21"/>
              </w:rPr>
            </w:pPr>
            <w:r>
              <w:rPr>
                <w:sz w:val="21"/>
              </w:rPr>
              <w:t>5.63</w:t>
            </w:r>
          </w:p>
        </w:tc>
      </w:tr>
      <w:tr>
        <w:trPr>
          <w:trHeight w:val="282" w:hRule="exact"/>
        </w:trPr>
        <w:tc>
          <w:tcPr>
            <w:tcW w:w="2071" w:type="dxa"/>
          </w:tcPr>
          <w:p>
            <w:pPr>
              <w:pStyle w:val="TableParagraph"/>
              <w:spacing w:before="11"/>
              <w:ind w:left="67"/>
              <w:rPr>
                <w:sz w:val="21"/>
              </w:rPr>
            </w:pPr>
            <w:r>
              <w:rPr>
                <w:sz w:val="21"/>
              </w:rPr>
              <w:t>Phosphorus mmol/L</w:t>
            </w:r>
          </w:p>
        </w:tc>
        <w:tc>
          <w:tcPr>
            <w:tcW w:w="1254" w:type="dxa"/>
          </w:tcPr>
          <w:p>
            <w:pPr>
              <w:pStyle w:val="TableParagraph"/>
              <w:spacing w:before="11"/>
              <w:ind w:right="343"/>
              <w:jc w:val="center"/>
              <w:rPr>
                <w:sz w:val="21"/>
              </w:rPr>
            </w:pPr>
            <w:r>
              <w:rPr>
                <w:sz w:val="21"/>
              </w:rPr>
              <w:t>2.7</w:t>
            </w:r>
          </w:p>
        </w:tc>
        <w:tc>
          <w:tcPr>
            <w:tcW w:w="1254" w:type="dxa"/>
          </w:tcPr>
          <w:p>
            <w:pPr>
              <w:pStyle w:val="TableParagraph"/>
              <w:spacing w:before="11"/>
              <w:ind w:left="342" w:right="343"/>
              <w:jc w:val="center"/>
              <w:rPr>
                <w:sz w:val="21"/>
              </w:rPr>
            </w:pPr>
            <w:r>
              <w:rPr>
                <w:sz w:val="21"/>
              </w:rPr>
              <w:t>2.8</w:t>
            </w:r>
          </w:p>
        </w:tc>
        <w:tc>
          <w:tcPr>
            <w:tcW w:w="1255" w:type="dxa"/>
          </w:tcPr>
          <w:p>
            <w:pPr>
              <w:pStyle w:val="TableParagraph"/>
              <w:spacing w:before="11"/>
              <w:ind w:left="461" w:right="461"/>
              <w:jc w:val="center"/>
              <w:rPr>
                <w:sz w:val="21"/>
              </w:rPr>
            </w:pPr>
            <w:r>
              <w:rPr>
                <w:sz w:val="21"/>
              </w:rPr>
              <w:t>2.8</w:t>
            </w:r>
          </w:p>
        </w:tc>
        <w:tc>
          <w:tcPr>
            <w:tcW w:w="1250" w:type="dxa"/>
          </w:tcPr>
          <w:p>
            <w:pPr>
              <w:pStyle w:val="TableParagraph"/>
              <w:spacing w:before="11"/>
              <w:ind w:right="339"/>
              <w:jc w:val="center"/>
              <w:rPr>
                <w:sz w:val="21"/>
              </w:rPr>
            </w:pPr>
            <w:r>
              <w:rPr>
                <w:sz w:val="21"/>
              </w:rPr>
              <w:t>2.9</w:t>
            </w:r>
          </w:p>
        </w:tc>
        <w:tc>
          <w:tcPr>
            <w:tcW w:w="1287" w:type="dxa"/>
          </w:tcPr>
          <w:p>
            <w:pPr>
              <w:pStyle w:val="TableParagraph"/>
              <w:spacing w:before="11"/>
              <w:ind w:left="288" w:right="315"/>
              <w:jc w:val="center"/>
              <w:rPr>
                <w:sz w:val="21"/>
              </w:rPr>
            </w:pPr>
            <w:r>
              <w:rPr>
                <w:sz w:val="21"/>
              </w:rPr>
              <w:t>0.8948</w:t>
            </w:r>
          </w:p>
        </w:tc>
        <w:tc>
          <w:tcPr>
            <w:tcW w:w="1224" w:type="dxa"/>
          </w:tcPr>
          <w:p>
            <w:pPr>
              <w:pStyle w:val="TableParagraph"/>
              <w:spacing w:before="11"/>
              <w:ind w:left="388"/>
              <w:rPr>
                <w:sz w:val="21"/>
              </w:rPr>
            </w:pPr>
            <w:r>
              <w:rPr>
                <w:sz w:val="21"/>
              </w:rPr>
              <w:t>0.30</w:t>
            </w:r>
          </w:p>
        </w:tc>
      </w:tr>
      <w:tr>
        <w:trPr>
          <w:trHeight w:val="282" w:hRule="exact"/>
        </w:trPr>
        <w:tc>
          <w:tcPr>
            <w:tcW w:w="2071" w:type="dxa"/>
          </w:tcPr>
          <w:p>
            <w:pPr>
              <w:pStyle w:val="TableParagraph"/>
              <w:spacing w:before="10"/>
              <w:ind w:left="67"/>
              <w:rPr>
                <w:sz w:val="21"/>
              </w:rPr>
            </w:pPr>
            <w:r>
              <w:rPr>
                <w:sz w:val="21"/>
              </w:rPr>
              <w:t>Magnesium mmol/L</w:t>
            </w:r>
          </w:p>
        </w:tc>
        <w:tc>
          <w:tcPr>
            <w:tcW w:w="1254" w:type="dxa"/>
          </w:tcPr>
          <w:p>
            <w:pPr>
              <w:pStyle w:val="TableParagraph"/>
              <w:spacing w:before="10"/>
              <w:ind w:right="342"/>
              <w:jc w:val="center"/>
              <w:rPr>
                <w:sz w:val="21"/>
              </w:rPr>
            </w:pPr>
            <w:r>
              <w:rPr>
                <w:sz w:val="21"/>
              </w:rPr>
              <w:t>1.4</w:t>
            </w:r>
          </w:p>
        </w:tc>
        <w:tc>
          <w:tcPr>
            <w:tcW w:w="1254" w:type="dxa"/>
          </w:tcPr>
          <w:p>
            <w:pPr>
              <w:pStyle w:val="TableParagraph"/>
              <w:spacing w:before="10"/>
              <w:ind w:left="342" w:right="343"/>
              <w:jc w:val="center"/>
              <w:rPr>
                <w:sz w:val="21"/>
              </w:rPr>
            </w:pPr>
            <w:r>
              <w:rPr>
                <w:sz w:val="21"/>
              </w:rPr>
              <w:t>1.4</w:t>
            </w:r>
          </w:p>
        </w:tc>
        <w:tc>
          <w:tcPr>
            <w:tcW w:w="1255" w:type="dxa"/>
          </w:tcPr>
          <w:p>
            <w:pPr>
              <w:pStyle w:val="TableParagraph"/>
              <w:spacing w:before="10"/>
              <w:ind w:left="461" w:right="461"/>
              <w:jc w:val="center"/>
              <w:rPr>
                <w:sz w:val="21"/>
              </w:rPr>
            </w:pPr>
            <w:r>
              <w:rPr>
                <w:sz w:val="21"/>
              </w:rPr>
              <w:t>1.3</w:t>
            </w:r>
          </w:p>
        </w:tc>
        <w:tc>
          <w:tcPr>
            <w:tcW w:w="1250" w:type="dxa"/>
          </w:tcPr>
          <w:p>
            <w:pPr>
              <w:pStyle w:val="TableParagraph"/>
              <w:spacing w:before="10"/>
              <w:ind w:right="339"/>
              <w:jc w:val="center"/>
              <w:rPr>
                <w:sz w:val="21"/>
              </w:rPr>
            </w:pPr>
            <w:r>
              <w:rPr>
                <w:sz w:val="21"/>
              </w:rPr>
              <w:t>1.8</w:t>
            </w:r>
          </w:p>
        </w:tc>
        <w:tc>
          <w:tcPr>
            <w:tcW w:w="1287" w:type="dxa"/>
          </w:tcPr>
          <w:p>
            <w:pPr>
              <w:pStyle w:val="TableParagraph"/>
              <w:spacing w:before="10"/>
              <w:ind w:left="288" w:right="315"/>
              <w:jc w:val="center"/>
              <w:rPr>
                <w:sz w:val="21"/>
              </w:rPr>
            </w:pPr>
            <w:r>
              <w:rPr>
                <w:sz w:val="21"/>
              </w:rPr>
              <w:t>0.2600</w:t>
            </w:r>
          </w:p>
        </w:tc>
        <w:tc>
          <w:tcPr>
            <w:tcW w:w="1224" w:type="dxa"/>
          </w:tcPr>
          <w:p>
            <w:pPr>
              <w:pStyle w:val="TableParagraph"/>
              <w:spacing w:before="10"/>
              <w:ind w:left="388"/>
              <w:rPr>
                <w:sz w:val="21"/>
              </w:rPr>
            </w:pPr>
            <w:r>
              <w:rPr>
                <w:sz w:val="21"/>
              </w:rPr>
              <w:t>0.22</w:t>
            </w:r>
          </w:p>
        </w:tc>
      </w:tr>
      <w:tr>
        <w:trPr>
          <w:trHeight w:val="297" w:hRule="exact"/>
        </w:trPr>
        <w:tc>
          <w:tcPr>
            <w:tcW w:w="2071" w:type="dxa"/>
            <w:tcBorders>
              <w:bottom w:val="single" w:sz="4" w:space="0" w:color="000000"/>
            </w:tcBorders>
          </w:tcPr>
          <w:p>
            <w:pPr>
              <w:pStyle w:val="TableParagraph"/>
              <w:spacing w:before="11"/>
              <w:ind w:left="67"/>
              <w:rPr>
                <w:sz w:val="21"/>
              </w:rPr>
            </w:pPr>
            <w:r>
              <w:rPr>
                <w:sz w:val="21"/>
              </w:rPr>
              <w:t>Calcium mmol/L</w:t>
            </w:r>
          </w:p>
        </w:tc>
        <w:tc>
          <w:tcPr>
            <w:tcW w:w="1254" w:type="dxa"/>
            <w:tcBorders>
              <w:bottom w:val="single" w:sz="4" w:space="0" w:color="000000"/>
            </w:tcBorders>
          </w:tcPr>
          <w:p>
            <w:pPr>
              <w:pStyle w:val="TableParagraph"/>
              <w:spacing w:before="11"/>
              <w:ind w:right="342"/>
              <w:jc w:val="center"/>
              <w:rPr>
                <w:sz w:val="21"/>
              </w:rPr>
            </w:pPr>
            <w:r>
              <w:rPr>
                <w:sz w:val="21"/>
              </w:rPr>
              <w:t>2.5</w:t>
            </w:r>
          </w:p>
        </w:tc>
        <w:tc>
          <w:tcPr>
            <w:tcW w:w="1254" w:type="dxa"/>
            <w:tcBorders>
              <w:bottom w:val="single" w:sz="4" w:space="0" w:color="000000"/>
            </w:tcBorders>
          </w:tcPr>
          <w:p>
            <w:pPr>
              <w:pStyle w:val="TableParagraph"/>
              <w:spacing w:before="11"/>
              <w:ind w:left="342" w:right="343"/>
              <w:jc w:val="center"/>
              <w:rPr>
                <w:sz w:val="21"/>
              </w:rPr>
            </w:pPr>
            <w:r>
              <w:rPr>
                <w:sz w:val="21"/>
              </w:rPr>
              <w:t>2.3</w:t>
            </w:r>
          </w:p>
        </w:tc>
        <w:tc>
          <w:tcPr>
            <w:tcW w:w="1255" w:type="dxa"/>
            <w:tcBorders>
              <w:bottom w:val="single" w:sz="4" w:space="0" w:color="000000"/>
            </w:tcBorders>
          </w:tcPr>
          <w:p>
            <w:pPr>
              <w:pStyle w:val="TableParagraph"/>
              <w:spacing w:before="11"/>
              <w:ind w:left="461" w:right="461"/>
              <w:jc w:val="center"/>
              <w:rPr>
                <w:sz w:val="21"/>
              </w:rPr>
            </w:pPr>
            <w:r>
              <w:rPr>
                <w:sz w:val="21"/>
              </w:rPr>
              <w:t>2.5</w:t>
            </w:r>
          </w:p>
        </w:tc>
        <w:tc>
          <w:tcPr>
            <w:tcW w:w="1250" w:type="dxa"/>
            <w:tcBorders>
              <w:bottom w:val="single" w:sz="4" w:space="0" w:color="000000"/>
            </w:tcBorders>
          </w:tcPr>
          <w:p>
            <w:pPr>
              <w:pStyle w:val="TableParagraph"/>
              <w:spacing w:before="11"/>
              <w:ind w:right="339"/>
              <w:jc w:val="center"/>
              <w:rPr>
                <w:sz w:val="21"/>
              </w:rPr>
            </w:pPr>
            <w:r>
              <w:rPr>
                <w:sz w:val="21"/>
              </w:rPr>
              <w:t>2.4</w:t>
            </w:r>
          </w:p>
        </w:tc>
        <w:tc>
          <w:tcPr>
            <w:tcW w:w="1287" w:type="dxa"/>
            <w:tcBorders>
              <w:bottom w:val="single" w:sz="4" w:space="0" w:color="000000"/>
            </w:tcBorders>
          </w:tcPr>
          <w:p>
            <w:pPr>
              <w:pStyle w:val="TableParagraph"/>
              <w:spacing w:before="11"/>
              <w:ind w:left="288" w:right="315"/>
              <w:jc w:val="center"/>
              <w:rPr>
                <w:sz w:val="21"/>
              </w:rPr>
            </w:pPr>
            <w:r>
              <w:rPr>
                <w:sz w:val="21"/>
              </w:rPr>
              <w:t>0.8703</w:t>
            </w:r>
          </w:p>
        </w:tc>
        <w:tc>
          <w:tcPr>
            <w:tcW w:w="1224" w:type="dxa"/>
            <w:tcBorders>
              <w:bottom w:val="single" w:sz="4" w:space="0" w:color="000000"/>
            </w:tcBorders>
          </w:tcPr>
          <w:p>
            <w:pPr>
              <w:pStyle w:val="TableParagraph"/>
              <w:spacing w:before="11"/>
              <w:ind w:left="388"/>
              <w:rPr>
                <w:sz w:val="21"/>
              </w:rPr>
            </w:pPr>
            <w:r>
              <w:rPr>
                <w:sz w:val="21"/>
              </w:rPr>
              <w:t>0.32</w:t>
            </w:r>
          </w:p>
        </w:tc>
      </w:tr>
    </w:tbl>
    <w:p>
      <w:pPr>
        <w:pStyle w:val="BodyText"/>
        <w:rPr>
          <w:sz w:val="22"/>
        </w:rPr>
      </w:pPr>
    </w:p>
    <w:p>
      <w:pPr>
        <w:pStyle w:val="BodyText"/>
        <w:spacing w:before="9"/>
        <w:rPr>
          <w:sz w:val="20"/>
        </w:rPr>
      </w:pPr>
    </w:p>
    <w:p>
      <w:pPr>
        <w:pStyle w:val="BodyText"/>
        <w:spacing w:line="273" w:lineRule="auto"/>
        <w:ind w:left="615" w:right="597"/>
        <w:jc w:val="both"/>
      </w:pPr>
      <w:r>
        <w:rPr/>
        <w:t>RBC - red blood cell; PCV - packed cell volume;HMG - hemoglobin; MCV -mean corpuscular volume; MCHC - mean corpuscular hemoglobin concentration; WBC white blood cell;SGN – neutrophils segmented; LYM – lymphocytes; BAS – basophils; EOS – eosinophils; PSP - plasma protein concentration; ALT - alanine aminotransferase;  AST  -  aspartate  aminotransferase;  </w:t>
      </w:r>
      <w:r>
        <w:rPr>
          <w:position w:val="11"/>
          <w:sz w:val="15"/>
        </w:rPr>
        <w:t>a,b,c   </w:t>
      </w:r>
      <w:r>
        <w:rPr/>
        <w:t>different   superscripts</w:t>
      </w:r>
    </w:p>
    <w:p>
      <w:pPr>
        <w:pStyle w:val="BodyText"/>
        <w:spacing w:line="280" w:lineRule="auto" w:before="1"/>
        <w:ind w:left="616" w:right="600"/>
        <w:jc w:val="both"/>
      </w:pPr>
      <w:r>
        <w:rPr/>
        <w:t>following means within the same column indicate differences at P ˂ 0.05; SEM – standard error of the mean.</w:t>
      </w:r>
    </w:p>
    <w:p>
      <w:pPr>
        <w:spacing w:after="0" w:line="280" w:lineRule="auto"/>
        <w:jc w:val="both"/>
        <w:sectPr>
          <w:pgSz w:w="11900" w:h="16840"/>
          <w:pgMar w:header="0" w:footer="1679" w:top="1600" w:bottom="1860" w:left="1040" w:right="1040"/>
        </w:sectPr>
      </w:pPr>
    </w:p>
    <w:p>
      <w:pPr>
        <w:pStyle w:val="BodyText"/>
        <w:rPr>
          <w:sz w:val="20"/>
        </w:rPr>
      </w:pPr>
    </w:p>
    <w:p>
      <w:pPr>
        <w:pStyle w:val="BodyText"/>
        <w:spacing w:before="5"/>
        <w:rPr>
          <w:sz w:val="16"/>
        </w:rPr>
      </w:pPr>
    </w:p>
    <w:p>
      <w:pPr>
        <w:pStyle w:val="Heading1"/>
        <w:numPr>
          <w:ilvl w:val="1"/>
          <w:numId w:val="14"/>
        </w:numPr>
        <w:tabs>
          <w:tab w:pos="570" w:val="left" w:leader="none"/>
        </w:tabs>
        <w:spacing w:line="240" w:lineRule="auto" w:before="74" w:after="0"/>
        <w:ind w:left="569" w:right="0" w:hanging="453"/>
        <w:jc w:val="both"/>
      </w:pPr>
      <w:bookmarkStart w:name="_TOC_250003" w:id="37"/>
      <w:r>
        <w:rPr/>
        <w:t>Resultados</w:t>
      </w:r>
      <w:r>
        <w:rPr>
          <w:spacing w:val="30"/>
        </w:rPr>
        <w:t> </w:t>
      </w:r>
      <w:bookmarkEnd w:id="37"/>
      <w:r>
        <w:rPr/>
        <w:t>adicionales</w:t>
      </w:r>
    </w:p>
    <w:p>
      <w:pPr>
        <w:pStyle w:val="BodyText"/>
        <w:rPr>
          <w:b/>
          <w:sz w:val="22"/>
        </w:rPr>
      </w:pPr>
    </w:p>
    <w:p>
      <w:pPr>
        <w:pStyle w:val="BodyText"/>
        <w:spacing w:before="11"/>
        <w:rPr>
          <w:b/>
          <w:sz w:val="25"/>
        </w:rPr>
      </w:pPr>
    </w:p>
    <w:p>
      <w:pPr>
        <w:pStyle w:val="ListParagraph"/>
        <w:numPr>
          <w:ilvl w:val="2"/>
          <w:numId w:val="14"/>
        </w:numPr>
        <w:tabs>
          <w:tab w:pos="1453" w:val="left" w:leader="none"/>
        </w:tabs>
        <w:spacing w:line="240" w:lineRule="auto" w:before="0" w:after="0"/>
        <w:ind w:left="1452" w:right="0" w:hanging="648"/>
        <w:jc w:val="left"/>
        <w:rPr>
          <w:sz w:val="23"/>
        </w:rPr>
      </w:pPr>
      <w:r>
        <w:rPr>
          <w:sz w:val="23"/>
        </w:rPr>
        <w:t>Estancia de</w:t>
      </w:r>
      <w:r>
        <w:rPr>
          <w:spacing w:val="26"/>
          <w:sz w:val="23"/>
        </w:rPr>
        <w:t> </w:t>
      </w:r>
      <w:r>
        <w:rPr>
          <w:sz w:val="23"/>
        </w:rPr>
        <w:t>Investigación</w:t>
      </w:r>
    </w:p>
    <w:p>
      <w:pPr>
        <w:pStyle w:val="BodyText"/>
        <w:rPr>
          <w:sz w:val="22"/>
        </w:rPr>
      </w:pPr>
    </w:p>
    <w:p>
      <w:pPr>
        <w:pStyle w:val="Heading1"/>
        <w:spacing w:line="364" w:lineRule="auto" w:before="190"/>
        <w:ind w:left="4097" w:right="118"/>
      </w:pPr>
      <w:r>
        <w:rPr/>
        <w:drawing>
          <wp:anchor distT="0" distB="0" distL="0" distR="0" allowOverlap="1" layoutInCell="1" locked="0" behindDoc="0" simplePos="0" relativeHeight="4072">
            <wp:simplePos x="0" y="0"/>
            <wp:positionH relativeFrom="page">
              <wp:posOffset>1075944</wp:posOffset>
            </wp:positionH>
            <wp:positionV relativeFrom="paragraph">
              <wp:posOffset>32082</wp:posOffset>
            </wp:positionV>
            <wp:extent cx="2392680" cy="1057655"/>
            <wp:effectExtent l="0" t="0" r="0" b="0"/>
            <wp:wrapNone/>
            <wp:docPr id="141" name="image192.png" descr=""/>
            <wp:cNvGraphicFramePr>
              <a:graphicFrameLocks noChangeAspect="1"/>
            </wp:cNvGraphicFramePr>
            <a:graphic>
              <a:graphicData uri="http://schemas.openxmlformats.org/drawingml/2006/picture">
                <pic:pic>
                  <pic:nvPicPr>
                    <pic:cNvPr id="142" name="image192.png"/>
                    <pic:cNvPicPr/>
                  </pic:nvPicPr>
                  <pic:blipFill>
                    <a:blip r:embed="rId218" cstate="print"/>
                    <a:stretch>
                      <a:fillRect/>
                    </a:stretch>
                  </pic:blipFill>
                  <pic:spPr>
                    <a:xfrm>
                      <a:off x="0" y="0"/>
                      <a:ext cx="2392680" cy="1057655"/>
                    </a:xfrm>
                    <a:prstGeom prst="rect">
                      <a:avLst/>
                    </a:prstGeom>
                  </pic:spPr>
                </pic:pic>
              </a:graphicData>
            </a:graphic>
          </wp:anchor>
        </w:drawing>
      </w:r>
      <w:r>
        <w:rPr/>
        <w:t>NORTH FLORIDA RESEARCH &amp; EDUCATION CENTER - MARIANNA  DE  LA UNIVERSIDAD DE</w:t>
      </w:r>
      <w:r>
        <w:rPr>
          <w:spacing w:val="38"/>
        </w:rPr>
        <w:t> </w:t>
      </w:r>
      <w:r>
        <w:rPr/>
        <w:t>FLORIDA.</w:t>
      </w:r>
    </w:p>
    <w:p>
      <w:pPr>
        <w:pStyle w:val="BodyText"/>
        <w:rPr>
          <w:b/>
          <w:sz w:val="22"/>
        </w:rPr>
      </w:pPr>
    </w:p>
    <w:p>
      <w:pPr>
        <w:pStyle w:val="BodyText"/>
        <w:rPr>
          <w:b/>
          <w:sz w:val="22"/>
        </w:rPr>
      </w:pPr>
    </w:p>
    <w:p>
      <w:pPr>
        <w:pStyle w:val="BodyText"/>
        <w:spacing w:before="6"/>
        <w:rPr>
          <w:b/>
          <w:sz w:val="25"/>
        </w:rPr>
      </w:pPr>
    </w:p>
    <w:p>
      <w:pPr>
        <w:spacing w:before="0"/>
        <w:ind w:left="115" w:right="0" w:firstLine="0"/>
        <w:jc w:val="both"/>
        <w:rPr>
          <w:b/>
          <w:sz w:val="23"/>
        </w:rPr>
      </w:pPr>
      <w:r>
        <w:rPr>
          <w:b/>
          <w:sz w:val="23"/>
        </w:rPr>
        <w:t>INTRODUCCIÓN</w:t>
      </w:r>
    </w:p>
    <w:p>
      <w:pPr>
        <w:pStyle w:val="BodyText"/>
        <w:rPr>
          <w:b/>
          <w:sz w:val="22"/>
        </w:rPr>
      </w:pPr>
    </w:p>
    <w:p>
      <w:pPr>
        <w:pStyle w:val="BodyText"/>
        <w:spacing w:before="1"/>
        <w:rPr>
          <w:b/>
          <w:sz w:val="25"/>
        </w:rPr>
      </w:pPr>
    </w:p>
    <w:p>
      <w:pPr>
        <w:pStyle w:val="BodyText"/>
        <w:spacing w:line="364" w:lineRule="auto"/>
        <w:ind w:left="115" w:right="120"/>
        <w:jc w:val="both"/>
      </w:pPr>
      <w:r>
        <w:rPr/>
        <w:t>El Consejo Nacional de Ciencia y Tecnología con el objetivo de impulsar el desarrollo intelectual, permite a sus becarios realizar estancias en instituciones tanto nacionales como extranjeras lo extranjeras, lo cual permite a los estudiantes que solicita este tipo de recursos, interactuar con investigadores de otras instituciones, aprender metodologías nuevas y establecer vínculos interinstitucionales que puedan servir como plataformas para establecer proyectos de colaboración que beneficien a ambas</w:t>
      </w:r>
      <w:r>
        <w:rPr>
          <w:spacing w:val="55"/>
        </w:rPr>
        <w:t> </w:t>
      </w:r>
      <w:r>
        <w:rPr/>
        <w:t>instituciones.</w:t>
      </w:r>
    </w:p>
    <w:p>
      <w:pPr>
        <w:pStyle w:val="BodyText"/>
        <w:rPr>
          <w:sz w:val="22"/>
        </w:rPr>
      </w:pPr>
    </w:p>
    <w:p>
      <w:pPr>
        <w:pStyle w:val="BodyText"/>
        <w:spacing w:line="364" w:lineRule="auto" w:before="155"/>
        <w:ind w:left="115" w:right="117"/>
        <w:jc w:val="both"/>
      </w:pPr>
      <w:r>
        <w:rPr/>
        <w:t>El North Florida Research &amp; Education Center (NFREC) es una institución muy grande y muy diversa en la cual se realizan actividades tendientes a la educación   e investigación. Esta institución cuenta con 16profesoresactivos que representan a8departamentos académicosy de la Escuelade Recursos  Forestales yConservación y</w:t>
      </w:r>
      <w:r>
        <w:rPr>
          <w:spacing w:val="43"/>
        </w:rPr>
        <w:t> </w:t>
      </w:r>
      <w:r>
        <w:rPr/>
        <w:t>3profesoreseméritos.</w:t>
      </w:r>
    </w:p>
    <w:p>
      <w:pPr>
        <w:pStyle w:val="BodyText"/>
        <w:rPr>
          <w:sz w:val="22"/>
        </w:rPr>
      </w:pPr>
    </w:p>
    <w:p>
      <w:pPr>
        <w:pStyle w:val="BodyText"/>
        <w:spacing w:line="364" w:lineRule="auto" w:before="155"/>
        <w:ind w:left="115" w:right="117"/>
        <w:jc w:val="both"/>
      </w:pPr>
      <w:r>
        <w:rPr/>
        <w:t>Los programas de investigacióny extensiónenNFRECestán diseñadospara ayudar alos agricultores a manejar los recursos de forma eficaz,  rentable  y  con  conciencia</w:t>
      </w:r>
      <w:r>
        <w:rPr>
          <w:spacing w:val="22"/>
        </w:rPr>
        <w:t> </w:t>
      </w:r>
      <w:r>
        <w:rPr/>
        <w:t>ambiental.</w:t>
      </w:r>
    </w:p>
    <w:p>
      <w:pPr>
        <w:pStyle w:val="BodyText"/>
        <w:rPr>
          <w:sz w:val="22"/>
        </w:rPr>
      </w:pPr>
    </w:p>
    <w:p>
      <w:pPr>
        <w:pStyle w:val="BodyText"/>
        <w:spacing w:line="364" w:lineRule="auto" w:before="155"/>
        <w:ind w:left="115" w:right="118"/>
        <w:jc w:val="both"/>
      </w:pPr>
      <w:r>
        <w:rPr/>
        <w:t>El NFREC-Marianna se centra enla investigaciónagronómicayel ganadovacuno.Alberga elprograma deeficacia de  la alimentación,  que es el     más</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22"/>
        <w:jc w:val="both"/>
      </w:pPr>
      <w:r>
        <w:rPr/>
        <w:t>grandede su tipo en investigarganadosubtropical.Elprograma de investigación en ganado vacuno se centra en la producciónde carne, genética y  reproducción.</w:t>
      </w:r>
    </w:p>
    <w:p>
      <w:pPr>
        <w:pStyle w:val="BodyText"/>
        <w:rPr>
          <w:sz w:val="22"/>
        </w:rPr>
      </w:pPr>
    </w:p>
    <w:p>
      <w:pPr>
        <w:pStyle w:val="Heading1"/>
        <w:spacing w:before="153"/>
      </w:pPr>
      <w:r>
        <w:rPr/>
        <w:t>OBJETIVOS</w:t>
      </w:r>
    </w:p>
    <w:p>
      <w:pPr>
        <w:pStyle w:val="BodyText"/>
        <w:rPr>
          <w:b/>
          <w:sz w:val="22"/>
        </w:rPr>
      </w:pPr>
    </w:p>
    <w:p>
      <w:pPr>
        <w:pStyle w:val="BodyText"/>
        <w:spacing w:before="3"/>
        <w:rPr>
          <w:b/>
          <w:sz w:val="25"/>
        </w:rPr>
      </w:pPr>
    </w:p>
    <w:p>
      <w:pPr>
        <w:pStyle w:val="BodyText"/>
        <w:spacing w:before="1"/>
        <w:ind w:left="115"/>
        <w:jc w:val="both"/>
      </w:pPr>
      <w:r>
        <w:rPr/>
        <w:t>1.- Reforzar las acciones tendientes a la culminación del  trabajo de  tesis.</w:t>
      </w:r>
    </w:p>
    <w:p>
      <w:pPr>
        <w:pStyle w:val="BodyText"/>
        <w:spacing w:line="367" w:lineRule="auto" w:before="136"/>
        <w:ind w:left="115" w:right="118"/>
        <w:jc w:val="both"/>
      </w:pPr>
      <w:r>
        <w:rPr/>
        <w:t>2.- Realizar un experimento que permita complementar los resultados obtenidos el trabajo experimental.</w:t>
      </w:r>
    </w:p>
    <w:p>
      <w:pPr>
        <w:pStyle w:val="BodyText"/>
        <w:spacing w:line="367" w:lineRule="auto"/>
        <w:ind w:left="116" w:right="116"/>
        <w:jc w:val="both"/>
      </w:pPr>
      <w:r>
        <w:rPr/>
        <w:t>3.- Determinar el efecto de extracto de </w:t>
      </w:r>
      <w:r>
        <w:rPr>
          <w:i/>
        </w:rPr>
        <w:t>Salix babylonica</w:t>
      </w:r>
      <w:r>
        <w:rPr/>
        <w:t>, sobre el metabolismo y fermentación ruminal, excreción de nutrientes y emisión de metano en  bovinos</w:t>
      </w:r>
    </w:p>
    <w:p>
      <w:pPr>
        <w:pStyle w:val="BodyText"/>
        <w:rPr>
          <w:sz w:val="22"/>
        </w:rPr>
      </w:pPr>
    </w:p>
    <w:p>
      <w:pPr>
        <w:pStyle w:val="Heading1"/>
        <w:spacing w:before="150"/>
        <w:ind w:left="116"/>
      </w:pPr>
      <w:r>
        <w:rPr/>
        <w:t>METODOLOGÍA</w:t>
      </w:r>
    </w:p>
    <w:p>
      <w:pPr>
        <w:pStyle w:val="BodyText"/>
        <w:rPr>
          <w:b/>
          <w:sz w:val="22"/>
        </w:rPr>
      </w:pPr>
    </w:p>
    <w:p>
      <w:pPr>
        <w:pStyle w:val="BodyText"/>
        <w:spacing w:before="3"/>
        <w:rPr>
          <w:b/>
          <w:sz w:val="25"/>
        </w:rPr>
      </w:pPr>
    </w:p>
    <w:p>
      <w:pPr>
        <w:pStyle w:val="BodyText"/>
        <w:spacing w:line="364" w:lineRule="auto" w:before="1"/>
        <w:ind w:left="116" w:right="119"/>
        <w:jc w:val="both"/>
      </w:pPr>
      <w:r>
        <w:rPr/>
        <w:t>Con la finalidad de realizar un trabajo experimental en North Florida Research and Education Center (NFREC) de la Universidad de Florida el cual pudiera ser considerado como parte del trabajo de Tesis Doctoral, se consideró la posibilidad  de trabajar el extracto de </w:t>
      </w:r>
      <w:r>
        <w:rPr>
          <w:i/>
        </w:rPr>
        <w:t>Salix babylonica, </w:t>
      </w:r>
      <w:r>
        <w:rPr/>
        <w:t>por lo que fue necesario  buscar,  colectar y procesar las hojas de dicho</w:t>
      </w:r>
      <w:r>
        <w:rPr>
          <w:spacing w:val="50"/>
        </w:rPr>
        <w:t> </w:t>
      </w:r>
      <w:r>
        <w:rPr/>
        <w:t>árbol.</w:t>
      </w:r>
    </w:p>
    <w:p>
      <w:pPr>
        <w:pStyle w:val="BodyText"/>
        <w:rPr>
          <w:sz w:val="22"/>
        </w:rPr>
      </w:pPr>
    </w:p>
    <w:p>
      <w:pPr>
        <w:pStyle w:val="BodyText"/>
        <w:spacing w:line="364" w:lineRule="auto" w:before="153"/>
        <w:ind w:left="116" w:right="118"/>
        <w:jc w:val="both"/>
      </w:pPr>
      <w:r>
        <w:rPr/>
        <w:t>Una vez que se dispuso del extracto, se procedió a aprender y aplicar diferentes técnicas estandarizadas en el laboratorio de Animal  Science  del  NFREC- Marianna, las cuales se basaron en la obtención de muestras de líquido ruminal al cual se le aplicaron siete tratamientos 0, 100, 200, 300µl de extracto de </w:t>
      </w:r>
      <w:r>
        <w:rPr>
          <w:i/>
        </w:rPr>
        <w:t>Salix </w:t>
      </w:r>
      <w:r>
        <w:rPr>
          <w:i/>
        </w:rPr>
        <w:t>babylonica </w:t>
      </w:r>
      <w:r>
        <w:rPr/>
        <w:t>además de 100, 200 y 300µl de la solución con la que fue preparado el extracto y finalmente 200µl de monensina</w:t>
      </w:r>
      <w:r>
        <w:rPr>
          <w:spacing w:val="56"/>
        </w:rPr>
        <w:t> </w:t>
      </w:r>
      <w:r>
        <w:rPr/>
        <w:t>4ppm.</w:t>
      </w:r>
    </w:p>
    <w:p>
      <w:pPr>
        <w:pStyle w:val="BodyText"/>
        <w:rPr>
          <w:sz w:val="22"/>
        </w:rPr>
      </w:pPr>
    </w:p>
    <w:p>
      <w:pPr>
        <w:pStyle w:val="BodyText"/>
        <w:spacing w:line="367" w:lineRule="auto" w:before="155"/>
        <w:ind w:left="116" w:right="120"/>
        <w:jc w:val="both"/>
      </w:pPr>
      <w:r>
        <w:rPr/>
        <w:t>Ya establecidos los tratamientos y colectado el líquido ruminal y preparado todo el material se aplicaron las siguientes técnicas:</w:t>
      </w:r>
    </w:p>
    <w:p>
      <w:pPr>
        <w:spacing w:after="0" w:line="367" w:lineRule="auto"/>
        <w:jc w:val="both"/>
        <w:sectPr>
          <w:pgSz w:w="11900" w:h="16840"/>
          <w:pgMar w:header="0" w:footer="1679" w:top="1600" w:bottom="1860" w:left="1540" w:right="1520"/>
        </w:sectPr>
      </w:pPr>
    </w:p>
    <w:p>
      <w:pPr>
        <w:pStyle w:val="BodyText"/>
        <w:rPr>
          <w:sz w:val="20"/>
        </w:rPr>
      </w:pPr>
    </w:p>
    <w:p>
      <w:pPr>
        <w:pStyle w:val="BodyText"/>
        <w:spacing w:before="5"/>
        <w:rPr>
          <w:sz w:val="16"/>
        </w:rPr>
      </w:pPr>
    </w:p>
    <w:p>
      <w:pPr>
        <w:pStyle w:val="Heading1"/>
        <w:spacing w:before="74"/>
        <w:jc w:val="left"/>
      </w:pPr>
      <w:r>
        <w:rPr/>
        <w:t>TÉCNICAS APRENDIDAS:</w:t>
      </w:r>
    </w:p>
    <w:p>
      <w:pPr>
        <w:pStyle w:val="BodyText"/>
        <w:rPr>
          <w:b/>
          <w:sz w:val="22"/>
        </w:rPr>
      </w:pPr>
    </w:p>
    <w:p>
      <w:pPr>
        <w:pStyle w:val="BodyText"/>
        <w:spacing w:before="1"/>
        <w:rPr>
          <w:b/>
          <w:sz w:val="25"/>
        </w:rPr>
      </w:pPr>
    </w:p>
    <w:p>
      <w:pPr>
        <w:spacing w:before="0"/>
        <w:ind w:left="115" w:right="0" w:firstLine="0"/>
        <w:jc w:val="left"/>
        <w:rPr>
          <w:b/>
          <w:sz w:val="23"/>
        </w:rPr>
      </w:pPr>
      <w:r>
        <w:rPr>
          <w:b/>
          <w:sz w:val="23"/>
        </w:rPr>
        <w:t>Batch cultura</w:t>
      </w:r>
    </w:p>
    <w:p>
      <w:pPr>
        <w:pStyle w:val="BodyText"/>
        <w:spacing w:before="141"/>
        <w:ind w:left="115"/>
      </w:pPr>
      <w:r>
        <w:rPr/>
        <w:t>Preparación de la solución buffer de acuerdo a la técnica  McDougall’s.</w:t>
      </w:r>
    </w:p>
    <w:p>
      <w:pPr>
        <w:pStyle w:val="BodyText"/>
        <w:spacing w:line="367" w:lineRule="auto" w:before="136"/>
        <w:ind w:left="115"/>
      </w:pPr>
      <w:r>
        <w:rPr/>
        <w:t>Pesar 1.4 g del sustrato a utilizar y ponerlo en cada una de las botellas de Ankon Hacer dilución 3:1 con solución Buffer y líquido</w:t>
      </w:r>
      <w:r>
        <w:rPr>
          <w:spacing w:val="57"/>
        </w:rPr>
        <w:t> </w:t>
      </w:r>
      <w:r>
        <w:rPr/>
        <w:t>ruminal.</w:t>
      </w:r>
    </w:p>
    <w:p>
      <w:pPr>
        <w:pStyle w:val="BodyText"/>
        <w:spacing w:line="367" w:lineRule="auto"/>
        <w:ind w:left="115" w:right="241"/>
      </w:pPr>
      <w:r>
        <w:rPr/>
        <w:t>Colocar 100 ml de la mezcla de líquido ruminal y solución buffer en cada una de    las botellas</w:t>
      </w:r>
      <w:r>
        <w:rPr>
          <w:spacing w:val="18"/>
        </w:rPr>
        <w:t> </w:t>
      </w:r>
      <w:r>
        <w:rPr/>
        <w:t>Ankon.</w:t>
      </w:r>
    </w:p>
    <w:p>
      <w:pPr>
        <w:pStyle w:val="BodyText"/>
        <w:ind w:left="115"/>
      </w:pPr>
      <w:r>
        <w:rPr/>
        <w:t>Poner el tratamiento correspondiente.</w:t>
      </w:r>
    </w:p>
    <w:p>
      <w:pPr>
        <w:pStyle w:val="BodyText"/>
        <w:spacing w:line="364" w:lineRule="auto" w:before="138"/>
        <w:ind w:left="115" w:right="2217"/>
      </w:pPr>
      <w:r>
        <w:rPr/>
        <w:t>Colocar la tapa y la bolsa de aluminio para colectar el gas Poner en sistema Ankon.</w:t>
      </w:r>
    </w:p>
    <w:p>
      <w:pPr>
        <w:pStyle w:val="BodyText"/>
        <w:spacing w:before="5"/>
        <w:ind w:left="115"/>
      </w:pPr>
      <w:r>
        <w:rPr/>
        <w:t>Iniciar lectura</w:t>
      </w:r>
    </w:p>
    <w:p>
      <w:pPr>
        <w:pStyle w:val="BodyText"/>
        <w:spacing w:line="364" w:lineRule="auto" w:before="138"/>
        <w:ind w:left="115" w:right="4036"/>
      </w:pPr>
      <w:r>
        <w:rPr/>
        <w:t>Pasadas 24hr, parar la medición en el equipo Sacar botellas, restirar la tapa y la bolsa Medir y registrar</w:t>
      </w:r>
      <w:r>
        <w:rPr>
          <w:spacing w:val="19"/>
        </w:rPr>
        <w:t> </w:t>
      </w:r>
      <w:r>
        <w:rPr/>
        <w:t>pH</w:t>
      </w:r>
    </w:p>
    <w:p>
      <w:pPr>
        <w:pStyle w:val="BodyText"/>
        <w:spacing w:before="7"/>
        <w:ind w:left="115"/>
      </w:pPr>
      <w:r>
        <w:rPr/>
        <w:t>Agregar 1ml de ácido sulfúrico para parar la  fermentación.</w:t>
      </w:r>
    </w:p>
    <w:p>
      <w:pPr>
        <w:pStyle w:val="BodyText"/>
        <w:rPr>
          <w:sz w:val="22"/>
        </w:rPr>
      </w:pPr>
    </w:p>
    <w:p>
      <w:pPr>
        <w:pStyle w:val="BodyText"/>
        <w:spacing w:before="10"/>
        <w:rPr>
          <w:sz w:val="24"/>
        </w:rPr>
      </w:pPr>
    </w:p>
    <w:p>
      <w:pPr>
        <w:pStyle w:val="Heading1"/>
        <w:jc w:val="left"/>
      </w:pPr>
      <w:r>
        <w:rPr/>
        <w:t>Medición de Metano</w:t>
      </w:r>
    </w:p>
    <w:p>
      <w:pPr>
        <w:pStyle w:val="BodyText"/>
        <w:spacing w:line="364" w:lineRule="auto" w:before="138"/>
        <w:ind w:left="115" w:right="99"/>
        <w:jc w:val="both"/>
      </w:pPr>
      <w:r>
        <w:rPr/>
        <w:t>Leer en cromatógrafo el contenido de gas de cada una de las bolsas presionando por diez segundos cada bolsa con las válvulas abiertas, pasados diez segundos cerrar las válvulas y quitar la bolsa, del equipo tomar los datos de signal  y área,  que serán utilizados</w:t>
      </w:r>
      <w:r>
        <w:rPr>
          <w:spacing w:val="38"/>
        </w:rPr>
        <w:t> </w:t>
      </w:r>
      <w:r>
        <w:rPr/>
        <w:t>posteriormente.</w:t>
      </w:r>
    </w:p>
    <w:p>
      <w:pPr>
        <w:pStyle w:val="BodyText"/>
        <w:rPr>
          <w:sz w:val="22"/>
        </w:rPr>
      </w:pPr>
    </w:p>
    <w:p>
      <w:pPr>
        <w:pStyle w:val="Heading1"/>
        <w:spacing w:before="153"/>
        <w:jc w:val="left"/>
      </w:pPr>
      <w:r>
        <w:rPr/>
        <w:t>Medición de H2S</w:t>
      </w:r>
    </w:p>
    <w:p>
      <w:pPr>
        <w:pStyle w:val="BodyText"/>
        <w:spacing w:line="367" w:lineRule="auto" w:before="138"/>
        <w:ind w:left="115" w:right="99"/>
      </w:pPr>
      <w:r>
        <w:rPr/>
        <w:t>Preparar agua alcalina mediante la adición de NaOH 0,1 N al agua DI hasta pH 8.5-9.0.</w:t>
      </w:r>
    </w:p>
    <w:p>
      <w:pPr>
        <w:pStyle w:val="BodyText"/>
        <w:spacing w:line="367" w:lineRule="auto"/>
        <w:ind w:left="115" w:right="241"/>
      </w:pPr>
      <w:r>
        <w:rPr/>
        <w:t>Añadir 5 ml de agua alcalina en 18 vacutainer con tapa roja, utilizando haciendo  uso de una</w:t>
      </w:r>
      <w:r>
        <w:rPr>
          <w:spacing w:val="23"/>
        </w:rPr>
        <w:t> </w:t>
      </w:r>
      <w:r>
        <w:rPr/>
        <w:t>jeringas.</w:t>
      </w:r>
    </w:p>
    <w:p>
      <w:pPr>
        <w:pStyle w:val="BodyText"/>
        <w:tabs>
          <w:tab w:pos="1320" w:val="left" w:leader="none"/>
          <w:tab w:pos="3224" w:val="left" w:leader="none"/>
        </w:tabs>
        <w:spacing w:line="364" w:lineRule="auto"/>
        <w:ind w:left="115" w:right="99"/>
      </w:pPr>
      <w:r>
        <w:rPr/>
        <w:t>Preparar</w:t>
        <w:tab/>
        <w:t>los </w:t>
      </w:r>
      <w:r>
        <w:rPr>
          <w:spacing w:val="28"/>
        </w:rPr>
        <w:t> </w:t>
      </w:r>
      <w:r>
        <w:rPr/>
        <w:t>estándares</w:t>
        <w:tab/>
        <w:t>diluyendo  0.5ml  de  RAD  171en  24.4ml   </w:t>
      </w:r>
      <w:r>
        <w:rPr>
          <w:spacing w:val="39"/>
        </w:rPr>
        <w:t> </w:t>
      </w:r>
      <w:r>
        <w:rPr/>
        <w:t>de </w:t>
      </w:r>
      <w:r>
        <w:rPr>
          <w:spacing w:val="27"/>
        </w:rPr>
        <w:t> </w:t>
      </w:r>
      <w:r>
        <w:rPr/>
        <w:t>agua</w:t>
      </w:r>
      <w:r>
        <w:rPr>
          <w:w w:val="101"/>
        </w:rPr>
        <w:t> </w:t>
      </w:r>
      <w:r>
        <w:rPr/>
        <w:t>destilada.</w:t>
      </w:r>
    </w:p>
    <w:p>
      <w:pPr>
        <w:pStyle w:val="BodyText"/>
        <w:spacing w:before="7"/>
        <w:ind w:left="115"/>
      </w:pPr>
      <w:r>
        <w:rPr/>
        <w:t>Tomar las bolsas Tedlar de aluminio que se retiran de los frascos. Homogeneizar</w:t>
      </w:r>
    </w:p>
    <w:p>
      <w:pPr>
        <w:spacing w:after="0"/>
        <w:sectPr>
          <w:pgSz w:w="11900" w:h="16840"/>
          <w:pgMar w:header="0" w:footer="1679" w:top="1600" w:bottom="1860" w:left="1540" w:right="1540"/>
        </w:sectPr>
      </w:pPr>
    </w:p>
    <w:p>
      <w:pPr>
        <w:pStyle w:val="BodyText"/>
        <w:rPr>
          <w:sz w:val="20"/>
        </w:rPr>
      </w:pPr>
    </w:p>
    <w:p>
      <w:pPr>
        <w:pStyle w:val="BodyText"/>
        <w:spacing w:before="7"/>
        <w:rPr>
          <w:sz w:val="16"/>
        </w:rPr>
      </w:pPr>
    </w:p>
    <w:p>
      <w:pPr>
        <w:pStyle w:val="BodyText"/>
        <w:spacing w:line="364" w:lineRule="auto" w:before="74"/>
        <w:ind w:left="115" w:right="119"/>
        <w:jc w:val="both"/>
      </w:pPr>
      <w:r>
        <w:rPr/>
        <w:t>la muestra de gas que se encuentra dentro de la bolsa y extraer de 5 ml de gas e inyectarlo en el vacutainer. Agitar vigorosamente vacutainer después de retirar la aguja.</w:t>
      </w:r>
    </w:p>
    <w:p>
      <w:pPr>
        <w:pStyle w:val="BodyText"/>
        <w:spacing w:line="364" w:lineRule="auto" w:before="5"/>
        <w:ind w:left="115" w:right="119"/>
        <w:jc w:val="both"/>
      </w:pPr>
      <w:r>
        <w:rPr/>
        <w:t>Bajo la campana flujo, se inyecta 0,5 ml de DPD en cada vacutainer, a  continuación, 0,5 ml de reactivo de cloruro férrico. Agitar enérgicamente y esperar 30 minutos para que ocurra la</w:t>
      </w:r>
      <w:r>
        <w:rPr>
          <w:spacing w:val="45"/>
        </w:rPr>
        <w:t> </w:t>
      </w:r>
      <w:r>
        <w:rPr/>
        <w:t>reacción.</w:t>
      </w:r>
    </w:p>
    <w:p>
      <w:pPr>
        <w:pStyle w:val="BodyText"/>
        <w:spacing w:line="367" w:lineRule="auto" w:before="2"/>
        <w:ind w:left="115" w:right="119"/>
        <w:jc w:val="both"/>
      </w:pPr>
      <w:r>
        <w:rPr/>
        <w:t>Leer cada estándar (de menor a mayor y empezando con el blanco) y  cada  muestra en el espectrofotómetro, registrando siempre cada valor de </w:t>
      </w:r>
      <w:r>
        <w:rPr>
          <w:spacing w:val="27"/>
        </w:rPr>
        <w:t> </w:t>
      </w:r>
      <w:r>
        <w:rPr/>
        <w:t>absorbancia.</w:t>
      </w:r>
    </w:p>
    <w:p>
      <w:pPr>
        <w:pStyle w:val="BodyText"/>
        <w:rPr>
          <w:sz w:val="22"/>
        </w:rPr>
      </w:pPr>
    </w:p>
    <w:p>
      <w:pPr>
        <w:pStyle w:val="Heading1"/>
        <w:spacing w:before="148"/>
      </w:pPr>
      <w:r>
        <w:rPr/>
        <w:t>NH3-N</w:t>
      </w:r>
    </w:p>
    <w:p>
      <w:pPr>
        <w:pStyle w:val="BodyText"/>
        <w:spacing w:line="364" w:lineRule="auto" w:before="141"/>
        <w:ind w:left="115" w:right="118"/>
        <w:jc w:val="both"/>
      </w:pPr>
      <w:r>
        <w:rPr/>
        <w:t>Centrifugar las muestras de líquido ruminal (que fueron tomadas  de las botellas  que se utilizaron para medir emisión de metano después de agregar 1ml de ácido sulfúrico y que fueron congeladas por día de muestreo) a 1000rpm por 15 min a  4ºC</w:t>
      </w:r>
    </w:p>
    <w:p>
      <w:pPr>
        <w:pStyle w:val="BodyText"/>
        <w:spacing w:line="367" w:lineRule="auto" w:before="2"/>
        <w:ind w:left="115" w:right="123"/>
        <w:jc w:val="both"/>
      </w:pPr>
      <w:r>
        <w:rPr/>
        <w:t>Preparar los estándares (una vez preparados se tomas como muestras pero estas no se diluyen antes de pasar las muestras a la</w:t>
      </w:r>
      <w:r>
        <w:rPr>
          <w:spacing w:val="62"/>
        </w:rPr>
        <w:t> </w:t>
      </w:r>
      <w:r>
        <w:rPr/>
        <w:t>placa).</w:t>
      </w:r>
    </w:p>
    <w:p>
      <w:pPr>
        <w:pStyle w:val="BodyText"/>
        <w:spacing w:line="367" w:lineRule="auto"/>
        <w:ind w:left="115" w:right="122"/>
        <w:jc w:val="both"/>
      </w:pPr>
      <w:r>
        <w:rPr/>
        <w:t>Agregar 1ml de reactivo de fenol a dos tubos por muestra (36 tubos) de líquido ruminal.</w:t>
      </w:r>
    </w:p>
    <w:p>
      <w:pPr>
        <w:pStyle w:val="BodyText"/>
        <w:spacing w:line="364" w:lineRule="auto"/>
        <w:ind w:left="116" w:right="121"/>
        <w:jc w:val="both"/>
      </w:pPr>
      <w:r>
        <w:rPr/>
        <w:t>Una vez centrifugadas las muestras de líquido ruminal, colocar 20µl de cada una   de las muestras en los tubos con fenol y</w:t>
      </w:r>
      <w:r>
        <w:rPr>
          <w:spacing w:val="58"/>
        </w:rPr>
        <w:t> </w:t>
      </w:r>
      <w:r>
        <w:rPr/>
        <w:t>mezclar.</w:t>
      </w:r>
    </w:p>
    <w:p>
      <w:pPr>
        <w:pStyle w:val="BodyText"/>
        <w:spacing w:line="364" w:lineRule="auto" w:before="5"/>
        <w:ind w:left="116" w:right="224"/>
      </w:pPr>
      <w:r>
        <w:rPr/>
        <w:t>Colocar en la mezcla antes mencionada 0.8ml de hipoclorito y mezclar. Posteriormente colocar en baño Maria a 95º C  por cinco  minutos.</w:t>
      </w:r>
    </w:p>
    <w:p>
      <w:pPr>
        <w:pStyle w:val="BodyText"/>
        <w:spacing w:line="364" w:lineRule="auto" w:before="5"/>
        <w:ind w:left="116" w:right="123"/>
        <w:jc w:val="both"/>
      </w:pPr>
      <w:r>
        <w:rPr/>
        <w:t>Trascurrido este tiempo hacer una dilución 2:1 con agua destilada y las muestras que salen del baño Maria.</w:t>
      </w:r>
    </w:p>
    <w:p>
      <w:pPr>
        <w:pStyle w:val="BodyText"/>
        <w:spacing w:line="364" w:lineRule="auto" w:before="2"/>
        <w:ind w:left="115" w:right="224"/>
      </w:pPr>
      <w:r>
        <w:rPr/>
        <w:t>Colocar en una placa de 96 pozos con fondo plano, 200µl de la dilución anterior. Leer en espectrofotómetro para placas, guardar los resultados de esta  lectura,  para su análisis</w:t>
      </w:r>
      <w:r>
        <w:rPr>
          <w:spacing w:val="27"/>
        </w:rPr>
        <w:t> </w:t>
      </w:r>
      <w:r>
        <w:rPr/>
        <w:t>posterior.</w:t>
      </w:r>
    </w:p>
    <w:p>
      <w:pPr>
        <w:pStyle w:val="BodyText"/>
        <w:rPr>
          <w:sz w:val="22"/>
        </w:rPr>
      </w:pPr>
    </w:p>
    <w:p>
      <w:pPr>
        <w:pStyle w:val="Heading1"/>
        <w:spacing w:before="153"/>
      </w:pPr>
      <w:r>
        <w:rPr/>
        <w:t>Determinación de Ácidos Grasos Volátiles con Etil  Acetato</w:t>
      </w:r>
    </w:p>
    <w:p>
      <w:pPr>
        <w:pStyle w:val="BodyText"/>
        <w:spacing w:line="367" w:lineRule="auto" w:before="138"/>
        <w:ind w:left="115" w:right="117"/>
        <w:jc w:val="both"/>
      </w:pPr>
      <w:r>
        <w:rPr/>
        <w:t>Tomar de las muestras de líquido ruminal a las que se les agrega ácido sulfúrico, después de la incubación,  de 12 a 13ml de líquido ruminal, congelarlo (-18º  C).</w:t>
      </w:r>
    </w:p>
    <w:p>
      <w:pPr>
        <w:spacing w:after="0" w:line="367"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19"/>
        <w:jc w:val="both"/>
      </w:pPr>
      <w:r>
        <w:rPr/>
        <w:t>El día que se trabajara esta técnica, sacar las muestras y descongelarlas a temperatura ambiente.</w:t>
      </w:r>
    </w:p>
    <w:p>
      <w:pPr>
        <w:pStyle w:val="BodyText"/>
        <w:spacing w:before="5"/>
        <w:ind w:left="115"/>
        <w:jc w:val="both"/>
      </w:pPr>
      <w:r>
        <w:rPr/>
        <w:t>Una vez descongeladas, centrifugar a 10000rpm por 15 min a 4º  C.</w:t>
      </w:r>
    </w:p>
    <w:p>
      <w:pPr>
        <w:pStyle w:val="BodyText"/>
        <w:spacing w:line="364" w:lineRule="auto" w:before="138"/>
        <w:ind w:left="115" w:right="119"/>
        <w:jc w:val="both"/>
      </w:pPr>
      <w:r>
        <w:rPr/>
        <w:t>Tomar 2ml de líquido ruminal sobrenadante colocarla  en  otro  tubo  y  agregar 0.4ml de ácido metafosfórico  y congelar a -18º</w:t>
      </w:r>
      <w:r>
        <w:rPr>
          <w:spacing w:val="60"/>
        </w:rPr>
        <w:t> </w:t>
      </w:r>
      <w:r>
        <w:rPr/>
        <w:t>C.</w:t>
      </w:r>
    </w:p>
    <w:p>
      <w:pPr>
        <w:pStyle w:val="BodyText"/>
        <w:spacing w:line="364" w:lineRule="auto" w:before="7"/>
        <w:ind w:left="115" w:right="224"/>
      </w:pPr>
      <w:r>
        <w:rPr/>
        <w:t>Al día siguiente descongelar las muestras y centrifugar a 10000rpm 15 min a 4º C. Colocar 1ml del sobrenadante de cada muestra en un tubo y agregar 2ml de etil acetato.</w:t>
      </w:r>
    </w:p>
    <w:p>
      <w:pPr>
        <w:pStyle w:val="BodyText"/>
        <w:spacing w:line="364" w:lineRule="auto" w:before="2"/>
        <w:ind w:left="115" w:right="116"/>
        <w:jc w:val="both"/>
      </w:pPr>
      <w:r>
        <w:rPr/>
        <w:t>Mezclar vigorosamente dejar reposar 1 a 2 min y colectar con pipetas plásticas aproximadamente 2ml de la parte superior que se separa al hacer esta mezcla y colocarlos en los viales que usa el</w:t>
      </w:r>
      <w:r>
        <w:rPr>
          <w:spacing w:val="56"/>
        </w:rPr>
        <w:t> </w:t>
      </w:r>
      <w:r>
        <w:rPr/>
        <w:t>espectrofotómetro.</w:t>
      </w:r>
    </w:p>
    <w:p>
      <w:pPr>
        <w:pStyle w:val="BodyText"/>
        <w:rPr>
          <w:sz w:val="22"/>
        </w:rPr>
      </w:pPr>
    </w:p>
    <w:p>
      <w:pPr>
        <w:pStyle w:val="Heading1"/>
        <w:spacing w:before="153"/>
      </w:pPr>
      <w:r>
        <w:rPr/>
        <w:t>RESULTADOS</w:t>
      </w:r>
    </w:p>
    <w:p>
      <w:pPr>
        <w:pStyle w:val="BodyText"/>
        <w:rPr>
          <w:b/>
          <w:sz w:val="22"/>
        </w:rPr>
      </w:pPr>
    </w:p>
    <w:p>
      <w:pPr>
        <w:pStyle w:val="BodyText"/>
        <w:spacing w:before="1"/>
        <w:rPr>
          <w:b/>
          <w:sz w:val="25"/>
        </w:rPr>
      </w:pPr>
    </w:p>
    <w:p>
      <w:pPr>
        <w:pStyle w:val="BodyText"/>
        <w:spacing w:line="364" w:lineRule="auto"/>
        <w:ind w:left="115" w:right="118"/>
        <w:jc w:val="both"/>
      </w:pPr>
      <w:r>
        <w:rPr/>
        <w:t>Procesamiento de las muestras de líquido ruminal para cada una de las técnicas anteriormente mencionadas, haciendo tres repeticiones en cada una en 3 días diferentes.</w:t>
      </w:r>
    </w:p>
    <w:p>
      <w:pPr>
        <w:pStyle w:val="BodyText"/>
        <w:spacing w:line="364" w:lineRule="auto" w:before="7"/>
        <w:ind w:left="115" w:right="119"/>
        <w:jc w:val="both"/>
      </w:pPr>
      <w:r>
        <w:rPr/>
        <w:t>Realización de una base de datos en Excel que sirvió como base para  la  realización del análisis estadístico de los resultados  obtenidos  para  cada parámetro</w:t>
      </w:r>
      <w:r>
        <w:rPr>
          <w:spacing w:val="22"/>
        </w:rPr>
        <w:t> </w:t>
      </w:r>
      <w:r>
        <w:rPr/>
        <w:t>medido.</w:t>
      </w:r>
    </w:p>
    <w:p>
      <w:pPr>
        <w:pStyle w:val="BodyText"/>
        <w:spacing w:before="5"/>
        <w:ind w:left="115"/>
        <w:jc w:val="both"/>
      </w:pPr>
      <w:r>
        <w:rPr/>
        <w:t>Realización del análisis estadístico de algunos parámetros  medidos.</w:t>
      </w:r>
    </w:p>
    <w:p>
      <w:pPr>
        <w:pStyle w:val="BodyText"/>
        <w:rPr>
          <w:sz w:val="22"/>
        </w:rPr>
      </w:pPr>
    </w:p>
    <w:p>
      <w:pPr>
        <w:pStyle w:val="BodyText"/>
        <w:spacing w:before="10"/>
        <w:rPr>
          <w:sz w:val="24"/>
        </w:rPr>
      </w:pPr>
    </w:p>
    <w:p>
      <w:pPr>
        <w:pStyle w:val="Heading1"/>
      </w:pPr>
      <w:r>
        <w:rPr/>
        <w:t>CONCLUSIÓN</w:t>
      </w:r>
    </w:p>
    <w:p>
      <w:pPr>
        <w:pStyle w:val="BodyText"/>
        <w:rPr>
          <w:b/>
          <w:sz w:val="22"/>
        </w:rPr>
      </w:pPr>
    </w:p>
    <w:p>
      <w:pPr>
        <w:pStyle w:val="BodyText"/>
        <w:spacing w:before="1"/>
        <w:rPr>
          <w:b/>
          <w:sz w:val="25"/>
        </w:rPr>
      </w:pPr>
    </w:p>
    <w:p>
      <w:pPr>
        <w:pStyle w:val="BodyText"/>
        <w:spacing w:line="367" w:lineRule="auto"/>
        <w:ind w:left="115" w:right="118"/>
        <w:jc w:val="both"/>
      </w:pPr>
      <w:r>
        <w:rPr/>
        <w:t>Los resultados preliminares no muestran ningún efecto significativo de los tratamientos sobre los parámetros medidos.</w:t>
      </w:r>
    </w:p>
    <w:p>
      <w:pPr>
        <w:pStyle w:val="BodyText"/>
        <w:rPr>
          <w:sz w:val="22"/>
        </w:rPr>
      </w:pPr>
    </w:p>
    <w:p>
      <w:pPr>
        <w:pStyle w:val="BodyText"/>
        <w:spacing w:line="364" w:lineRule="auto" w:before="152"/>
        <w:ind w:left="115" w:right="119"/>
        <w:jc w:val="both"/>
      </w:pPr>
      <w:r>
        <w:rPr/>
        <w:t>La estancia fue muy productiva tanto académica como personalmente, considero que la disposición de las personas que se encuentran en el laboratorio es un punto que fomenta el trabajo en equipo, pero sobre todo que invita al  aprendizaje.</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5"/>
        <w:rPr>
          <w:sz w:val="16"/>
        </w:rPr>
      </w:pPr>
    </w:p>
    <w:p>
      <w:pPr>
        <w:pStyle w:val="Heading1"/>
        <w:numPr>
          <w:ilvl w:val="0"/>
          <w:numId w:val="10"/>
        </w:numPr>
        <w:tabs>
          <w:tab w:pos="3409" w:val="left" w:leader="none"/>
        </w:tabs>
        <w:spacing w:line="240" w:lineRule="auto" w:before="74" w:after="0"/>
        <w:ind w:left="3408" w:right="0" w:hanging="484"/>
        <w:jc w:val="left"/>
      </w:pPr>
      <w:bookmarkStart w:name="_TOC_250002" w:id="38"/>
      <w:r>
        <w:rPr/>
        <w:t>DISCUSIÓN</w:t>
      </w:r>
      <w:r>
        <w:rPr>
          <w:spacing w:val="26"/>
        </w:rPr>
        <w:t> </w:t>
      </w:r>
      <w:bookmarkEnd w:id="38"/>
      <w:r>
        <w:rPr/>
        <w:t>GENERAL</w:t>
      </w:r>
    </w:p>
    <w:p>
      <w:pPr>
        <w:pStyle w:val="BodyText"/>
        <w:rPr>
          <w:b/>
          <w:sz w:val="22"/>
        </w:rPr>
      </w:pPr>
    </w:p>
    <w:p>
      <w:pPr>
        <w:pStyle w:val="BodyText"/>
        <w:rPr>
          <w:b/>
          <w:sz w:val="22"/>
        </w:rPr>
      </w:pPr>
    </w:p>
    <w:p>
      <w:pPr>
        <w:pStyle w:val="BodyText"/>
        <w:spacing w:line="364" w:lineRule="auto" w:before="136"/>
        <w:ind w:left="116" w:right="117"/>
        <w:jc w:val="both"/>
      </w:pPr>
      <w:r>
        <w:rPr/>
        <w:t>El presente experimento se realizo con el objetivo de evaluar el efecto de las enzimas exógenas y el extracto de </w:t>
      </w:r>
      <w:r>
        <w:rPr>
          <w:i/>
        </w:rPr>
        <w:t>Salix babylonica </w:t>
      </w:r>
      <w:r>
        <w:rPr/>
        <w:t>como aditivos alimenticios en corderos y determinar parámetros hematológicos, inmunológicos y productivos. De la misma manera se evaluo la posible correlación entre la ganancia diaria de peso  y la respuesta inmune</w:t>
      </w:r>
      <w:r>
        <w:rPr>
          <w:spacing w:val="31"/>
        </w:rPr>
        <w:t> </w:t>
      </w:r>
      <w:r>
        <w:rPr/>
        <w:t>celular.</w:t>
      </w:r>
    </w:p>
    <w:p>
      <w:pPr>
        <w:pStyle w:val="BodyText"/>
        <w:rPr>
          <w:sz w:val="22"/>
        </w:rPr>
      </w:pPr>
    </w:p>
    <w:p>
      <w:pPr>
        <w:pStyle w:val="BodyText"/>
        <w:spacing w:line="364" w:lineRule="auto" w:before="155"/>
        <w:ind w:left="116" w:right="117"/>
        <w:jc w:val="both"/>
      </w:pPr>
      <w:r>
        <w:rPr/>
        <w:t>Los resultados obtenidos en el análisis de parámetros hematológicos revelaron   que ninguno de los dos tratamientos ni su combinación presentan un riesgo potencial para la salud de los animal, lo cual es un resultado relévate en el caso   del extracto de </w:t>
      </w:r>
      <w:r>
        <w:rPr>
          <w:i/>
        </w:rPr>
        <w:t>S. babylonica</w:t>
      </w:r>
      <w:r>
        <w:rPr/>
        <w:t>, ya que se podría pensar que por el contenido de metabolitos secundarios presentes en él pudiera este ejercer algun efecto negativo sobre la salud de los</w:t>
      </w:r>
      <w:r>
        <w:rPr>
          <w:spacing w:val="34"/>
        </w:rPr>
        <w:t> </w:t>
      </w:r>
      <w:r>
        <w:rPr/>
        <w:t>animales.</w:t>
      </w:r>
    </w:p>
    <w:p>
      <w:pPr>
        <w:pStyle w:val="BodyText"/>
        <w:rPr>
          <w:sz w:val="22"/>
        </w:rPr>
      </w:pPr>
    </w:p>
    <w:p>
      <w:pPr>
        <w:pStyle w:val="BodyText"/>
        <w:spacing w:line="364" w:lineRule="auto" w:before="155"/>
        <w:ind w:left="116" w:right="117"/>
        <w:jc w:val="both"/>
      </w:pPr>
      <w:r>
        <w:rPr/>
        <w:t>En estudios previos en los cuales se ha evaluado el efecto de extractos derivados de plantas sobre el estado de salud de los animales y se ha observado tanto en monogástricos como en rumiantes que en periodos que van de 15 a 90 días estos metabolitos son capaces de producir anemia, inmunosupresión, daño  hepático, renal e incluso la muerte (Adedapo et al., 2007a, Adedapo et al., 2007b, Imik et al., 2008, Mahgoub et al., 2008a, Valizadeh et al., 2010, Olafadehan, 2011, Ramirez- Restrepo et al.,</w:t>
      </w:r>
      <w:r>
        <w:rPr>
          <w:spacing w:val="23"/>
        </w:rPr>
        <w:t> </w:t>
      </w:r>
      <w:r>
        <w:rPr/>
        <w:t>2010).</w:t>
      </w:r>
    </w:p>
    <w:p>
      <w:pPr>
        <w:pStyle w:val="BodyText"/>
        <w:rPr>
          <w:sz w:val="22"/>
        </w:rPr>
      </w:pPr>
    </w:p>
    <w:p>
      <w:pPr>
        <w:pStyle w:val="BodyText"/>
        <w:spacing w:line="364" w:lineRule="auto" w:before="155"/>
        <w:ind w:left="116" w:right="117"/>
        <w:jc w:val="both"/>
      </w:pPr>
      <w:r>
        <w:rPr/>
        <w:t>Probablemente la diferencia de resultados se deber al tipo de planta utilizada en cada experimento, la concentración y el tipo  de  compuestos  secundarios presentes en ellas, el tiempo de adaptación y sobre todo al tipo de animal (Ramirez-Restrepo et al., 2010).</w:t>
      </w:r>
    </w:p>
    <w:p>
      <w:pPr>
        <w:pStyle w:val="BodyText"/>
        <w:rPr>
          <w:sz w:val="22"/>
        </w:rPr>
      </w:pPr>
    </w:p>
    <w:p>
      <w:pPr>
        <w:pStyle w:val="BodyText"/>
        <w:spacing w:line="364" w:lineRule="auto" w:before="155"/>
        <w:ind w:left="116" w:right="116"/>
        <w:jc w:val="both"/>
      </w:pPr>
      <w:r>
        <w:rPr/>
        <w:t>Por otro lado, los resultados del efecto de los tratamientos sobre la respuesta inmune demostraron que el extracto, las enzimas exógenas y su combinación son incapaces  de ejercer  algún tipo de efecto sobre las  poblaciones  de     linfocitos  T</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115" w:right="116"/>
        <w:jc w:val="both"/>
      </w:pPr>
      <w:r>
        <w:rPr/>
        <w:t>colaboradores, Tcitotóxicos, granulocitos y monocitos primero que todo por la especie animal utilizada ya que se considera que los rumiantes tiene la capacidad de degradar e incluso utilizar todos aquellos compuestos que llegan al rumen y entran en contacto con los microorganismos propios de este lugar a diferencia de  los monogástricos que no cuentas con esta capacidad por lo que son más susceptibles a la intoxicación por el consumo de metabolitos secundarios (Hammond,</w:t>
      </w:r>
      <w:r>
        <w:rPr>
          <w:spacing w:val="20"/>
        </w:rPr>
        <w:t> </w:t>
      </w:r>
      <w:r>
        <w:rPr/>
        <w:t>1995).</w:t>
      </w:r>
    </w:p>
    <w:p>
      <w:pPr>
        <w:pStyle w:val="BodyText"/>
        <w:rPr>
          <w:sz w:val="22"/>
        </w:rPr>
      </w:pPr>
    </w:p>
    <w:p>
      <w:pPr>
        <w:pStyle w:val="BodyText"/>
        <w:spacing w:line="364" w:lineRule="auto" w:before="155"/>
        <w:ind w:left="115" w:right="117"/>
        <w:jc w:val="both"/>
      </w:pPr>
      <w:r>
        <w:rPr/>
        <w:t>En segundo terminó se conoce que el uso de compuestos secundarios como las saponinas a manera de adyuvantes en vacunas ha sido evaluada de forma parenteral, intraocular, e incluso intranasal (Sjolander et al., 1998, Weng et al., 2010). Se esperaba que los compuestos secundarios presentes en el  extracto fueran capaces de inducir ambos tipos de respuesta innata y adaptativa </w:t>
      </w:r>
      <w:r>
        <w:rPr>
          <w:spacing w:val="-4"/>
        </w:rPr>
        <w:t>ya </w:t>
      </w:r>
      <w:r>
        <w:rPr/>
        <w:t>que se considera que estos actúan como antígenos al  presentar PAMP similares a los   que presentan antígenos como bacterias, virus, hongos, etc. (Provenza  and  Villalba, 2010). Es probable que se requiera una dosis más alta de compuestos secundarios y otra vía de administración para poder observar la accion inmunomoduladora de los compuestos</w:t>
      </w:r>
      <w:r>
        <w:rPr>
          <w:spacing w:val="58"/>
        </w:rPr>
        <w:t> </w:t>
      </w:r>
      <w:r>
        <w:rPr/>
        <w:t>secundarios.</w:t>
      </w:r>
    </w:p>
    <w:p>
      <w:pPr>
        <w:pStyle w:val="BodyText"/>
        <w:rPr>
          <w:sz w:val="22"/>
        </w:rPr>
      </w:pPr>
    </w:p>
    <w:p>
      <w:pPr>
        <w:pStyle w:val="BodyText"/>
        <w:spacing w:line="364" w:lineRule="auto" w:before="153"/>
        <w:ind w:left="115" w:right="118"/>
        <w:jc w:val="both"/>
      </w:pPr>
      <w:r>
        <w:rPr/>
        <w:t>De igual manera, no se pudo constatar el efecto indirecto de las  enzimas  exógenas sobre la respuesta inmune, esto bajo los principios de inmunonotricióndonde se señala que existe una fuerte interacción entre la nutrición  y la respuesta inmune pues deficiencias en macro y micronutrientes se han  asociado a un mal funcionamiento de los componentes de la respuesta  inmune tanto innata como adaptativa (Chandra, 1997, Chandra, 2002, Calder and Kew, 2002, Maggini et al., 2007, Wintergerst et al.,</w:t>
      </w:r>
      <w:r>
        <w:rPr>
          <w:spacing w:val="61"/>
        </w:rPr>
        <w:t> </w:t>
      </w:r>
      <w:r>
        <w:rPr/>
        <w:t>2007).</w:t>
      </w:r>
    </w:p>
    <w:p>
      <w:pPr>
        <w:pStyle w:val="BodyText"/>
        <w:rPr>
          <w:sz w:val="22"/>
        </w:rPr>
      </w:pPr>
    </w:p>
    <w:p>
      <w:pPr>
        <w:pStyle w:val="BodyText"/>
        <w:spacing w:line="364" w:lineRule="auto" w:before="155"/>
        <w:ind w:left="115" w:right="118"/>
        <w:jc w:val="both"/>
      </w:pPr>
      <w:r>
        <w:rPr/>
        <w:t>En este aspecto se observo que el tiempo si es un factor que produce modificaciones en las poblaciones celulares avaluadas produciendo un efecto Inmunoestimulante; los primeros 15 días de tratamiento asociadoa la fisiología propia de los microorganismos ruminales como de las célula principalmente en   las</w:t>
      </w:r>
    </w:p>
    <w:p>
      <w:pPr>
        <w:spacing w:after="0" w:line="364" w:lineRule="auto"/>
        <w:jc w:val="both"/>
        <w:sectPr>
          <w:footerReference w:type="default" r:id="rId219"/>
          <w:pgSz w:w="11900" w:h="16840"/>
          <w:pgMar w:footer="1679" w:header="0" w:top="1600" w:bottom="1860" w:left="1540" w:right="1520"/>
          <w:pgNumType w:start="110"/>
        </w:sectPr>
      </w:pPr>
    </w:p>
    <w:p>
      <w:pPr>
        <w:pStyle w:val="BodyText"/>
        <w:rPr>
          <w:sz w:val="20"/>
        </w:rPr>
      </w:pPr>
    </w:p>
    <w:p>
      <w:pPr>
        <w:pStyle w:val="BodyText"/>
        <w:spacing w:before="7"/>
        <w:rPr>
          <w:sz w:val="16"/>
        </w:rPr>
      </w:pPr>
    </w:p>
    <w:p>
      <w:pPr>
        <w:pStyle w:val="BodyText"/>
        <w:spacing w:line="364" w:lineRule="auto" w:before="74"/>
        <w:ind w:left="115" w:right="119"/>
        <w:jc w:val="both"/>
      </w:pPr>
      <w:r>
        <w:rPr/>
        <w:t>células de la respuesta inmune innata las cuales son la primera línea de defensa  del organismo contra un antígeno cuya función dura unos pocos días y la cual es  de vital importancia para la estimulación de la respuesta inmune mediada por células (Van Soest, 1994, Provenza and Villalba,  2010).</w:t>
      </w:r>
    </w:p>
    <w:p>
      <w:pPr>
        <w:pStyle w:val="BodyText"/>
        <w:rPr>
          <w:sz w:val="22"/>
        </w:rPr>
      </w:pPr>
    </w:p>
    <w:p>
      <w:pPr>
        <w:pStyle w:val="BodyText"/>
        <w:spacing w:line="364" w:lineRule="auto" w:before="155"/>
        <w:ind w:left="115" w:right="116"/>
        <w:jc w:val="both"/>
      </w:pPr>
      <w:r>
        <w:rPr/>
        <w:t>La correlación existente entre la ganancia diaria de peso y la respuesta inmune no se pudo establecer ya que los tratamientos no produjeron diferencias en los parámetros inmunólogos; sin embargo, se sabe que esta correlación existe y  deberá ser comprobada en futuras</w:t>
      </w:r>
      <w:r>
        <w:rPr>
          <w:spacing w:val="55"/>
        </w:rPr>
        <w:t> </w:t>
      </w:r>
      <w:r>
        <w:rPr/>
        <w:t>investigaciones.</w:t>
      </w:r>
    </w:p>
    <w:p>
      <w:pPr>
        <w:pStyle w:val="BodyText"/>
        <w:rPr>
          <w:sz w:val="22"/>
        </w:rPr>
      </w:pPr>
    </w:p>
    <w:p>
      <w:pPr>
        <w:pStyle w:val="BodyText"/>
        <w:spacing w:line="364" w:lineRule="auto" w:before="155"/>
        <w:ind w:left="115" w:right="119"/>
        <w:jc w:val="both"/>
      </w:pPr>
      <w:r>
        <w:rPr/>
        <w:t>En lo que respecta a la especie se determinóque no hay  diferencias  producidas  por este factor ya que los tratamientos tuvieron un comportamiento similar tanto en ovinos como en caprinos, esto resultados contrastan con  los  publicados  por  Salem et al 2011 quienes  determinaron que las cabras son más eficientes en el  uso de las enzimas exógenas a diferencia de los borregos (Salem et al., 2011a);   sin embargo, en este estudio no se evaluaron parámetros hematológicos como en  el presente</w:t>
      </w:r>
      <w:r>
        <w:rPr>
          <w:spacing w:val="20"/>
        </w:rPr>
        <w:t> </w:t>
      </w:r>
      <w:r>
        <w:rPr/>
        <w:t>estudio.</w:t>
      </w:r>
    </w:p>
    <w:p>
      <w:pPr>
        <w:pStyle w:val="BodyText"/>
        <w:rPr>
          <w:sz w:val="22"/>
        </w:rPr>
      </w:pPr>
    </w:p>
    <w:p>
      <w:pPr>
        <w:pStyle w:val="BodyText"/>
        <w:spacing w:line="364" w:lineRule="auto" w:before="155"/>
        <w:ind w:left="115" w:right="117"/>
        <w:jc w:val="both"/>
      </w:pPr>
      <w:r>
        <w:rPr/>
        <w:t>Por otro lado, se ha establecido que las cabras son más eficientes detoxificando compuestos secundarios de las plantas, a diferencia de las vacas y los borregos  por lo que se adaptan mejor este tipo de compuestos cuando forman parte de su dieta (Ramos et al., 1998, Silanikove et al., 1996, Turner et al., </w:t>
      </w:r>
      <w:r>
        <w:rPr>
          <w:spacing w:val="10"/>
        </w:rPr>
        <w:t> </w:t>
      </w:r>
      <w:r>
        <w:rPr/>
        <w:t>2005).</w:t>
      </w:r>
    </w:p>
    <w:p>
      <w:pPr>
        <w:pStyle w:val="BodyText"/>
        <w:rPr>
          <w:sz w:val="22"/>
        </w:rPr>
      </w:pPr>
    </w:p>
    <w:p>
      <w:pPr>
        <w:pStyle w:val="BodyText"/>
        <w:spacing w:line="364" w:lineRule="auto" w:before="153"/>
        <w:ind w:left="115" w:right="118"/>
        <w:jc w:val="both"/>
      </w:pPr>
      <w:r>
        <w:rPr/>
        <w:t>Con el uso de extracto de</w:t>
      </w:r>
      <w:r>
        <w:rPr>
          <w:i/>
        </w:rPr>
        <w:t>Salix babylonica </w:t>
      </w:r>
      <w:r>
        <w:rPr/>
        <w:t>y enzimas exógenas, se cubren los requerimientos de limpio, verde y ético, son de origen natural fúngico o bacteriano (enzimas exógenas) o derivados de árboles (extractos de arbóreas y arbustivas forrajeras) además de disminuir los costos de producción al favorecer la utilización de la mayor cantidad de los componentes de la dieta y disminuir la emisión de algunos compuestos que tiene efecto negativos en el medio ambiente como metano, amoniaco, fosforo,</w:t>
      </w:r>
      <w:r>
        <w:rPr>
          <w:spacing w:val="36"/>
        </w:rPr>
        <w:t> </w:t>
      </w:r>
      <w:r>
        <w:rPr/>
        <w:t>etc.</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5"/>
        <w:rPr>
          <w:sz w:val="16"/>
        </w:rPr>
      </w:pPr>
    </w:p>
    <w:p>
      <w:pPr>
        <w:pStyle w:val="BodyText"/>
        <w:spacing w:line="364" w:lineRule="auto" w:before="74"/>
        <w:ind w:left="116" w:right="99"/>
        <w:jc w:val="both"/>
      </w:pPr>
      <w:r>
        <w:rPr/>
        <w:t>Por último, con el uso de extracto de </w:t>
      </w:r>
      <w:r>
        <w:rPr>
          <w:i/>
        </w:rPr>
        <w:t>Salix babylonica </w:t>
      </w:r>
      <w:r>
        <w:rPr/>
        <w:t>y enzimas exógenas como aditivos alimenticios </w:t>
      </w:r>
      <w:r>
        <w:rPr>
          <w:spacing w:val="-3"/>
        </w:rPr>
        <w:t>en </w:t>
      </w:r>
      <w:r>
        <w:rPr/>
        <w:t>la dieta de ovinos y caprinos su integridad y estado de  salud no se ven afectados, cuando se consideran variables  importantes  como  dosis y frecuencia (Bedford and Partridge, 2010, Provenza and  Villalba,  2010, Gado et al., 2011, Salem et al., 2011b, Rivero et al., </w:t>
      </w:r>
      <w:r>
        <w:rPr>
          <w:spacing w:val="4"/>
        </w:rPr>
        <w:t> </w:t>
      </w:r>
      <w:r>
        <w:rPr/>
        <w:t>2012).</w:t>
      </w:r>
    </w:p>
    <w:p>
      <w:pPr>
        <w:spacing w:after="0" w:line="364" w:lineRule="auto"/>
        <w:jc w:val="both"/>
        <w:sectPr>
          <w:pgSz w:w="11900" w:h="16840"/>
          <w:pgMar w:header="0" w:footer="1679" w:top="1600" w:bottom="1860" w:left="1540" w:right="1540"/>
        </w:sectPr>
      </w:pPr>
    </w:p>
    <w:p>
      <w:pPr>
        <w:pStyle w:val="BodyText"/>
        <w:rPr>
          <w:sz w:val="20"/>
        </w:rPr>
      </w:pPr>
    </w:p>
    <w:p>
      <w:pPr>
        <w:pStyle w:val="BodyText"/>
        <w:spacing w:before="7"/>
        <w:rPr>
          <w:sz w:val="16"/>
        </w:rPr>
      </w:pPr>
    </w:p>
    <w:p>
      <w:pPr>
        <w:pStyle w:val="Heading1"/>
        <w:numPr>
          <w:ilvl w:val="0"/>
          <w:numId w:val="10"/>
        </w:numPr>
        <w:tabs>
          <w:tab w:pos="3776" w:val="left" w:leader="none"/>
        </w:tabs>
        <w:spacing w:line="240" w:lineRule="auto" w:before="74" w:after="0"/>
        <w:ind w:left="3775" w:right="0" w:hanging="352"/>
        <w:jc w:val="left"/>
      </w:pPr>
      <w:bookmarkStart w:name="_TOC_250001" w:id="39"/>
      <w:bookmarkEnd w:id="39"/>
      <w:r>
        <w:rPr/>
        <w:t>CONCLUSIÓN.</w:t>
      </w:r>
    </w:p>
    <w:p>
      <w:pPr>
        <w:pStyle w:val="BodyText"/>
        <w:rPr>
          <w:b/>
          <w:sz w:val="22"/>
        </w:rPr>
      </w:pPr>
    </w:p>
    <w:p>
      <w:pPr>
        <w:pStyle w:val="BodyText"/>
        <w:rPr>
          <w:b/>
          <w:sz w:val="22"/>
        </w:rPr>
      </w:pPr>
    </w:p>
    <w:p>
      <w:pPr>
        <w:pStyle w:val="BodyText"/>
        <w:spacing w:line="369" w:lineRule="auto" w:before="132"/>
        <w:ind w:left="116" w:right="122"/>
        <w:jc w:val="both"/>
      </w:pPr>
      <w:r>
        <w:rPr/>
        <w:t>El extracto de </w:t>
      </w:r>
      <w:r>
        <w:rPr>
          <w:i/>
        </w:rPr>
        <w:t>Salix babylonica</w:t>
      </w:r>
      <w:r>
        <w:rPr/>
        <w:t>, las enzimas exógenas y su combinación no producen efectos sobre los parámetros hematológicos  evaluados.</w:t>
      </w:r>
    </w:p>
    <w:p>
      <w:pPr>
        <w:pStyle w:val="BodyText"/>
        <w:rPr>
          <w:sz w:val="22"/>
        </w:rPr>
      </w:pPr>
    </w:p>
    <w:p>
      <w:pPr>
        <w:pStyle w:val="BodyText"/>
        <w:spacing w:line="364" w:lineRule="auto" w:before="147"/>
        <w:ind w:left="116" w:right="117"/>
        <w:jc w:val="both"/>
      </w:pPr>
      <w:r>
        <w:rPr/>
        <w:t>El extracto de </w:t>
      </w:r>
      <w:r>
        <w:rPr>
          <w:i/>
        </w:rPr>
        <w:t>Salix babylonica</w:t>
      </w:r>
      <w:r>
        <w:rPr/>
        <w:t>, las enzimas exógenas y su combinación usados como aditivos alimenticios en la dieta de corderos no producen efecto sobre los parámetros inmunológicos evaluados; sin embargo, el tiempo es un factor que modifica las poblaciones celulares de linfocitos T-citotóxicos y granulocitos, produciendo un efecto inmunoestimulante los primeros 15  días  posteriormente este efecto es inmunosupresor, mientras que para las linfocitos T-helper el efecto  es primero inmunosupresor  y posteriormente </w:t>
      </w:r>
      <w:r>
        <w:rPr>
          <w:spacing w:val="11"/>
        </w:rPr>
        <w:t> </w:t>
      </w:r>
      <w:r>
        <w:rPr/>
        <w:t>inmunoestimulante.</w:t>
      </w:r>
    </w:p>
    <w:p>
      <w:pPr>
        <w:pStyle w:val="BodyText"/>
        <w:rPr>
          <w:sz w:val="22"/>
        </w:rPr>
      </w:pPr>
    </w:p>
    <w:p>
      <w:pPr>
        <w:pStyle w:val="BodyText"/>
        <w:spacing w:line="364" w:lineRule="auto" w:before="155"/>
        <w:ind w:left="116" w:right="118"/>
        <w:jc w:val="both"/>
      </w:pPr>
      <w:r>
        <w:rPr/>
        <w:t>Existe una correlación negativa entre la ganacia diaria de peso y los linfocitos Tcitotoxicos en aquellos animales que consumieron la combinación de los tratamientos.</w:t>
      </w:r>
    </w:p>
    <w:p>
      <w:pPr>
        <w:pStyle w:val="BodyText"/>
        <w:rPr>
          <w:sz w:val="22"/>
        </w:rPr>
      </w:pPr>
    </w:p>
    <w:p>
      <w:pPr>
        <w:pStyle w:val="BodyText"/>
        <w:spacing w:line="367" w:lineRule="auto" w:before="150"/>
        <w:ind w:left="116" w:right="119"/>
        <w:jc w:val="both"/>
      </w:pPr>
      <w:r>
        <w:rPr/>
        <w:t>Las enzimas exógenas, el extracto de </w:t>
      </w:r>
      <w:r>
        <w:rPr>
          <w:i/>
        </w:rPr>
        <w:t>Salix babylonica </w:t>
      </w:r>
      <w:r>
        <w:rPr/>
        <w:t>y su combinación son inocuos tanto en corderos como en cabras cuando se proporcionan a manera de aditivos alimenticios a la dosis y la frecuencia empleados en los presentes experimentos.</w:t>
      </w:r>
    </w:p>
    <w:p>
      <w:pPr>
        <w:spacing w:after="0" w:line="367" w:lineRule="auto"/>
        <w:jc w:val="both"/>
        <w:sectPr>
          <w:pgSz w:w="11900" w:h="16840"/>
          <w:pgMar w:header="0" w:footer="1679" w:top="1600" w:bottom="1860" w:left="1540" w:right="15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p>
    <w:p>
      <w:pPr>
        <w:pStyle w:val="Heading1"/>
        <w:numPr>
          <w:ilvl w:val="0"/>
          <w:numId w:val="10"/>
        </w:numPr>
        <w:tabs>
          <w:tab w:pos="3724" w:val="left" w:leader="none"/>
        </w:tabs>
        <w:spacing w:line="240" w:lineRule="auto" w:before="74" w:after="0"/>
        <w:ind w:left="3723" w:right="0" w:hanging="288"/>
        <w:jc w:val="left"/>
      </w:pPr>
      <w:bookmarkStart w:name="_TOC_250000" w:id="40"/>
      <w:bookmarkEnd w:id="40"/>
      <w:r>
        <w:rPr/>
        <w:t>REFERENCIAS</w:t>
      </w:r>
    </w:p>
    <w:p>
      <w:pPr>
        <w:pStyle w:val="BodyText"/>
        <w:rPr>
          <w:b/>
          <w:sz w:val="22"/>
        </w:rPr>
      </w:pPr>
    </w:p>
    <w:p>
      <w:pPr>
        <w:pStyle w:val="BodyText"/>
        <w:spacing w:before="11"/>
        <w:rPr>
          <w:b/>
          <w:sz w:val="25"/>
        </w:rPr>
      </w:pPr>
    </w:p>
    <w:p>
      <w:pPr>
        <w:pStyle w:val="BodyText"/>
        <w:ind w:left="115"/>
      </w:pPr>
      <w:r>
        <w:rPr/>
        <w:t>ADEDAPO, A. A., ABATAN, M. O. &amp; OLORUNSOGO, O. O. (2007a) Effects of</w:t>
      </w:r>
    </w:p>
    <w:p>
      <w:pPr>
        <w:pStyle w:val="BodyText"/>
        <w:spacing w:line="364" w:lineRule="auto" w:before="138"/>
        <w:ind w:left="816" w:right="101"/>
        <w:jc w:val="both"/>
      </w:pPr>
      <w:r>
        <w:rPr/>
        <w:t>some plants of the spurge family on haematological and biochemical parameters in rats. </w:t>
      </w:r>
      <w:r>
        <w:rPr>
          <w:i/>
        </w:rPr>
        <w:t>Veterinarski Arhiv, </w:t>
      </w:r>
      <w:r>
        <w:rPr/>
        <w:t>77</w:t>
      </w:r>
      <w:r>
        <w:rPr>
          <w:b/>
        </w:rPr>
        <w:t>, </w:t>
      </w:r>
      <w:r>
        <w:rPr/>
        <w:t>29 -</w:t>
      </w:r>
      <w:r>
        <w:rPr>
          <w:spacing w:val="53"/>
        </w:rPr>
        <w:t> </w:t>
      </w:r>
      <w:r>
        <w:rPr/>
        <w:t>38.</w:t>
      </w:r>
    </w:p>
    <w:p>
      <w:pPr>
        <w:pStyle w:val="BodyText"/>
        <w:spacing w:before="7"/>
        <w:ind w:left="116"/>
      </w:pPr>
      <w:r>
        <w:rPr/>
        <w:t>ADEDAPO,</w:t>
      </w:r>
      <w:r>
        <w:rPr>
          <w:spacing w:val="55"/>
        </w:rPr>
        <w:t> </w:t>
      </w:r>
      <w:r>
        <w:rPr/>
        <w:t>A.</w:t>
      </w:r>
      <w:r>
        <w:rPr>
          <w:spacing w:val="53"/>
        </w:rPr>
        <w:t> </w:t>
      </w:r>
      <w:r>
        <w:rPr/>
        <w:t>A.,</w:t>
      </w:r>
      <w:r>
        <w:rPr>
          <w:spacing w:val="53"/>
        </w:rPr>
        <w:t> </w:t>
      </w:r>
      <w:r>
        <w:rPr/>
        <w:t>ADEGBAYIBI,</w:t>
      </w:r>
      <w:r>
        <w:rPr>
          <w:spacing w:val="55"/>
        </w:rPr>
        <w:t> </w:t>
      </w:r>
      <w:r>
        <w:rPr/>
        <w:t>A.</w:t>
      </w:r>
      <w:r>
        <w:rPr>
          <w:spacing w:val="53"/>
        </w:rPr>
        <w:t> </w:t>
      </w:r>
      <w:r>
        <w:rPr>
          <w:spacing w:val="-3"/>
        </w:rPr>
        <w:t>Y.</w:t>
      </w:r>
      <w:r>
        <w:rPr>
          <w:spacing w:val="55"/>
        </w:rPr>
        <w:t> </w:t>
      </w:r>
      <w:r>
        <w:rPr/>
        <w:t>&amp;</w:t>
      </w:r>
      <w:r>
        <w:rPr>
          <w:spacing w:val="56"/>
        </w:rPr>
        <w:t> </w:t>
      </w:r>
      <w:r>
        <w:rPr/>
        <w:t>EMIKPE,</w:t>
      </w:r>
      <w:r>
        <w:rPr>
          <w:spacing w:val="53"/>
        </w:rPr>
        <w:t> </w:t>
      </w:r>
      <w:r>
        <w:rPr/>
        <w:t>B.</w:t>
      </w:r>
      <w:r>
        <w:rPr>
          <w:spacing w:val="55"/>
        </w:rPr>
        <w:t> </w:t>
      </w:r>
      <w:r>
        <w:rPr/>
        <w:t>O.</w:t>
      </w:r>
      <w:r>
        <w:rPr>
          <w:spacing w:val="55"/>
        </w:rPr>
        <w:t> </w:t>
      </w:r>
      <w:r>
        <w:rPr/>
        <w:t>(2005)</w:t>
      </w:r>
      <w:r>
        <w:rPr>
          <w:spacing w:val="55"/>
        </w:rPr>
        <w:t> </w:t>
      </w:r>
      <w:r>
        <w:rPr/>
        <w:t>Some</w:t>
      </w:r>
      <w:r>
        <w:rPr>
          <w:spacing w:val="53"/>
        </w:rPr>
        <w:t> </w:t>
      </w:r>
      <w:r>
        <w:rPr/>
        <w:t>Clinico-</w:t>
      </w:r>
    </w:p>
    <w:p>
      <w:pPr>
        <w:pStyle w:val="BodyText"/>
        <w:spacing w:line="364" w:lineRule="auto" w:before="136"/>
        <w:ind w:left="816" w:right="102"/>
        <w:jc w:val="both"/>
      </w:pPr>
      <w:r>
        <w:rPr/>
        <w:t>pathological Changes associated with the Aqueous Extract of the Leaves of Phyllanthus amarus in Rats.</w:t>
      </w:r>
      <w:r>
        <w:rPr>
          <w:i/>
        </w:rPr>
        <w:t>Phytother. Res, </w:t>
      </w:r>
      <w:r>
        <w:rPr/>
        <w:t>19</w:t>
      </w:r>
      <w:r>
        <w:rPr>
          <w:b/>
        </w:rPr>
        <w:t>,</w:t>
      </w:r>
      <w:r>
        <w:rPr>
          <w:b/>
          <w:spacing w:val="62"/>
        </w:rPr>
        <w:t> </w:t>
      </w:r>
      <w:r>
        <w:rPr/>
        <w:t>971-976.</w:t>
      </w:r>
    </w:p>
    <w:p>
      <w:pPr>
        <w:pStyle w:val="BodyText"/>
        <w:spacing w:before="5"/>
        <w:ind w:left="116"/>
      </w:pPr>
      <w:r>
        <w:rPr/>
        <w:t>ADEDAPO,</w:t>
      </w:r>
      <w:r>
        <w:rPr>
          <w:spacing w:val="52"/>
        </w:rPr>
        <w:t> </w:t>
      </w:r>
      <w:r>
        <w:rPr/>
        <w:t>A.</w:t>
      </w:r>
      <w:r>
        <w:rPr>
          <w:spacing w:val="52"/>
        </w:rPr>
        <w:t> </w:t>
      </w:r>
      <w:r>
        <w:rPr/>
        <w:t>A.,</w:t>
      </w:r>
      <w:r>
        <w:rPr>
          <w:spacing w:val="52"/>
        </w:rPr>
        <w:t> </w:t>
      </w:r>
      <w:r>
        <w:rPr/>
        <w:t>OMOLOYE,</w:t>
      </w:r>
      <w:r>
        <w:rPr>
          <w:spacing w:val="54"/>
        </w:rPr>
        <w:t> </w:t>
      </w:r>
      <w:r>
        <w:rPr/>
        <w:t>O.</w:t>
      </w:r>
      <w:r>
        <w:rPr>
          <w:spacing w:val="52"/>
        </w:rPr>
        <w:t> </w:t>
      </w:r>
      <w:r>
        <w:rPr/>
        <w:t>A.</w:t>
      </w:r>
      <w:r>
        <w:rPr>
          <w:spacing w:val="52"/>
        </w:rPr>
        <w:t> </w:t>
      </w:r>
      <w:r>
        <w:rPr/>
        <w:t>&amp;</w:t>
      </w:r>
      <w:r>
        <w:rPr>
          <w:spacing w:val="52"/>
        </w:rPr>
        <w:t> </w:t>
      </w:r>
      <w:r>
        <w:rPr/>
        <w:t>OHORE,</w:t>
      </w:r>
      <w:r>
        <w:rPr>
          <w:spacing w:val="54"/>
        </w:rPr>
        <w:t> </w:t>
      </w:r>
      <w:r>
        <w:rPr/>
        <w:t>O.</w:t>
      </w:r>
      <w:r>
        <w:rPr>
          <w:spacing w:val="54"/>
        </w:rPr>
        <w:t> </w:t>
      </w:r>
      <w:r>
        <w:rPr>
          <w:spacing w:val="-3"/>
        </w:rPr>
        <w:t>G.</w:t>
      </w:r>
      <w:r>
        <w:rPr>
          <w:spacing w:val="52"/>
        </w:rPr>
        <w:t> </w:t>
      </w:r>
      <w:r>
        <w:rPr/>
        <w:t>(2007b)</w:t>
      </w:r>
      <w:r>
        <w:rPr>
          <w:spacing w:val="54"/>
        </w:rPr>
        <w:t> </w:t>
      </w:r>
      <w:r>
        <w:rPr/>
        <w:t>Studies</w:t>
      </w:r>
      <w:r>
        <w:rPr>
          <w:spacing w:val="55"/>
        </w:rPr>
        <w:t> </w:t>
      </w:r>
      <w:r>
        <w:rPr/>
        <w:t>on</w:t>
      </w:r>
      <w:r>
        <w:rPr>
          <w:spacing w:val="54"/>
        </w:rPr>
        <w:t> </w:t>
      </w:r>
      <w:r>
        <w:rPr/>
        <w:t>the</w:t>
      </w:r>
    </w:p>
    <w:p>
      <w:pPr>
        <w:pStyle w:val="BodyText"/>
        <w:spacing w:before="138"/>
        <w:ind w:left="816"/>
        <w:jc w:val="both"/>
      </w:pPr>
      <w:r>
        <w:rPr/>
        <w:t>toxicity of  an  aqueous  extract  of  the  leaves  of  Abrus  precatorius  in rats.</w:t>
      </w:r>
    </w:p>
    <w:p>
      <w:pPr>
        <w:spacing w:before="136"/>
        <w:ind w:left="816" w:right="0" w:firstLine="0"/>
        <w:jc w:val="both"/>
        <w:rPr>
          <w:sz w:val="23"/>
        </w:rPr>
      </w:pPr>
      <w:r>
        <w:rPr>
          <w:i/>
          <w:sz w:val="23"/>
        </w:rPr>
        <w:t>Onderstepoort J Vet Res, </w:t>
      </w:r>
      <w:r>
        <w:rPr>
          <w:sz w:val="23"/>
        </w:rPr>
        <w:t>74</w:t>
      </w:r>
      <w:r>
        <w:rPr>
          <w:b/>
          <w:sz w:val="23"/>
        </w:rPr>
        <w:t>, </w:t>
      </w:r>
      <w:r>
        <w:rPr>
          <w:sz w:val="23"/>
        </w:rPr>
        <w:t>31-36.</w:t>
      </w:r>
    </w:p>
    <w:p>
      <w:pPr>
        <w:pStyle w:val="BodyText"/>
        <w:spacing w:line="364" w:lineRule="auto" w:before="141"/>
        <w:ind w:left="816" w:hanging="701"/>
      </w:pPr>
      <w:r>
        <w:rPr/>
        <w:t>AHMED, V. U., PERVEEN, S. &amp; BANO, S. (1990) Saponin from the leaves of Guaiacum officinale. </w:t>
      </w:r>
      <w:r>
        <w:rPr>
          <w:i/>
        </w:rPr>
        <w:t>Phytochemistry, </w:t>
      </w:r>
      <w:r>
        <w:rPr/>
        <w:t>29</w:t>
      </w:r>
      <w:r>
        <w:rPr>
          <w:b/>
        </w:rPr>
        <w:t>,</w:t>
      </w:r>
      <w:r>
        <w:rPr>
          <w:b/>
          <w:spacing w:val="55"/>
        </w:rPr>
        <w:t> </w:t>
      </w:r>
      <w:r>
        <w:rPr/>
        <w:t>3287-3290.</w:t>
      </w:r>
    </w:p>
    <w:p>
      <w:pPr>
        <w:pStyle w:val="BodyText"/>
        <w:spacing w:before="7"/>
        <w:ind w:left="115"/>
      </w:pPr>
      <w:r>
        <w:rPr/>
        <w:t>AKOND,   A.,   KHANDAKER,   L.,   BERTHOLD,   J.,   GATES,   L.,   PETERS,   K.,</w:t>
      </w:r>
    </w:p>
    <w:p>
      <w:pPr>
        <w:pStyle w:val="BodyText"/>
        <w:spacing w:line="364" w:lineRule="auto" w:before="136"/>
        <w:ind w:left="816" w:right="99"/>
        <w:jc w:val="both"/>
      </w:pPr>
      <w:r>
        <w:rPr/>
        <w:t>DELONG, H. &amp; HOSSAIN, K. (2011) Anthocyanin, total polyphenols and antioxidant activity of common bean. </w:t>
      </w:r>
      <w:r>
        <w:rPr>
          <w:i/>
        </w:rPr>
        <w:t>Am. J. Food Technol, </w:t>
      </w:r>
      <w:r>
        <w:rPr/>
        <w:t>6</w:t>
      </w:r>
      <w:r>
        <w:rPr>
          <w:b/>
        </w:rPr>
        <w:t>,  </w:t>
      </w:r>
      <w:r>
        <w:rPr/>
        <w:t>385-394.</w:t>
      </w:r>
    </w:p>
    <w:p>
      <w:pPr>
        <w:pStyle w:val="BodyText"/>
        <w:spacing w:before="5"/>
        <w:ind w:left="115"/>
      </w:pPr>
      <w:r>
        <w:rPr/>
        <w:t>AMMAR, H., LÓPEZ, S., SALEM, A. Z. M., BODAS, R. &amp; GONZÁEZ, J. S. (2011)</w:t>
      </w:r>
    </w:p>
    <w:p>
      <w:pPr>
        <w:pStyle w:val="BodyText"/>
        <w:spacing w:line="364" w:lineRule="auto" w:before="141"/>
        <w:ind w:left="816" w:right="99"/>
        <w:jc w:val="both"/>
      </w:pPr>
      <w:r>
        <w:rPr/>
        <w:t>Effect of saliva from sheep that have ingested quebracho tannins on the in vitro rumen fermentation activity to digest tannin-containing shrubs.  </w:t>
      </w:r>
      <w:r>
        <w:rPr>
          <w:i/>
        </w:rPr>
        <w:t>AnimFeed Sci Technol,</w:t>
      </w:r>
      <w:r>
        <w:rPr/>
        <w:t>163</w:t>
      </w:r>
      <w:r>
        <w:rPr>
          <w:b/>
        </w:rPr>
        <w:t>,</w:t>
      </w:r>
      <w:r>
        <w:rPr>
          <w:b/>
          <w:spacing w:val="38"/>
        </w:rPr>
        <w:t> </w:t>
      </w:r>
      <w:r>
        <w:rPr/>
        <w:t>77-83.</w:t>
      </w:r>
    </w:p>
    <w:p>
      <w:pPr>
        <w:spacing w:line="367" w:lineRule="auto" w:before="5"/>
        <w:ind w:left="816" w:right="0" w:hanging="701"/>
        <w:jc w:val="left"/>
        <w:rPr>
          <w:sz w:val="23"/>
        </w:rPr>
      </w:pPr>
      <w:r>
        <w:rPr>
          <w:sz w:val="23"/>
        </w:rPr>
        <w:t>ARCHER, R. K. &amp; JEFFCOTT, L. B. (1977) </w:t>
      </w:r>
      <w:r>
        <w:rPr>
          <w:i/>
          <w:sz w:val="23"/>
        </w:rPr>
        <w:t>Comparative clinical haematology</w:t>
      </w:r>
      <w:r>
        <w:rPr>
          <w:sz w:val="23"/>
        </w:rPr>
        <w:t>, Blackwell Scientific Publications.</w:t>
      </w:r>
    </w:p>
    <w:p>
      <w:pPr>
        <w:pStyle w:val="BodyText"/>
        <w:spacing w:before="2"/>
        <w:ind w:left="115"/>
      </w:pPr>
      <w:r>
        <w:rPr/>
        <w:t>AREGHEORE, E. M., ALI, I., OFORI, K. &amp; RERE, T. (2006) Studies on Grazing</w:t>
      </w:r>
    </w:p>
    <w:p>
      <w:pPr>
        <w:pStyle w:val="BodyText"/>
        <w:spacing w:line="364" w:lineRule="auto" w:before="138"/>
        <w:ind w:left="816" w:right="102"/>
        <w:jc w:val="both"/>
      </w:pPr>
      <w:r>
        <w:rPr/>
        <w:t>Behavior of Goats in the Cook Islands: The Animal-Plant Complex in Forage Preference/Palatability Phenomena. </w:t>
      </w:r>
      <w:r>
        <w:rPr>
          <w:i/>
        </w:rPr>
        <w:t>Int. J. Agri. Biol, </w:t>
      </w:r>
      <w:r>
        <w:rPr/>
        <w:t>8</w:t>
      </w:r>
      <w:r>
        <w:rPr>
          <w:b/>
        </w:rPr>
        <w:t>,  </w:t>
      </w:r>
      <w:r>
        <w:rPr/>
        <w:t>147-153.</w:t>
      </w:r>
    </w:p>
    <w:p>
      <w:pPr>
        <w:pStyle w:val="BodyText"/>
        <w:spacing w:line="364" w:lineRule="auto" w:before="7"/>
        <w:ind w:left="816" w:right="98" w:hanging="701"/>
        <w:jc w:val="both"/>
      </w:pPr>
      <w:r>
        <w:rPr/>
        <w:t>AREGHEORE, E. M. &amp; PERERA, D. (2004) Effect of Supplementation of a Basal Diet of Maize Stover with Erythrina variegata, Gliricidia sepium or Leucaena leucocephala on Feed Intake and Digestibility by Goats. </w:t>
      </w:r>
      <w:r>
        <w:rPr>
          <w:i/>
        </w:rPr>
        <w:t>Trop Anim Health </w:t>
      </w:r>
      <w:r>
        <w:rPr>
          <w:i/>
        </w:rPr>
        <w:t>Pro, </w:t>
      </w:r>
      <w:r>
        <w:rPr/>
        <w:t>36</w:t>
      </w:r>
      <w:r>
        <w:rPr>
          <w:b/>
        </w:rPr>
        <w:t>, </w:t>
      </w:r>
      <w:r>
        <w:rPr/>
        <w:t>175-189.</w:t>
      </w:r>
    </w:p>
    <w:p>
      <w:pPr>
        <w:spacing w:after="0" w:line="364" w:lineRule="auto"/>
        <w:jc w:val="both"/>
        <w:sectPr>
          <w:pgSz w:w="11900" w:h="16840"/>
          <w:pgMar w:header="0" w:footer="1679" w:top="1600" w:bottom="1860" w:left="1540" w:right="1540"/>
        </w:sectPr>
      </w:pPr>
    </w:p>
    <w:p>
      <w:pPr>
        <w:pStyle w:val="BodyText"/>
        <w:rPr>
          <w:sz w:val="20"/>
        </w:rPr>
      </w:pPr>
    </w:p>
    <w:p>
      <w:pPr>
        <w:pStyle w:val="BodyText"/>
        <w:spacing w:before="7"/>
        <w:rPr>
          <w:sz w:val="16"/>
        </w:rPr>
      </w:pPr>
    </w:p>
    <w:p>
      <w:pPr>
        <w:pStyle w:val="BodyText"/>
        <w:spacing w:before="74"/>
        <w:ind w:left="115" w:right="224"/>
      </w:pPr>
      <w:r>
        <w:rPr/>
        <w:t>ARRIOLA, K. G., KIM, S. C., STAPLES, C. R. &amp; ADESOGAN, A. T. (2011) Effect</w:t>
      </w:r>
    </w:p>
    <w:p>
      <w:pPr>
        <w:pStyle w:val="BodyText"/>
        <w:spacing w:line="364" w:lineRule="auto" w:before="138"/>
        <w:ind w:left="816" w:right="122"/>
        <w:jc w:val="both"/>
      </w:pPr>
      <w:r>
        <w:rPr/>
        <w:t>of fibrolytic enzyme application to low- and high-concentrate diets on the performance of lactating dairy cattle. </w:t>
      </w:r>
      <w:r>
        <w:rPr>
          <w:i/>
        </w:rPr>
        <w:t>J Dairy Sci, </w:t>
      </w:r>
      <w:r>
        <w:rPr/>
        <w:t>94</w:t>
      </w:r>
      <w:r>
        <w:rPr>
          <w:b/>
        </w:rPr>
        <w:t>,  </w:t>
      </w:r>
      <w:r>
        <w:rPr/>
        <w:t>832-841.</w:t>
      </w:r>
    </w:p>
    <w:p>
      <w:pPr>
        <w:pStyle w:val="BodyText"/>
        <w:spacing w:line="364" w:lineRule="auto" w:before="7"/>
        <w:ind w:left="816" w:right="117" w:hanging="701"/>
        <w:jc w:val="both"/>
      </w:pPr>
      <w:r>
        <w:rPr/>
        <w:t>ATHANASIADOU, S. &amp; KYRIAZAKIS, I. (2004) Plant secondary metabolites: antiparasitic effects and their role in ruminant production systems. </w:t>
      </w:r>
      <w:r>
        <w:rPr>
          <w:i/>
        </w:rPr>
        <w:t>Proc Nutr </w:t>
      </w:r>
      <w:r>
        <w:rPr>
          <w:i/>
        </w:rPr>
        <w:t>Soc, </w:t>
      </w:r>
      <w:r>
        <w:rPr/>
        <w:t>63</w:t>
      </w:r>
      <w:r>
        <w:rPr>
          <w:b/>
        </w:rPr>
        <w:t>, </w:t>
      </w:r>
      <w:r>
        <w:rPr/>
        <w:t>631 - 639.</w:t>
      </w:r>
    </w:p>
    <w:p>
      <w:pPr>
        <w:pStyle w:val="BodyText"/>
        <w:spacing w:before="5"/>
        <w:ind w:left="116" w:right="224"/>
      </w:pPr>
      <w:r>
        <w:rPr/>
        <w:t>AUGUSTIN, J. M., KUZINA, V., ANDERSEN, S. B. &amp; BAK, S. (2011) Molecular</w:t>
      </w:r>
    </w:p>
    <w:p>
      <w:pPr>
        <w:pStyle w:val="BodyText"/>
        <w:spacing w:before="141"/>
        <w:ind w:left="816"/>
        <w:jc w:val="both"/>
      </w:pPr>
      <w:r>
        <w:rPr/>
        <w:t>activities,     biosynthesis     and     evolution     of     triterpenoid      saponins.</w:t>
      </w:r>
    </w:p>
    <w:p>
      <w:pPr>
        <w:spacing w:before="134"/>
        <w:ind w:left="816" w:right="0" w:firstLine="0"/>
        <w:jc w:val="both"/>
        <w:rPr>
          <w:sz w:val="23"/>
        </w:rPr>
      </w:pPr>
      <w:r>
        <w:rPr>
          <w:i/>
          <w:sz w:val="23"/>
        </w:rPr>
        <w:t>Phytochemistry, </w:t>
      </w:r>
      <w:r>
        <w:rPr>
          <w:sz w:val="23"/>
        </w:rPr>
        <w:t>72</w:t>
      </w:r>
      <w:r>
        <w:rPr>
          <w:b/>
          <w:sz w:val="23"/>
        </w:rPr>
        <w:t>, </w:t>
      </w:r>
      <w:r>
        <w:rPr>
          <w:sz w:val="23"/>
        </w:rPr>
        <w:t>435-457.</w:t>
      </w:r>
    </w:p>
    <w:p>
      <w:pPr>
        <w:pStyle w:val="BodyText"/>
        <w:spacing w:before="141"/>
        <w:ind w:left="116" w:right="224"/>
      </w:pPr>
      <w:r>
        <w:rPr/>
        <w:t>BAAH, J., SHELFORD, J. A., HRISTOV, A. N., MCALLISTER, T. A. &amp; CHENG, K.</w:t>
      </w:r>
    </w:p>
    <w:p>
      <w:pPr>
        <w:pStyle w:val="BodyText"/>
        <w:spacing w:line="364" w:lineRule="auto" w:before="138"/>
        <w:ind w:left="816" w:right="120"/>
        <w:jc w:val="both"/>
      </w:pPr>
      <w:r>
        <w:rPr/>
        <w:t>J. (2005) Effects of Tween 80 and fibrolytic enzymes on  ruminal  fermentation and digestibility of feeds in Holstein cows. </w:t>
      </w:r>
      <w:r>
        <w:rPr>
          <w:i/>
        </w:rPr>
        <w:t>Asian-australas. J. </w:t>
      </w:r>
      <w:r>
        <w:rPr>
          <w:i/>
        </w:rPr>
        <w:t>Anim. Sci, </w:t>
      </w:r>
      <w:r>
        <w:rPr/>
        <w:t>18</w:t>
      </w:r>
      <w:r>
        <w:rPr>
          <w:b/>
        </w:rPr>
        <w:t>,</w:t>
      </w:r>
      <w:r>
        <w:rPr>
          <w:b/>
          <w:spacing w:val="29"/>
        </w:rPr>
        <w:t> </w:t>
      </w:r>
      <w:r>
        <w:rPr/>
        <w:t>816-824.</w:t>
      </w:r>
    </w:p>
    <w:p>
      <w:pPr>
        <w:pStyle w:val="BodyText"/>
        <w:spacing w:before="7"/>
        <w:ind w:left="116" w:right="118"/>
      </w:pPr>
      <w:r>
        <w:rPr/>
        <w:t>BARAHONA, R., LASCANO, C. E., COCHRAN, R., MORRILL, J. &amp;  TITGEMEYER,</w:t>
      </w:r>
    </w:p>
    <w:p>
      <w:pPr>
        <w:pStyle w:val="BodyText"/>
        <w:spacing w:line="364" w:lineRule="auto" w:before="136"/>
        <w:ind w:left="816" w:right="117"/>
        <w:jc w:val="both"/>
      </w:pPr>
      <w:r>
        <w:rPr/>
        <w:t>E. C. (1997) Intake, digestion, and nitrogen utilization by sheep fed tropical legumes with contrasting tannin concentration and astringency. </w:t>
      </w:r>
      <w:r>
        <w:rPr>
          <w:i/>
        </w:rPr>
        <w:t>J. Anim. Sci, </w:t>
      </w:r>
      <w:r>
        <w:rPr/>
        <w:t>75</w:t>
      </w:r>
      <w:r>
        <w:rPr>
          <w:b/>
        </w:rPr>
        <w:t>, </w:t>
      </w:r>
      <w:r>
        <w:rPr/>
        <w:t>1633-1640.</w:t>
      </w:r>
    </w:p>
    <w:p>
      <w:pPr>
        <w:pStyle w:val="BodyText"/>
        <w:spacing w:before="10"/>
        <w:ind w:left="116" w:right="118"/>
      </w:pPr>
      <w:r>
        <w:rPr/>
        <w:t>BEAUCHEMIN,  K.  A.,  RODE,  L.  M.  &amp;  SEWALTL,  V.  J.  H.  (1995)      Fibrolytic</w:t>
      </w:r>
    </w:p>
    <w:p>
      <w:pPr>
        <w:pStyle w:val="BodyText"/>
        <w:spacing w:line="364" w:lineRule="auto" w:before="136"/>
        <w:ind w:left="816" w:right="118"/>
        <w:jc w:val="both"/>
      </w:pPr>
      <w:r>
        <w:rPr/>
        <w:t>enzymes increase fiber digestibility and growth rate of steers fed  dry  forages. </w:t>
      </w:r>
      <w:r>
        <w:rPr>
          <w:i/>
        </w:rPr>
        <w:t>Can. J. Anim. Sci., </w:t>
      </w:r>
      <w:r>
        <w:rPr/>
        <w:t>75</w:t>
      </w:r>
      <w:r>
        <w:rPr>
          <w:b/>
        </w:rPr>
        <w:t>, </w:t>
      </w:r>
      <w:r>
        <w:rPr/>
        <w:t>641-</w:t>
      </w:r>
      <w:r>
        <w:rPr>
          <w:spacing w:val="45"/>
        </w:rPr>
        <w:t> </w:t>
      </w:r>
      <w:r>
        <w:rPr/>
        <w:t>644.</w:t>
      </w:r>
    </w:p>
    <w:p>
      <w:pPr>
        <w:spacing w:line="367" w:lineRule="auto" w:before="5"/>
        <w:ind w:left="816" w:right="224" w:hanging="701"/>
        <w:jc w:val="left"/>
        <w:rPr>
          <w:sz w:val="23"/>
        </w:rPr>
      </w:pPr>
      <w:r>
        <w:rPr>
          <w:sz w:val="23"/>
        </w:rPr>
        <w:t>BEDFORD, M. R. &amp; PARTRIDGE, G. G. (2010) </w:t>
      </w:r>
      <w:r>
        <w:rPr>
          <w:i/>
          <w:sz w:val="23"/>
        </w:rPr>
        <w:t>Enzymes in Farm Animal Nutrition</w:t>
      </w:r>
      <w:r>
        <w:rPr>
          <w:sz w:val="23"/>
        </w:rPr>
        <w:t>, CABI.</w:t>
      </w:r>
    </w:p>
    <w:p>
      <w:pPr>
        <w:pStyle w:val="BodyText"/>
        <w:spacing w:line="364" w:lineRule="auto"/>
        <w:ind w:left="816" w:right="224" w:hanging="701"/>
      </w:pPr>
      <w:r>
        <w:rPr/>
        <w:t>BHAT,M. K.(2000)Cellulases and related enzymes in  biotechnolog.  </w:t>
      </w:r>
      <w:r>
        <w:rPr>
          <w:i/>
        </w:rPr>
        <w:t>Biotechnol  </w:t>
      </w:r>
      <w:r>
        <w:rPr>
          <w:i/>
        </w:rPr>
        <w:t>Adv, </w:t>
      </w:r>
      <w:r>
        <w:rPr/>
        <w:t>18</w:t>
      </w:r>
      <w:r>
        <w:rPr>
          <w:b/>
        </w:rPr>
        <w:t>,</w:t>
      </w:r>
      <w:r>
        <w:rPr>
          <w:b/>
          <w:spacing w:val="20"/>
        </w:rPr>
        <w:t> </w:t>
      </w:r>
      <w:r>
        <w:rPr/>
        <w:t>355-383.</w:t>
      </w:r>
    </w:p>
    <w:p>
      <w:pPr>
        <w:pStyle w:val="BodyText"/>
        <w:spacing w:before="5"/>
        <w:ind w:left="116" w:right="118"/>
      </w:pPr>
      <w:r>
        <w:rPr/>
        <w:t>BRYANT,   J.   P.,  REICHARDT,   P.   B.  &amp;  CLAUSEN,   T.   P.  (1992) Chemically</w:t>
      </w:r>
    </w:p>
    <w:p>
      <w:pPr>
        <w:pStyle w:val="BodyText"/>
        <w:spacing w:before="141"/>
        <w:ind w:left="816"/>
        <w:jc w:val="both"/>
      </w:pPr>
      <w:r>
        <w:rPr/>
        <w:t>mediated   interactions   between   woody   plants   and   browsing mammals.</w:t>
      </w:r>
    </w:p>
    <w:p>
      <w:pPr>
        <w:spacing w:before="134"/>
        <w:ind w:left="816" w:right="0" w:firstLine="0"/>
        <w:jc w:val="both"/>
        <w:rPr>
          <w:sz w:val="23"/>
        </w:rPr>
      </w:pPr>
      <w:r>
        <w:rPr>
          <w:i/>
          <w:sz w:val="23"/>
        </w:rPr>
        <w:t>JRange Manage, </w:t>
      </w:r>
      <w:r>
        <w:rPr>
          <w:sz w:val="23"/>
        </w:rPr>
        <w:t>45</w:t>
      </w:r>
      <w:r>
        <w:rPr>
          <w:b/>
          <w:sz w:val="23"/>
        </w:rPr>
        <w:t>, </w:t>
      </w:r>
      <w:r>
        <w:rPr>
          <w:sz w:val="23"/>
        </w:rPr>
        <w:t>18-24.</w:t>
      </w:r>
    </w:p>
    <w:p>
      <w:pPr>
        <w:pStyle w:val="BodyText"/>
        <w:spacing w:line="362" w:lineRule="auto" w:before="143"/>
        <w:ind w:left="816" w:right="224" w:hanging="701"/>
      </w:pPr>
      <w:r>
        <w:rPr/>
        <w:t>CALDER, P. C. &amp; KEW, S. (2002) The immune system: a target  for  functional foods. </w:t>
      </w:r>
      <w:r>
        <w:rPr>
          <w:i/>
        </w:rPr>
        <w:t>Brit J Nut, </w:t>
      </w:r>
      <w:r>
        <w:rPr/>
        <w:t>88</w:t>
      </w:r>
      <w:r>
        <w:rPr>
          <w:b/>
        </w:rPr>
        <w:t>, </w:t>
      </w:r>
      <w:r>
        <w:rPr/>
        <w:t>S165 - S176.</w:t>
      </w:r>
    </w:p>
    <w:p>
      <w:pPr>
        <w:pStyle w:val="BodyText"/>
        <w:spacing w:line="367" w:lineRule="auto" w:before="7"/>
        <w:ind w:left="816" w:right="118" w:hanging="701"/>
      </w:pPr>
      <w:r>
        <w:rPr/>
        <w:t>CAMACHO, L. M., ROJO, R., SALEM, A. Z. M., MENDOZA, G. D., LOPEZ, D., TINOCO, J.  L., ALBARRAN,  B. &amp; MONTANEZ-VALDEZ, O.  D. (2010a)    In</w:t>
      </w:r>
    </w:p>
    <w:p>
      <w:pPr>
        <w:spacing w:after="0" w:line="367" w:lineRule="auto"/>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816" w:right="120"/>
        <w:jc w:val="both"/>
      </w:pPr>
      <w:r>
        <w:rPr/>
        <w:t>vitro ruminal fermentation kinetics and energy utilization of three Mexican  tree fodder species during the rainy and dry period. </w:t>
      </w:r>
      <w:r>
        <w:rPr>
          <w:i/>
        </w:rPr>
        <w:t>Anim Feed Sci Tech,  </w:t>
      </w:r>
      <w:r>
        <w:rPr/>
        <w:t>160</w:t>
      </w:r>
      <w:r>
        <w:rPr>
          <w:b/>
        </w:rPr>
        <w:t>,</w:t>
      </w:r>
      <w:r>
        <w:rPr>
          <w:b/>
          <w:spacing w:val="12"/>
        </w:rPr>
        <w:t> </w:t>
      </w:r>
      <w:r>
        <w:rPr/>
        <w:t>110-120.</w:t>
      </w:r>
    </w:p>
    <w:p>
      <w:pPr>
        <w:pStyle w:val="BodyText"/>
        <w:spacing w:before="7"/>
        <w:ind w:left="116"/>
      </w:pPr>
      <w:r>
        <w:rPr/>
        <w:t>CAMACHO, L. M., ROJO, R., SALEM, A. Z. M., PROVENZA, F. D., MENDOZA, </w:t>
      </w:r>
      <w:r>
        <w:rPr>
          <w:spacing w:val="59"/>
        </w:rPr>
        <w:t> </w:t>
      </w:r>
      <w:r>
        <w:rPr/>
        <w:t>G.</w:t>
      </w:r>
    </w:p>
    <w:p>
      <w:pPr>
        <w:pStyle w:val="BodyText"/>
        <w:spacing w:line="364" w:lineRule="auto" w:before="136"/>
        <w:ind w:left="816" w:right="119"/>
        <w:jc w:val="both"/>
      </w:pPr>
      <w:r>
        <w:rPr/>
        <w:t>D., AVILES, F. &amp; MONTAÑEZ-VALDEZ, O. D. (2010b) Effect of season on chemical composition and in situ degradability in cows and in adapted and unadapted goats of three Mexican browse species. </w:t>
      </w:r>
      <w:r>
        <w:rPr>
          <w:i/>
        </w:rPr>
        <w:t>Anim Feed Sci Tech,  </w:t>
      </w:r>
      <w:r>
        <w:rPr/>
        <w:t>155</w:t>
      </w:r>
      <w:r>
        <w:rPr>
          <w:b/>
        </w:rPr>
        <w:t>,</w:t>
      </w:r>
      <w:r>
        <w:rPr>
          <w:b/>
          <w:spacing w:val="12"/>
        </w:rPr>
        <w:t> </w:t>
      </w:r>
      <w:r>
        <w:rPr/>
        <w:t>206-212.</w:t>
      </w:r>
    </w:p>
    <w:p>
      <w:pPr>
        <w:spacing w:line="364" w:lineRule="auto" w:before="5"/>
        <w:ind w:left="816" w:right="120" w:hanging="701"/>
        <w:jc w:val="both"/>
        <w:rPr>
          <w:sz w:val="23"/>
        </w:rPr>
      </w:pPr>
      <w:r>
        <w:rPr>
          <w:sz w:val="23"/>
        </w:rPr>
        <w:t>CARMONA AGUDELO, J. C. (2007) Efecto de la utilización de arboreas y  arbustivas forrajeras sobre la dinamica digestiva en bovinos. </w:t>
      </w:r>
      <w:r>
        <w:rPr>
          <w:i/>
          <w:sz w:val="23"/>
        </w:rPr>
        <w:t>Revista </w:t>
      </w:r>
      <w:r>
        <w:rPr>
          <w:i/>
          <w:sz w:val="23"/>
        </w:rPr>
        <w:t>Lasallista de Investigación, </w:t>
      </w:r>
      <w:r>
        <w:rPr>
          <w:sz w:val="23"/>
        </w:rPr>
        <w:t>4</w:t>
      </w:r>
      <w:r>
        <w:rPr>
          <w:b/>
          <w:sz w:val="23"/>
        </w:rPr>
        <w:t>,</w:t>
      </w:r>
      <w:r>
        <w:rPr>
          <w:b/>
          <w:spacing w:val="38"/>
          <w:sz w:val="23"/>
        </w:rPr>
        <w:t> </w:t>
      </w:r>
      <w:r>
        <w:rPr>
          <w:sz w:val="23"/>
        </w:rPr>
        <w:t>40-50.</w:t>
      </w:r>
    </w:p>
    <w:p>
      <w:pPr>
        <w:spacing w:line="364" w:lineRule="auto" w:before="5"/>
        <w:ind w:left="816" w:right="119" w:hanging="701"/>
        <w:jc w:val="both"/>
        <w:rPr>
          <w:sz w:val="23"/>
        </w:rPr>
      </w:pPr>
      <w:r>
        <w:rPr>
          <w:sz w:val="23"/>
        </w:rPr>
        <w:t>COFFIN, D. L., SANTIBÁÑEZ, J. &amp; SANZ, J. U. (1959) </w:t>
      </w:r>
      <w:r>
        <w:rPr>
          <w:i/>
          <w:sz w:val="23"/>
        </w:rPr>
        <w:t>Laboratorio clinico en </w:t>
      </w:r>
      <w:r>
        <w:rPr>
          <w:i/>
          <w:sz w:val="23"/>
        </w:rPr>
        <w:t>medicina veterinaria</w:t>
      </w:r>
      <w:r>
        <w:rPr>
          <w:sz w:val="23"/>
        </w:rPr>
        <w:t>, La Prensa Medica</w:t>
      </w:r>
      <w:r>
        <w:rPr>
          <w:spacing w:val="52"/>
          <w:sz w:val="23"/>
        </w:rPr>
        <w:t> </w:t>
      </w:r>
      <w:r>
        <w:rPr>
          <w:sz w:val="23"/>
        </w:rPr>
        <w:t>Mexicana.</w:t>
      </w:r>
    </w:p>
    <w:p>
      <w:pPr>
        <w:spacing w:before="5"/>
        <w:ind w:left="116" w:right="224" w:firstLine="0"/>
        <w:jc w:val="left"/>
        <w:rPr>
          <w:i/>
          <w:sz w:val="23"/>
        </w:rPr>
      </w:pPr>
      <w:r>
        <w:rPr>
          <w:sz w:val="23"/>
        </w:rPr>
        <w:t>COWAN, M. M. (1999) Plant products as antimicrobial agents. </w:t>
      </w:r>
      <w:r>
        <w:rPr>
          <w:i/>
          <w:sz w:val="23"/>
        </w:rPr>
        <w:t>Clin Microbiol Rev,</w:t>
      </w:r>
    </w:p>
    <w:p>
      <w:pPr>
        <w:pStyle w:val="BodyText"/>
        <w:spacing w:before="136"/>
        <w:ind w:left="816"/>
        <w:jc w:val="both"/>
      </w:pPr>
      <w:r>
        <w:rPr/>
        <w:t>12</w:t>
      </w:r>
      <w:r>
        <w:rPr>
          <w:b/>
        </w:rPr>
        <w:t>, </w:t>
      </w:r>
      <w:r>
        <w:rPr/>
        <w:t>564-582.</w:t>
      </w:r>
    </w:p>
    <w:p>
      <w:pPr>
        <w:spacing w:line="364" w:lineRule="auto" w:before="141"/>
        <w:ind w:left="816" w:right="120" w:hanging="701"/>
        <w:jc w:val="both"/>
        <w:rPr>
          <w:sz w:val="23"/>
        </w:rPr>
      </w:pPr>
      <w:r>
        <w:rPr>
          <w:sz w:val="23"/>
        </w:rPr>
        <w:t>CHANDRA, R. K.  (1997) Nutrition and the immune system: an introduction.  </w:t>
      </w:r>
      <w:r>
        <w:rPr>
          <w:i/>
          <w:sz w:val="23"/>
        </w:rPr>
        <w:t>The  </w:t>
      </w:r>
      <w:r>
        <w:rPr>
          <w:i/>
          <w:sz w:val="23"/>
        </w:rPr>
        <w:t>Am JClin Nutr, </w:t>
      </w:r>
      <w:r>
        <w:rPr>
          <w:sz w:val="23"/>
        </w:rPr>
        <w:t>66</w:t>
      </w:r>
      <w:r>
        <w:rPr>
          <w:b/>
          <w:sz w:val="23"/>
        </w:rPr>
        <w:t>,</w:t>
      </w:r>
      <w:r>
        <w:rPr>
          <w:b/>
          <w:spacing w:val="37"/>
          <w:sz w:val="23"/>
        </w:rPr>
        <w:t> </w:t>
      </w:r>
      <w:r>
        <w:rPr>
          <w:sz w:val="23"/>
        </w:rPr>
        <w:t>460S-463S.</w:t>
      </w:r>
    </w:p>
    <w:p>
      <w:pPr>
        <w:pStyle w:val="BodyText"/>
        <w:spacing w:line="362" w:lineRule="auto" w:before="10"/>
        <w:ind w:left="816" w:right="117" w:hanging="701"/>
        <w:jc w:val="both"/>
      </w:pPr>
      <w:r>
        <w:rPr/>
        <w:t>CHANDRA, R. K. (2002) Nutrition and the immune system from birth to  old  age.</w:t>
      </w:r>
      <w:r>
        <w:rPr>
          <w:i/>
        </w:rPr>
        <w:t>EurJ Clin Nutr, </w:t>
      </w:r>
      <w:r>
        <w:rPr/>
        <w:t>56</w:t>
      </w:r>
      <w:r>
        <w:rPr>
          <w:b/>
        </w:rPr>
        <w:t>, </w:t>
      </w:r>
      <w:r>
        <w:rPr/>
        <w:t>S73 -</w:t>
      </w:r>
      <w:r>
        <w:rPr>
          <w:spacing w:val="36"/>
        </w:rPr>
        <w:t> </w:t>
      </w:r>
      <w:r>
        <w:rPr/>
        <w:t>76.</w:t>
      </w:r>
    </w:p>
    <w:p>
      <w:pPr>
        <w:pStyle w:val="BodyText"/>
        <w:spacing w:line="364" w:lineRule="auto" w:before="10"/>
        <w:ind w:left="816" w:right="116" w:hanging="701"/>
        <w:jc w:val="both"/>
      </w:pPr>
      <w:r>
        <w:rPr/>
        <w:t>CHEEKE, P. R. (1994) A review of the functional and evolutionary roles of the liver in the detoxification of poisonous plants, with special reference to  pyrrolizidine alkaloids.</w:t>
      </w:r>
      <w:r>
        <w:rPr>
          <w:i/>
        </w:rPr>
        <w:t>Vet Hum Toxicolo, </w:t>
      </w:r>
      <w:r>
        <w:rPr/>
        <w:t>36</w:t>
      </w:r>
      <w:r>
        <w:rPr>
          <w:b/>
        </w:rPr>
        <w:t>,</w:t>
      </w:r>
      <w:r>
        <w:rPr>
          <w:b/>
          <w:spacing w:val="54"/>
        </w:rPr>
        <w:t> </w:t>
      </w:r>
      <w:r>
        <w:rPr/>
        <w:t>240.</w:t>
      </w:r>
    </w:p>
    <w:p>
      <w:pPr>
        <w:spacing w:line="364" w:lineRule="auto" w:before="7"/>
        <w:ind w:left="816" w:right="120" w:hanging="701"/>
        <w:jc w:val="both"/>
        <w:rPr>
          <w:sz w:val="23"/>
        </w:rPr>
      </w:pPr>
      <w:r>
        <w:rPr>
          <w:sz w:val="23"/>
        </w:rPr>
        <w:t>CHEEKE, P. R. (2000) Actual and potential applications of Yucca schidigera and Quillaja saponaria saponins in human and animal nutrition.</w:t>
      </w:r>
      <w:r>
        <w:rPr>
          <w:i/>
          <w:sz w:val="23"/>
        </w:rPr>
        <w:t>Saponins in food, </w:t>
      </w:r>
      <w:r>
        <w:rPr>
          <w:i/>
          <w:sz w:val="23"/>
        </w:rPr>
        <w:t>feedstuffs and medicinal plants.</w:t>
      </w:r>
      <w:r>
        <w:rPr>
          <w:sz w:val="23"/>
        </w:rPr>
        <w:t>Springer.</w:t>
      </w:r>
    </w:p>
    <w:p>
      <w:pPr>
        <w:pStyle w:val="BodyText"/>
        <w:spacing w:line="364" w:lineRule="auto" w:before="10"/>
        <w:ind w:left="816" w:right="118" w:hanging="701"/>
        <w:jc w:val="both"/>
      </w:pPr>
      <w:r>
        <w:rPr/>
        <w:t>CHUNG, Y.-H., ZHOU, M., HOLTSHAUSEN, L., ALEXANDER, T. W., MCALLISTER,</w:t>
      </w:r>
      <w:r>
        <w:rPr>
          <w:spacing w:val="25"/>
        </w:rPr>
        <w:t> </w:t>
      </w:r>
      <w:r>
        <w:rPr/>
        <w:t>T.</w:t>
      </w:r>
      <w:r>
        <w:rPr>
          <w:spacing w:val="22"/>
        </w:rPr>
        <w:t> </w:t>
      </w:r>
      <w:r>
        <w:rPr/>
        <w:t>A.,</w:t>
      </w:r>
      <w:r>
        <w:rPr>
          <w:spacing w:val="20"/>
        </w:rPr>
        <w:t> </w:t>
      </w:r>
      <w:r>
        <w:rPr/>
        <w:t>GUAN,</w:t>
      </w:r>
      <w:r>
        <w:rPr>
          <w:spacing w:val="22"/>
        </w:rPr>
        <w:t> </w:t>
      </w:r>
      <w:r>
        <w:rPr/>
        <w:t>L.</w:t>
      </w:r>
      <w:r>
        <w:rPr>
          <w:spacing w:val="25"/>
        </w:rPr>
        <w:t> </w:t>
      </w:r>
      <w:r>
        <w:rPr/>
        <w:t>L.,</w:t>
      </w:r>
      <w:r>
        <w:rPr>
          <w:spacing w:val="25"/>
        </w:rPr>
        <w:t> </w:t>
      </w:r>
      <w:r>
        <w:rPr/>
        <w:t>OBA,</w:t>
      </w:r>
      <w:r>
        <w:rPr>
          <w:spacing w:val="22"/>
        </w:rPr>
        <w:t> </w:t>
      </w:r>
      <w:r>
        <w:rPr/>
        <w:t>M.</w:t>
      </w:r>
      <w:r>
        <w:rPr>
          <w:spacing w:val="25"/>
        </w:rPr>
        <w:t> </w:t>
      </w:r>
      <w:r>
        <w:rPr/>
        <w:t>&amp;</w:t>
      </w:r>
      <w:r>
        <w:rPr>
          <w:spacing w:val="22"/>
        </w:rPr>
        <w:t> </w:t>
      </w:r>
      <w:r>
        <w:rPr/>
        <w:t>BEAUCHEMIN,</w:t>
      </w:r>
      <w:r>
        <w:rPr>
          <w:spacing w:val="22"/>
        </w:rPr>
        <w:t> </w:t>
      </w:r>
      <w:r>
        <w:rPr/>
        <w:t>K.</w:t>
      </w:r>
      <w:r>
        <w:rPr>
          <w:spacing w:val="17"/>
        </w:rPr>
        <w:t> </w:t>
      </w:r>
      <w:r>
        <w:rPr/>
        <w:t>A.</w:t>
      </w:r>
      <w:r>
        <w:rPr>
          <w:spacing w:val="25"/>
        </w:rPr>
        <w:t> </w:t>
      </w:r>
      <w:r>
        <w:rPr/>
        <w:t>(2012)</w:t>
      </w:r>
    </w:p>
    <w:p>
      <w:pPr>
        <w:pStyle w:val="BodyText"/>
        <w:spacing w:line="362" w:lineRule="auto" w:before="7"/>
        <w:ind w:left="816" w:right="117"/>
        <w:jc w:val="both"/>
      </w:pPr>
      <w:r>
        <w:rPr/>
        <w:t>A fibrolytic enzyme additive for lactating Holstein cow diets: Ruminal fermentation, rumen microbial populations, and enteric methane emissions.   </w:t>
      </w:r>
      <w:r>
        <w:rPr>
          <w:i/>
        </w:rPr>
        <w:t>J Dairy Sci, </w:t>
      </w:r>
      <w:r>
        <w:rPr/>
        <w:t>95</w:t>
      </w:r>
      <w:r>
        <w:rPr>
          <w:b/>
        </w:rPr>
        <w:t>,</w:t>
      </w:r>
      <w:r>
        <w:rPr>
          <w:b/>
          <w:spacing w:val="28"/>
        </w:rPr>
        <w:t> </w:t>
      </w:r>
      <w:r>
        <w:rPr/>
        <w:t>1419-1427.</w:t>
      </w:r>
    </w:p>
    <w:p>
      <w:pPr>
        <w:spacing w:after="0" w:line="362"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before="74"/>
        <w:ind w:left="115" w:right="224"/>
      </w:pPr>
      <w:r>
        <w:rPr/>
        <w:t>EL-ADAWY, M. M., SALEM, A. Z. M., BORHAMI, B. E., GADO, H. M., KHALIL, M.</w:t>
      </w:r>
    </w:p>
    <w:p>
      <w:pPr>
        <w:pStyle w:val="BodyText"/>
        <w:spacing w:line="364" w:lineRule="auto" w:before="138"/>
        <w:ind w:left="816" w:right="119"/>
        <w:jc w:val="both"/>
      </w:pPr>
      <w:r>
        <w:rPr/>
        <w:t>S. &amp; ABO-ZEID, A. (2008) In vitro cecal gas production and dry matter degradability of some browse leaves in presence  of  enzymes  from anaerobic bacterium in </w:t>
      </w:r>
      <w:r>
        <w:rPr>
          <w:spacing w:val="-3"/>
        </w:rPr>
        <w:t>NZW</w:t>
      </w:r>
      <w:r>
        <w:rPr>
          <w:spacing w:val="55"/>
        </w:rPr>
        <w:t> </w:t>
      </w:r>
      <w:r>
        <w:rPr/>
        <w:t>rabbit.</w:t>
      </w:r>
    </w:p>
    <w:p>
      <w:pPr>
        <w:pStyle w:val="BodyText"/>
        <w:spacing w:before="2"/>
        <w:ind w:left="116" w:right="224"/>
      </w:pPr>
      <w:r>
        <w:rPr/>
        <w:t>FENG, P., HUNT, C. W., PRITCHARD, G. T. &amp; JULIEN, D. W. E. (1996) Effect of</w:t>
      </w:r>
    </w:p>
    <w:p>
      <w:pPr>
        <w:spacing w:line="364" w:lineRule="auto" w:before="138"/>
        <w:ind w:left="816" w:right="117" w:firstLine="0"/>
        <w:jc w:val="both"/>
        <w:rPr>
          <w:sz w:val="23"/>
        </w:rPr>
      </w:pPr>
      <w:r>
        <w:rPr>
          <w:sz w:val="23"/>
        </w:rPr>
        <w:t>enzyme preparations on </w:t>
      </w:r>
      <w:r>
        <w:rPr>
          <w:i/>
          <w:sz w:val="23"/>
        </w:rPr>
        <w:t>in situ </w:t>
      </w:r>
      <w:r>
        <w:rPr>
          <w:sz w:val="23"/>
        </w:rPr>
        <w:t>and </w:t>
      </w:r>
      <w:r>
        <w:rPr>
          <w:i/>
          <w:sz w:val="23"/>
        </w:rPr>
        <w:t>in vitro </w:t>
      </w:r>
      <w:r>
        <w:rPr>
          <w:sz w:val="23"/>
        </w:rPr>
        <w:t>degradation and </w:t>
      </w:r>
      <w:r>
        <w:rPr>
          <w:i/>
          <w:sz w:val="23"/>
        </w:rPr>
        <w:t>in vivo </w:t>
      </w:r>
      <w:r>
        <w:rPr>
          <w:sz w:val="23"/>
        </w:rPr>
        <w:t>digestive characteristics of mature cool-season grass forage in beef steers</w:t>
      </w:r>
      <w:r>
        <w:rPr>
          <w:i/>
          <w:sz w:val="23"/>
        </w:rPr>
        <w:t>. J Anim  </w:t>
      </w:r>
      <w:r>
        <w:rPr>
          <w:i/>
          <w:sz w:val="23"/>
        </w:rPr>
        <w:t>Sci, </w:t>
      </w:r>
      <w:r>
        <w:rPr>
          <w:sz w:val="23"/>
        </w:rPr>
        <w:t>74</w:t>
      </w:r>
      <w:r>
        <w:rPr>
          <w:b/>
          <w:sz w:val="23"/>
        </w:rPr>
        <w:t>,</w:t>
      </w:r>
      <w:r>
        <w:rPr>
          <w:b/>
          <w:spacing w:val="21"/>
          <w:sz w:val="23"/>
        </w:rPr>
        <w:t> </w:t>
      </w:r>
      <w:r>
        <w:rPr>
          <w:sz w:val="23"/>
        </w:rPr>
        <w:t>1349-1357.</w:t>
      </w:r>
    </w:p>
    <w:p>
      <w:pPr>
        <w:pStyle w:val="BodyText"/>
        <w:spacing w:before="5"/>
        <w:ind w:left="116" w:right="118"/>
      </w:pPr>
      <w:r>
        <w:rPr/>
        <w:t>FRANCIS, G., KEREM, Z., MAKKAR, H. P. S. &amp; BECKER, K. (2002) The  biological</w:t>
      </w:r>
    </w:p>
    <w:p>
      <w:pPr>
        <w:spacing w:before="136"/>
        <w:ind w:left="816" w:right="0" w:firstLine="0"/>
        <w:jc w:val="both"/>
        <w:rPr>
          <w:sz w:val="23"/>
        </w:rPr>
      </w:pPr>
      <w:r>
        <w:rPr>
          <w:sz w:val="23"/>
        </w:rPr>
        <w:t>action of saponins in animal systems: a review. </w:t>
      </w:r>
      <w:r>
        <w:rPr>
          <w:i/>
          <w:sz w:val="23"/>
        </w:rPr>
        <w:t>Brit J Nutr, </w:t>
      </w:r>
      <w:r>
        <w:rPr>
          <w:sz w:val="23"/>
        </w:rPr>
        <w:t>88</w:t>
      </w:r>
      <w:r>
        <w:rPr>
          <w:b/>
          <w:sz w:val="23"/>
        </w:rPr>
        <w:t>,  </w:t>
      </w:r>
      <w:r>
        <w:rPr>
          <w:sz w:val="23"/>
        </w:rPr>
        <w:t>587-605.</w:t>
      </w:r>
    </w:p>
    <w:p>
      <w:pPr>
        <w:spacing w:line="364" w:lineRule="auto" w:before="138"/>
        <w:ind w:left="816" w:right="224" w:hanging="701"/>
        <w:jc w:val="left"/>
        <w:rPr>
          <w:sz w:val="23"/>
        </w:rPr>
      </w:pPr>
      <w:r>
        <w:rPr>
          <w:sz w:val="23"/>
        </w:rPr>
        <w:t>FRIEDICH, J. A. (1997) Protective and Regulatory Benefits of Soy.</w:t>
      </w:r>
      <w:r>
        <w:rPr>
          <w:i/>
          <w:sz w:val="23"/>
        </w:rPr>
        <w:t>Alternative and </w:t>
      </w:r>
      <w:r>
        <w:rPr>
          <w:i/>
          <w:sz w:val="23"/>
        </w:rPr>
        <w:t>Complementary Therapies, </w:t>
      </w:r>
      <w:r>
        <w:rPr>
          <w:sz w:val="23"/>
        </w:rPr>
        <w:t>3</w:t>
      </w:r>
      <w:r>
        <w:rPr>
          <w:b/>
          <w:sz w:val="23"/>
        </w:rPr>
        <w:t>, </w:t>
      </w:r>
      <w:r>
        <w:rPr>
          <w:sz w:val="23"/>
        </w:rPr>
        <w:t>53 - 58.</w:t>
      </w:r>
    </w:p>
    <w:p>
      <w:pPr>
        <w:pStyle w:val="BodyText"/>
        <w:spacing w:before="7"/>
        <w:ind w:left="115" w:right="118"/>
      </w:pPr>
      <w:r>
        <w:rPr/>
        <w:t>GADO,  H.  M.,  SALEM,  A.  Z.  M.,  ODONGO,  N.  E.  &amp;  BORHAMI,  B.  E. (2011)</w:t>
      </w:r>
    </w:p>
    <w:p>
      <w:pPr>
        <w:pStyle w:val="BodyText"/>
        <w:spacing w:line="362" w:lineRule="auto" w:before="138"/>
        <w:ind w:left="816" w:right="119"/>
        <w:jc w:val="both"/>
      </w:pPr>
      <w:r>
        <w:rPr/>
        <w:t>Influence of exogenous enzymes ensiled with orange pulp on digestion and growth performance in lambs.</w:t>
      </w:r>
      <w:r>
        <w:rPr>
          <w:i/>
        </w:rPr>
        <w:t>Anim Feed Sci Tech, </w:t>
      </w:r>
      <w:r>
        <w:rPr/>
        <w:t>165</w:t>
      </w:r>
      <w:r>
        <w:rPr>
          <w:b/>
        </w:rPr>
        <w:t>,  </w:t>
      </w:r>
      <w:r>
        <w:rPr/>
        <w:t>131-136.</w:t>
      </w:r>
    </w:p>
    <w:p>
      <w:pPr>
        <w:pStyle w:val="BodyText"/>
        <w:spacing w:line="364" w:lineRule="auto" w:before="12"/>
        <w:ind w:left="816" w:right="118" w:hanging="701"/>
        <w:jc w:val="both"/>
      </w:pPr>
      <w:r>
        <w:rPr/>
        <w:t>GARCÍA, D. E. &amp; MEDINA, M. G. (2006) Composición química, metabolitos secundarios, valor nutritivo y aceptabilidad relativa de diez  árboles  forrajeros. </w:t>
      </w:r>
      <w:r>
        <w:rPr>
          <w:i/>
        </w:rPr>
        <w:t>Zootecnia Trop, </w:t>
      </w:r>
      <w:r>
        <w:rPr/>
        <w:t>24</w:t>
      </w:r>
      <w:r>
        <w:rPr>
          <w:b/>
        </w:rPr>
        <w:t>,</w:t>
      </w:r>
      <w:r>
        <w:rPr>
          <w:b/>
          <w:spacing w:val="44"/>
        </w:rPr>
        <w:t> </w:t>
      </w:r>
      <w:r>
        <w:rPr/>
        <w:t>233-250.</w:t>
      </w:r>
    </w:p>
    <w:p>
      <w:pPr>
        <w:pStyle w:val="BodyText"/>
        <w:spacing w:before="5"/>
        <w:ind w:left="115"/>
      </w:pPr>
      <w:r>
        <w:rPr/>
        <w:t>GARCÍA, D. E., WENCOMO, H. B., GONZALEZ, M. E., MEDINA, M. G., COVA,  </w:t>
      </w:r>
      <w:r>
        <w:rPr>
          <w:spacing w:val="60"/>
        </w:rPr>
        <w:t> </w:t>
      </w:r>
      <w:r>
        <w:rPr/>
        <w:t>L.</w:t>
      </w:r>
    </w:p>
    <w:p>
      <w:pPr>
        <w:pStyle w:val="BodyText"/>
        <w:spacing w:line="364" w:lineRule="auto" w:before="138"/>
        <w:ind w:left="816" w:right="121"/>
        <w:jc w:val="both"/>
      </w:pPr>
      <w:r>
        <w:rPr/>
        <w:t>J. &amp; SPENGLER, I. (2008) Evaluación de diecinueve accesiones de Leucaena leucocephala basada en la calidad nutritiva del forraje.</w:t>
      </w:r>
      <w:r>
        <w:rPr>
          <w:i/>
        </w:rPr>
        <w:t>Zootecnia </w:t>
      </w:r>
      <w:r>
        <w:rPr>
          <w:i/>
        </w:rPr>
        <w:t>Trop, </w:t>
      </w:r>
      <w:r>
        <w:rPr/>
        <w:t>26</w:t>
      </w:r>
      <w:r>
        <w:rPr>
          <w:b/>
        </w:rPr>
        <w:t>, </w:t>
      </w:r>
      <w:r>
        <w:rPr/>
        <w:t>9-18.</w:t>
      </w:r>
    </w:p>
    <w:p>
      <w:pPr>
        <w:pStyle w:val="BodyText"/>
        <w:spacing w:before="7"/>
        <w:ind w:left="116" w:right="224"/>
      </w:pPr>
      <w:r>
        <w:rPr/>
        <w:t>GHORAI, S., BANIK, S. P., VERMA, D., CHOWDHURY, S., MUKHERJEE, S. &amp;</w:t>
      </w:r>
    </w:p>
    <w:p>
      <w:pPr>
        <w:pStyle w:val="BodyText"/>
        <w:spacing w:before="138"/>
        <w:ind w:left="816"/>
        <w:jc w:val="both"/>
      </w:pPr>
      <w:r>
        <w:rPr/>
        <w:t>KHOWALA, S.</w:t>
      </w:r>
      <w:r>
        <w:rPr>
          <w:spacing w:val="50"/>
        </w:rPr>
        <w:t> </w:t>
      </w:r>
      <w:r>
        <w:rPr/>
        <w:t>(2009)</w:t>
      </w:r>
      <w:r>
        <w:rPr>
          <w:spacing w:val="52"/>
        </w:rPr>
        <w:t> </w:t>
      </w:r>
      <w:r>
        <w:rPr/>
        <w:t>Fungal</w:t>
      </w:r>
      <w:r>
        <w:rPr>
          <w:spacing w:val="51"/>
        </w:rPr>
        <w:t> </w:t>
      </w:r>
      <w:r>
        <w:rPr/>
        <w:t>biotechnology in food</w:t>
      </w:r>
      <w:r>
        <w:rPr>
          <w:spacing w:val="50"/>
        </w:rPr>
        <w:t> </w:t>
      </w:r>
      <w:r>
        <w:rPr/>
        <w:t>and feed</w:t>
      </w:r>
      <w:r>
        <w:rPr>
          <w:spacing w:val="50"/>
        </w:rPr>
        <w:t> </w:t>
      </w:r>
      <w:r>
        <w:rPr/>
        <w:t>processing.</w:t>
      </w:r>
    </w:p>
    <w:p>
      <w:pPr>
        <w:spacing w:before="134"/>
        <w:ind w:left="816" w:right="0" w:firstLine="0"/>
        <w:jc w:val="both"/>
        <w:rPr>
          <w:sz w:val="23"/>
        </w:rPr>
      </w:pPr>
      <w:r>
        <w:rPr>
          <w:i/>
          <w:sz w:val="23"/>
        </w:rPr>
        <w:t>Food Res Int, </w:t>
      </w:r>
      <w:r>
        <w:rPr>
          <w:sz w:val="23"/>
        </w:rPr>
        <w:t>42</w:t>
      </w:r>
      <w:r>
        <w:rPr>
          <w:b/>
          <w:sz w:val="23"/>
        </w:rPr>
        <w:t>, </w:t>
      </w:r>
      <w:r>
        <w:rPr>
          <w:sz w:val="23"/>
        </w:rPr>
        <w:t>577-587.</w:t>
      </w:r>
    </w:p>
    <w:p>
      <w:pPr>
        <w:pStyle w:val="BodyText"/>
        <w:spacing w:line="364" w:lineRule="auto" w:before="143"/>
        <w:ind w:left="816" w:right="118" w:hanging="701"/>
      </w:pPr>
      <w:r>
        <w:rPr/>
        <w:t>GONZÁLEZ HUERTA, A., VÁZQUEZ GARCÍA, L. M., SAHAGÚN CASTELLANOS, J.,   RODRÍGUEZ   PÉREZ,   J.   E.   &amp;   PÉREZ   LÓPEZ,   D.   D.   J. (2007)</w:t>
      </w:r>
    </w:p>
    <w:p>
      <w:pPr>
        <w:pStyle w:val="BodyText"/>
        <w:spacing w:line="362" w:lineRule="auto" w:before="7"/>
        <w:ind w:left="816" w:right="119"/>
        <w:jc w:val="both"/>
      </w:pPr>
      <w:r>
        <w:rPr/>
        <w:t>Rendimiento del máiz de temporal y su relación con la pudrición  de  mazorca. </w:t>
      </w:r>
      <w:r>
        <w:rPr>
          <w:i/>
        </w:rPr>
        <w:t>Agric Téc Méx, </w:t>
      </w:r>
      <w:r>
        <w:rPr/>
        <w:t>33</w:t>
      </w:r>
      <w:r>
        <w:rPr>
          <w:b/>
        </w:rPr>
        <w:t>,</w:t>
      </w:r>
      <w:r>
        <w:rPr>
          <w:b/>
          <w:spacing w:val="39"/>
        </w:rPr>
        <w:t> </w:t>
      </w:r>
      <w:r>
        <w:rPr/>
        <w:t>33-42.</w:t>
      </w:r>
    </w:p>
    <w:p>
      <w:pPr>
        <w:pStyle w:val="BodyText"/>
        <w:spacing w:line="367" w:lineRule="auto" w:before="5"/>
        <w:ind w:left="816" w:right="224" w:hanging="701"/>
      </w:pPr>
      <w:r>
        <w:rPr/>
        <w:t>HAMMOND, A. C. (1995) Leucaena toxicosis and its control in ruminants.</w:t>
      </w:r>
      <w:r>
        <w:rPr>
          <w:i/>
        </w:rPr>
        <w:t>JAnim  </w:t>
      </w:r>
      <w:r>
        <w:rPr>
          <w:i/>
        </w:rPr>
        <w:t>Sci, </w:t>
      </w:r>
      <w:r>
        <w:rPr/>
        <w:t>73</w:t>
      </w:r>
      <w:r>
        <w:rPr>
          <w:b/>
        </w:rPr>
        <w:t>,</w:t>
      </w:r>
      <w:r>
        <w:rPr>
          <w:b/>
          <w:spacing w:val="21"/>
        </w:rPr>
        <w:t> </w:t>
      </w:r>
      <w:r>
        <w:rPr/>
        <w:t>1487-1492.</w:t>
      </w:r>
    </w:p>
    <w:p>
      <w:pPr>
        <w:spacing w:after="0" w:line="367" w:lineRule="auto"/>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before="74"/>
        <w:ind w:left="115" w:right="224"/>
      </w:pPr>
      <w:r>
        <w:rPr/>
        <w:t>HARIKRISHNAN, R., BALASUNDARAM, C. &amp; HEO, M.-S. (2011) Impact of plant</w:t>
      </w:r>
    </w:p>
    <w:p>
      <w:pPr>
        <w:pStyle w:val="BodyText"/>
        <w:spacing w:line="364" w:lineRule="auto" w:before="138"/>
        <w:ind w:left="816" w:right="121"/>
        <w:jc w:val="both"/>
      </w:pPr>
      <w:r>
        <w:rPr/>
        <w:t>products on innate and adaptive immune system of cultured finfish and shellfish. </w:t>
      </w:r>
      <w:r>
        <w:rPr>
          <w:i/>
        </w:rPr>
        <w:t>Aquaculture, </w:t>
      </w:r>
      <w:r>
        <w:rPr/>
        <w:t>317</w:t>
      </w:r>
      <w:r>
        <w:rPr>
          <w:b/>
        </w:rPr>
        <w:t>, </w:t>
      </w:r>
      <w:r>
        <w:rPr/>
        <w:t>1-15.</w:t>
      </w:r>
    </w:p>
    <w:p>
      <w:pPr>
        <w:pStyle w:val="BodyText"/>
        <w:spacing w:line="364" w:lineRule="auto" w:before="7"/>
        <w:ind w:left="816" w:right="118" w:hanging="701"/>
      </w:pPr>
      <w:r>
        <w:rPr/>
        <w:t>HOSTE, H., TORRES-ACOSTA, J. F., PAOLINI, V., AGUILAR-CABALLERO, A., ETTER,   E.,   LEFRILEUX,   Y.,   CHARTIER,   C.   &amp;   BROQUA,   C. (2005)</w:t>
      </w:r>
    </w:p>
    <w:p>
      <w:pPr>
        <w:pStyle w:val="BodyText"/>
        <w:spacing w:line="362" w:lineRule="auto" w:before="7"/>
        <w:ind w:left="816" w:right="118"/>
        <w:jc w:val="both"/>
      </w:pPr>
      <w:r>
        <w:rPr/>
        <w:t>Interactions between nutrition and gastrointestinal infections with parasitic nematodes in goats.</w:t>
      </w:r>
      <w:r>
        <w:rPr>
          <w:i/>
        </w:rPr>
        <w:t>Small Ruminant Res, </w:t>
      </w:r>
      <w:r>
        <w:rPr/>
        <w:t>60</w:t>
      </w:r>
      <w:r>
        <w:rPr>
          <w:b/>
        </w:rPr>
        <w:t>,</w:t>
      </w:r>
      <w:r>
        <w:rPr>
          <w:b/>
          <w:spacing w:val="62"/>
        </w:rPr>
        <w:t> </w:t>
      </w:r>
      <w:r>
        <w:rPr/>
        <w:t>141-151.</w:t>
      </w:r>
    </w:p>
    <w:p>
      <w:pPr>
        <w:pStyle w:val="BodyText"/>
        <w:tabs>
          <w:tab w:pos="2967" w:val="left" w:leader="none"/>
          <w:tab w:pos="4493" w:val="left" w:leader="none"/>
          <w:tab w:pos="6437" w:val="left" w:leader="none"/>
          <w:tab w:pos="7913" w:val="left" w:leader="none"/>
        </w:tabs>
        <w:spacing w:line="364" w:lineRule="auto" w:before="12"/>
        <w:ind w:left="816" w:right="118" w:hanging="701"/>
        <w:jc w:val="both"/>
      </w:pPr>
      <w:r>
        <w:rPr/>
        <w:t>IGECEM (2012) Instituto de Información e Investigación Geográfica, Estadística y Catastral</w:t>
        <w:tab/>
        <w:t>del</w:t>
        <w:tab/>
        <w:t>Estado</w:t>
        <w:tab/>
        <w:t>de</w:t>
        <w:tab/>
        <w:t>México. </w:t>
      </w:r>
      <w:hyperlink r:id="rId220">
        <w:r>
          <w:rPr/>
          <w:t>http://igecem.edomex.gob.mx/descargasgeograficas.html.</w:t>
        </w:r>
      </w:hyperlink>
    </w:p>
    <w:p>
      <w:pPr>
        <w:pStyle w:val="BodyText"/>
        <w:spacing w:before="5"/>
        <w:ind w:left="115" w:right="118"/>
      </w:pPr>
      <w:r>
        <w:rPr/>
        <w:t>IMIK,  H.,  TUNCER,  S.  D.,  AYLANC,  A.  &amp;  AYTAC,  M.  (2008)  Determination of</w:t>
      </w:r>
    </w:p>
    <w:p>
      <w:pPr>
        <w:pStyle w:val="BodyText"/>
        <w:spacing w:line="364" w:lineRule="auto" w:before="138"/>
        <w:ind w:left="816" w:right="120"/>
        <w:jc w:val="both"/>
      </w:pPr>
      <w:r>
        <w:rPr/>
        <w:t>some digestibility of nutrients, rumen and bloodmetabolites of Akkaraman rams fed low-tannin sorghum and other conventional feeds. </w:t>
      </w:r>
      <w:r>
        <w:rPr>
          <w:i/>
        </w:rPr>
        <w:t>Vet J Ankara </w:t>
      </w:r>
      <w:r>
        <w:rPr>
          <w:i/>
        </w:rPr>
        <w:t>Univ, </w:t>
      </w:r>
      <w:r>
        <w:rPr/>
        <w:t>55</w:t>
      </w:r>
      <w:r>
        <w:rPr>
          <w:b/>
        </w:rPr>
        <w:t>, </w:t>
      </w:r>
      <w:r>
        <w:rPr/>
        <w:t>177-182.</w:t>
      </w:r>
    </w:p>
    <w:p>
      <w:pPr>
        <w:pStyle w:val="BodyText"/>
        <w:spacing w:before="5"/>
        <w:ind w:left="115" w:right="118"/>
      </w:pPr>
      <w:r>
        <w:rPr/>
        <w:t>JACKSON,  F.  S.,  BARRY,  T.  N.,  LASCANO,  C.  &amp;  PALMER,  B.  (1996)     The</w:t>
      </w:r>
    </w:p>
    <w:p>
      <w:pPr>
        <w:pStyle w:val="BodyText"/>
        <w:spacing w:line="362" w:lineRule="auto" w:before="141"/>
        <w:ind w:left="816" w:right="121"/>
        <w:jc w:val="both"/>
      </w:pPr>
      <w:r>
        <w:rPr/>
        <w:t>Extractable and Bound Condensed Tannin Content of Leaves from Tropical Tree, Shrub and Forage Legumes. </w:t>
      </w:r>
      <w:r>
        <w:rPr>
          <w:i/>
        </w:rPr>
        <w:t>JSciFood Agr, </w:t>
      </w:r>
      <w:r>
        <w:rPr/>
        <w:t>71</w:t>
      </w:r>
      <w:r>
        <w:rPr>
          <w:b/>
        </w:rPr>
        <w:t>,  </w:t>
      </w:r>
      <w:r>
        <w:rPr/>
        <w:t>103-110.</w:t>
      </w:r>
    </w:p>
    <w:p>
      <w:pPr>
        <w:pStyle w:val="BodyText"/>
        <w:spacing w:before="12"/>
        <w:ind w:left="115" w:right="118"/>
      </w:pPr>
      <w:r>
        <w:rPr/>
        <w:t>JAMES, L. F., PANTER,  K. E., NIELSEN,  D. B. &amp;  MOLYNEUX, R.  J. (1992)   The</w:t>
      </w:r>
    </w:p>
    <w:p>
      <w:pPr>
        <w:pStyle w:val="BodyText"/>
        <w:spacing w:line="367" w:lineRule="auto" w:before="134"/>
        <w:ind w:left="816" w:right="119"/>
        <w:jc w:val="both"/>
      </w:pPr>
      <w:r>
        <w:rPr/>
        <w:t>effect of natural toxins on reproduction in livestock. </w:t>
      </w:r>
      <w:r>
        <w:rPr>
          <w:i/>
        </w:rPr>
        <w:t>JAnimSc,  </w:t>
      </w:r>
      <w:r>
        <w:rPr/>
        <w:t>70</w:t>
      </w:r>
      <w:r>
        <w:rPr>
          <w:b/>
        </w:rPr>
        <w:t>,  </w:t>
      </w:r>
      <w:r>
        <w:rPr/>
        <w:t>1573- 1579.</w:t>
      </w:r>
    </w:p>
    <w:p>
      <w:pPr>
        <w:pStyle w:val="BodyText"/>
        <w:tabs>
          <w:tab w:pos="2537" w:val="left" w:leader="none"/>
          <w:tab w:pos="2962" w:val="left" w:leader="none"/>
          <w:tab w:pos="3463" w:val="left" w:leader="none"/>
          <w:tab w:pos="4536" w:val="left" w:leader="none"/>
          <w:tab w:pos="4973" w:val="left" w:leader="none"/>
          <w:tab w:pos="5395" w:val="left" w:leader="none"/>
          <w:tab w:pos="5935" w:val="left" w:leader="none"/>
          <w:tab w:pos="8434" w:val="left" w:leader="none"/>
        </w:tabs>
        <w:spacing w:line="364" w:lineRule="auto" w:before="2"/>
        <w:ind w:left="816" w:right="118" w:hanging="701"/>
      </w:pPr>
      <w:r>
        <w:rPr/>
        <w:t>JIMÉNEZ-PERALTA,</w:t>
        <w:tab/>
        <w:t>F.</w:t>
        <w:tab/>
        <w:t>S.,</w:t>
        <w:tab/>
        <w:t>SALEM,</w:t>
        <w:tab/>
        <w:t>A.</w:t>
        <w:tab/>
        <w:t>Z.</w:t>
        <w:tab/>
        <w:t>M.,</w:t>
        <w:tab/>
        <w:t>MEJIA-HERNÁNDEZ,</w:t>
        <w:tab/>
        <w:t>P., GONZÁLEZ-RONQUILLO,  M.,  ALBARRÁN-PORTILLO,  B.,</w:t>
      </w:r>
      <w:r>
        <w:rPr>
          <w:spacing w:val="63"/>
        </w:rPr>
        <w:t> </w:t>
      </w:r>
      <w:r>
        <w:rPr/>
        <w:t>ROJO-RUBIO,</w:t>
      </w:r>
    </w:p>
    <w:p>
      <w:pPr>
        <w:pStyle w:val="BodyText"/>
        <w:spacing w:line="364" w:lineRule="auto" w:before="5"/>
        <w:ind w:left="816" w:right="119"/>
        <w:jc w:val="both"/>
      </w:pPr>
      <w:r>
        <w:rPr/>
        <w:t>R. &amp; TINOCO-JARAMILLO, J. L. (2011) Influence of individual and mixed extracts of two tree species on </w:t>
      </w:r>
      <w:r>
        <w:rPr>
          <w:i/>
        </w:rPr>
        <w:t>in vitro </w:t>
      </w:r>
      <w:r>
        <w:rPr/>
        <w:t>gas production kinetics of a high concentrate diet fed to growing lambs. </w:t>
      </w:r>
      <w:r>
        <w:rPr>
          <w:i/>
        </w:rPr>
        <w:t>Livest Sci, </w:t>
      </w:r>
      <w:r>
        <w:rPr/>
        <w:t>136</w:t>
      </w:r>
      <w:r>
        <w:rPr>
          <w:b/>
        </w:rPr>
        <w:t>,  </w:t>
      </w:r>
      <w:r>
        <w:rPr/>
        <w:t>192-200.</w:t>
      </w:r>
    </w:p>
    <w:p>
      <w:pPr>
        <w:pStyle w:val="BodyText"/>
        <w:spacing w:before="10"/>
        <w:ind w:left="115" w:right="224"/>
      </w:pPr>
      <w:r>
        <w:rPr/>
        <w:t>JOHNSON, A. E., MOLYNEUX, R. J. &amp; MERRILL, G. B. (1985) Chemistry of toxic</w:t>
      </w:r>
    </w:p>
    <w:p>
      <w:pPr>
        <w:pStyle w:val="BodyText"/>
        <w:spacing w:line="364" w:lineRule="auto" w:before="136"/>
        <w:ind w:left="816" w:right="117"/>
        <w:jc w:val="both"/>
      </w:pPr>
      <w:r>
        <w:rPr/>
        <w:t>range plants. Variation in pyrrolizidine alkaloid content of  Senecio,  Amsinckia, and Crotalaria species.</w:t>
      </w:r>
      <w:r>
        <w:rPr>
          <w:i/>
        </w:rPr>
        <w:t>J Agr Food Chem, </w:t>
      </w:r>
      <w:r>
        <w:rPr/>
        <w:t>33</w:t>
      </w:r>
      <w:r>
        <w:rPr>
          <w:b/>
        </w:rPr>
        <w:t>, </w:t>
      </w:r>
      <w:r>
        <w:rPr>
          <w:b/>
          <w:spacing w:val="6"/>
        </w:rPr>
        <w:t> </w:t>
      </w:r>
      <w:r>
        <w:rPr/>
        <w:t>50-55.</w:t>
      </w:r>
    </w:p>
    <w:p>
      <w:pPr>
        <w:spacing w:line="364" w:lineRule="auto" w:before="2"/>
        <w:ind w:left="816" w:right="224" w:hanging="701"/>
        <w:jc w:val="left"/>
        <w:rPr>
          <w:sz w:val="23"/>
        </w:rPr>
      </w:pPr>
      <w:r>
        <w:rPr>
          <w:sz w:val="23"/>
        </w:rPr>
        <w:t>KEITH, M. E. &amp; JEEJEEBHOY, K. N. (1997) Immunonutrition.</w:t>
      </w:r>
      <w:r>
        <w:rPr>
          <w:i/>
          <w:sz w:val="23"/>
        </w:rPr>
        <w:t>Baillieres Clin </w:t>
      </w:r>
      <w:r>
        <w:rPr>
          <w:i/>
          <w:sz w:val="23"/>
        </w:rPr>
        <w:t>Endocrinol Metab, </w:t>
      </w:r>
      <w:r>
        <w:rPr>
          <w:sz w:val="23"/>
        </w:rPr>
        <w:t>11</w:t>
      </w:r>
      <w:r>
        <w:rPr>
          <w:b/>
          <w:sz w:val="23"/>
        </w:rPr>
        <w:t>, </w:t>
      </w:r>
      <w:r>
        <w:rPr>
          <w:sz w:val="23"/>
        </w:rPr>
        <w:t>709-738.</w:t>
      </w:r>
    </w:p>
    <w:p>
      <w:pPr>
        <w:spacing w:after="0" w:line="364" w:lineRule="auto"/>
        <w:jc w:val="left"/>
        <w:rPr>
          <w:sz w:val="23"/>
        </w:rPr>
        <w:sectPr>
          <w:pgSz w:w="11900" w:h="16840"/>
          <w:pgMar w:header="0" w:footer="1679" w:top="1600" w:bottom="1860" w:left="1540" w:right="1520"/>
        </w:sectPr>
      </w:pPr>
    </w:p>
    <w:p>
      <w:pPr>
        <w:pStyle w:val="BodyText"/>
        <w:rPr>
          <w:sz w:val="20"/>
        </w:rPr>
      </w:pPr>
    </w:p>
    <w:p>
      <w:pPr>
        <w:pStyle w:val="BodyText"/>
        <w:spacing w:before="5"/>
        <w:rPr>
          <w:sz w:val="16"/>
        </w:rPr>
      </w:pPr>
    </w:p>
    <w:p>
      <w:pPr>
        <w:pStyle w:val="BodyText"/>
        <w:spacing w:line="367" w:lineRule="auto" w:before="74"/>
        <w:ind w:left="816" w:right="117" w:hanging="701"/>
        <w:jc w:val="both"/>
      </w:pPr>
      <w:r>
        <w:rPr/>
        <w:t>LESOURD, B. (2006) Nutritional factors and immunological ageing.</w:t>
      </w:r>
      <w:r>
        <w:rPr>
          <w:i/>
        </w:rPr>
        <w:t>PNutr Soc, </w:t>
      </w:r>
      <w:r>
        <w:rPr/>
        <w:t>65</w:t>
      </w:r>
      <w:r>
        <w:rPr>
          <w:b/>
        </w:rPr>
        <w:t>, </w:t>
      </w:r>
      <w:r>
        <w:rPr/>
        <w:t>319-325.</w:t>
      </w:r>
    </w:p>
    <w:p>
      <w:pPr>
        <w:pStyle w:val="BodyText"/>
        <w:spacing w:before="2"/>
        <w:ind w:left="116" w:right="118"/>
      </w:pPr>
      <w:r>
        <w:rPr/>
        <w:t>LEWIS, G. E., HUNT, C. W., SANCHEZ, W. K., TREACHER, R., PRITCHARD,    G.</w:t>
      </w:r>
    </w:p>
    <w:p>
      <w:pPr>
        <w:pStyle w:val="BodyText"/>
        <w:spacing w:line="364" w:lineRule="auto" w:before="138"/>
        <w:ind w:left="816" w:right="117"/>
        <w:jc w:val="both"/>
      </w:pPr>
      <w:r>
        <w:rPr/>
        <w:t>T. &amp; FENG, P. (1996) Effect of direct-fed fibrolytic enzymes on the digestive characteristics of a forage-based diet fed to beef steers. </w:t>
      </w:r>
      <w:r>
        <w:rPr>
          <w:i/>
        </w:rPr>
        <w:t>J Anim Sci, </w:t>
      </w:r>
      <w:r>
        <w:rPr/>
        <w:t>74</w:t>
      </w:r>
      <w:r>
        <w:rPr>
          <w:b/>
        </w:rPr>
        <w:t>, </w:t>
      </w:r>
      <w:r>
        <w:rPr/>
        <w:t>3020-3028.</w:t>
      </w:r>
    </w:p>
    <w:p>
      <w:pPr>
        <w:pStyle w:val="BodyText"/>
        <w:spacing w:line="364" w:lineRule="auto" w:before="2"/>
        <w:ind w:left="816" w:right="119" w:hanging="701"/>
        <w:jc w:val="both"/>
      </w:pPr>
      <w:r>
        <w:rPr/>
        <w:t>LIU, H.-W., TONG, J.-M.&amp; ZHOU, D.-W. (2011) Utilization of Chinese Herbal Feed Additives in Animal Production.</w:t>
      </w:r>
      <w:r>
        <w:rPr>
          <w:i/>
        </w:rPr>
        <w:t>Agr Sci China, </w:t>
      </w:r>
      <w:r>
        <w:rPr/>
        <w:t>10(8)</w:t>
      </w:r>
      <w:r>
        <w:rPr>
          <w:b/>
        </w:rPr>
        <w:t>,  </w:t>
      </w:r>
      <w:r>
        <w:rPr/>
        <w:t>1262-1272.</w:t>
      </w:r>
    </w:p>
    <w:p>
      <w:pPr>
        <w:pStyle w:val="BodyText"/>
        <w:spacing w:line="364" w:lineRule="auto" w:before="5"/>
        <w:ind w:left="816" w:right="118" w:hanging="701"/>
        <w:jc w:val="both"/>
      </w:pPr>
      <w:r>
        <w:rPr/>
        <w:t>LUNDBERG, P. &amp; PALO, R. T. (1993) Resource use, plant defenses, and optimal digestion in ruminants. </w:t>
      </w:r>
      <w:r>
        <w:rPr>
          <w:i/>
        </w:rPr>
        <w:t>Oikos, </w:t>
      </w:r>
      <w:r>
        <w:rPr/>
        <w:t>68</w:t>
      </w:r>
      <w:r>
        <w:rPr>
          <w:b/>
        </w:rPr>
        <w:t>, </w:t>
      </w:r>
      <w:r>
        <w:rPr/>
        <w:t>224-228.</w:t>
      </w:r>
    </w:p>
    <w:p>
      <w:pPr>
        <w:pStyle w:val="BodyText"/>
        <w:spacing w:line="364" w:lineRule="auto" w:before="7"/>
        <w:ind w:left="816" w:right="120" w:hanging="701"/>
        <w:jc w:val="both"/>
      </w:pPr>
      <w:r>
        <w:rPr/>
        <w:t>MACEY, M. G. (2007) Flow Cytometry Principles and Aplications. New Jersey, United States of America.</w:t>
      </w:r>
    </w:p>
    <w:p>
      <w:pPr>
        <w:pStyle w:val="BodyText"/>
        <w:spacing w:before="5"/>
        <w:ind w:left="116" w:right="224"/>
      </w:pPr>
      <w:r>
        <w:rPr/>
        <w:t>MAGGINI, S., WINTERGERST, E. S., BEVERIDGE, S. &amp; HORNIG, D. H. (2007)</w:t>
      </w:r>
    </w:p>
    <w:p>
      <w:pPr>
        <w:pStyle w:val="BodyText"/>
        <w:spacing w:line="364" w:lineRule="auto" w:before="138"/>
        <w:ind w:left="816" w:right="118"/>
        <w:jc w:val="both"/>
      </w:pPr>
      <w:r>
        <w:rPr/>
        <w:t>Selected vitamins and trace elements support immune function by strengthening epithelial barriers and cellular and humoral  immune  responses. </w:t>
      </w:r>
      <w:r>
        <w:rPr>
          <w:i/>
        </w:rPr>
        <w:t>Brit J Nutr, </w:t>
      </w:r>
      <w:r>
        <w:rPr/>
        <w:t>98</w:t>
      </w:r>
      <w:r>
        <w:rPr>
          <w:b/>
        </w:rPr>
        <w:t>, </w:t>
      </w:r>
      <w:r>
        <w:rPr/>
        <w:t>S29 -</w:t>
      </w:r>
      <w:r>
        <w:rPr>
          <w:spacing w:val="41"/>
        </w:rPr>
        <w:t> </w:t>
      </w:r>
      <w:r>
        <w:rPr/>
        <w:t>S35.</w:t>
      </w:r>
    </w:p>
    <w:p>
      <w:pPr>
        <w:pStyle w:val="BodyText"/>
        <w:spacing w:before="5"/>
        <w:ind w:left="116"/>
      </w:pPr>
      <w:r>
        <w:rPr/>
        <w:t>MAHGOUB,  O.,  KADIM  I,  T.,  TAGELDIN,  M.  H.,  AL  -  MARZOOQI,  </w:t>
      </w:r>
      <w:r>
        <w:rPr>
          <w:spacing w:val="6"/>
        </w:rPr>
        <w:t>W.     </w:t>
      </w:r>
      <w:r>
        <w:rPr>
          <w:spacing w:val="63"/>
        </w:rPr>
        <w:t> </w:t>
      </w:r>
      <w:r>
        <w:rPr/>
        <w:t>S.,</w:t>
      </w:r>
    </w:p>
    <w:p>
      <w:pPr>
        <w:pStyle w:val="BodyText"/>
        <w:spacing w:line="364" w:lineRule="auto" w:before="141"/>
        <w:ind w:left="816" w:right="118"/>
        <w:jc w:val="both"/>
      </w:pPr>
      <w:r>
        <w:rPr/>
        <w:t>KHALAF, S. Q. &amp; AMNBU ALI, A. (2008a) Clinical Profile of sheep fed non- conventional feeds containing phenols and condensed tannins. </w:t>
      </w:r>
      <w:r>
        <w:rPr>
          <w:i/>
        </w:rPr>
        <w:t>Small </w:t>
      </w:r>
      <w:r>
        <w:rPr>
          <w:i/>
        </w:rPr>
        <w:t>Ruminant Res, </w:t>
      </w:r>
      <w:r>
        <w:rPr/>
        <w:t>78</w:t>
      </w:r>
      <w:r>
        <w:rPr>
          <w:b/>
        </w:rPr>
        <w:t>, </w:t>
      </w:r>
      <w:r>
        <w:rPr/>
        <w:t>115- 122.</w:t>
      </w:r>
    </w:p>
    <w:p>
      <w:pPr>
        <w:pStyle w:val="BodyText"/>
        <w:spacing w:line="364" w:lineRule="auto" w:before="7"/>
        <w:ind w:left="816" w:right="118" w:hanging="701"/>
        <w:jc w:val="both"/>
      </w:pPr>
      <w:r>
        <w:rPr/>
        <w:t>MAHGOUB, O., KADIM I, T., TAGELDIN, M. H., AL - MARZOOQI,  </w:t>
      </w:r>
      <w:r>
        <w:rPr>
          <w:spacing w:val="6"/>
        </w:rPr>
        <w:t>W.  </w:t>
      </w:r>
      <w:r>
        <w:rPr/>
        <w:t>S.,  KHALAF,  S.  Q.,  AMNBU  ALI,  A.  &amp;  AL  -  AMRI,  I.  (2008b)  </w:t>
      </w:r>
      <w:r>
        <w:rPr>
          <w:spacing w:val="11"/>
        </w:rPr>
        <w:t> </w:t>
      </w:r>
      <w:r>
        <w:rPr/>
        <w:t>Pathological</w:t>
      </w:r>
    </w:p>
    <w:p>
      <w:pPr>
        <w:pStyle w:val="BodyText"/>
        <w:spacing w:line="364" w:lineRule="auto" w:before="2"/>
        <w:ind w:left="816" w:right="121"/>
        <w:jc w:val="both"/>
      </w:pPr>
      <w:r>
        <w:rPr/>
        <w:t>features in sheep fed rations containing phenols and condensed tannins. </w:t>
      </w:r>
      <w:r>
        <w:rPr>
          <w:i/>
        </w:rPr>
        <w:t>J </w:t>
      </w:r>
      <w:r>
        <w:rPr>
          <w:i/>
        </w:rPr>
        <w:t>Anim Vet Adv., </w:t>
      </w:r>
      <w:r>
        <w:rPr/>
        <w:t>7</w:t>
      </w:r>
      <w:r>
        <w:rPr>
          <w:b/>
        </w:rPr>
        <w:t>, </w:t>
      </w:r>
      <w:r>
        <w:rPr/>
        <w:t>1105 - 1109.</w:t>
      </w:r>
    </w:p>
    <w:p>
      <w:pPr>
        <w:pStyle w:val="BodyText"/>
        <w:spacing w:line="367" w:lineRule="auto" w:before="5"/>
        <w:ind w:left="816" w:right="119" w:hanging="701"/>
        <w:jc w:val="both"/>
      </w:pPr>
      <w:r>
        <w:rPr/>
        <w:t>MALIK, R. &amp; BANDLA, S. (2010) Effect of source and dose of probiotics and exogenous  fibrolytic enzymes (EFE) on intake, feed efficiency, and growth   of male buffalo (Bubalus bubalis) calves. </w:t>
      </w:r>
      <w:r>
        <w:rPr>
          <w:i/>
        </w:rPr>
        <w:t>Trop Anim HealthProd, </w:t>
      </w:r>
      <w:r>
        <w:rPr/>
        <w:t>42</w:t>
      </w:r>
      <w:r>
        <w:rPr>
          <w:b/>
        </w:rPr>
        <w:t>, </w:t>
      </w:r>
      <w:r>
        <w:rPr/>
        <w:t>1263- 1269.</w:t>
      </w:r>
    </w:p>
    <w:p>
      <w:pPr>
        <w:pStyle w:val="BodyText"/>
        <w:spacing w:line="364" w:lineRule="auto"/>
        <w:ind w:left="816" w:right="120" w:hanging="701"/>
        <w:jc w:val="both"/>
      </w:pPr>
      <w:r>
        <w:rPr/>
        <w:t>MANU, K. A. &amp; KUTTAN, G. (2007) Effect of Punarnavine, an Alkaloid from Boerhaavia  diffusa,  on  Cell-Mediated  Immune  Responses  and  TIMP-1 in</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5"/>
        <w:rPr>
          <w:sz w:val="16"/>
        </w:rPr>
      </w:pPr>
    </w:p>
    <w:p>
      <w:pPr>
        <w:spacing w:line="367" w:lineRule="auto" w:before="74"/>
        <w:ind w:left="816" w:right="120" w:firstLine="0"/>
        <w:jc w:val="both"/>
        <w:rPr>
          <w:sz w:val="23"/>
        </w:rPr>
      </w:pPr>
      <w:r>
        <w:rPr>
          <w:sz w:val="23"/>
        </w:rPr>
        <w:t>B16F-10 Metastatic Melanoma-Bearing Mice. </w:t>
      </w:r>
      <w:r>
        <w:rPr>
          <w:i/>
          <w:sz w:val="23"/>
        </w:rPr>
        <w:t>ImmunopharmImmunot, </w:t>
      </w:r>
      <w:r>
        <w:rPr>
          <w:sz w:val="23"/>
        </w:rPr>
        <w:t>29</w:t>
      </w:r>
      <w:r>
        <w:rPr>
          <w:b/>
          <w:sz w:val="23"/>
        </w:rPr>
        <w:t>, </w:t>
      </w:r>
      <w:r>
        <w:rPr>
          <w:sz w:val="23"/>
        </w:rPr>
        <w:t>569-586.</w:t>
      </w:r>
    </w:p>
    <w:p>
      <w:pPr>
        <w:pStyle w:val="BodyText"/>
        <w:spacing w:line="364" w:lineRule="auto" w:before="2"/>
        <w:ind w:left="816" w:right="120" w:hanging="701"/>
        <w:jc w:val="both"/>
      </w:pPr>
      <w:r>
        <w:rPr/>
        <w:t>MARCOS, A., NOVA, E. &amp; MONTERO, A. (2003) Changes in the immune system are conditioned by nutrition. </w:t>
      </w:r>
      <w:r>
        <w:rPr>
          <w:i/>
        </w:rPr>
        <w:t>Eur JClin Nutr, </w:t>
      </w:r>
      <w:r>
        <w:rPr/>
        <w:t>57</w:t>
      </w:r>
      <w:r>
        <w:rPr>
          <w:b/>
        </w:rPr>
        <w:t>,</w:t>
      </w:r>
      <w:r>
        <w:rPr>
          <w:b/>
          <w:spacing w:val="59"/>
        </w:rPr>
        <w:t> </w:t>
      </w:r>
      <w:r>
        <w:rPr/>
        <w:t>S66-S69.</w:t>
      </w:r>
    </w:p>
    <w:p>
      <w:pPr>
        <w:pStyle w:val="BodyText"/>
        <w:spacing w:line="364" w:lineRule="auto" w:before="5"/>
        <w:ind w:left="816" w:right="117" w:hanging="701"/>
        <w:jc w:val="both"/>
      </w:pPr>
      <w:r>
        <w:rPr/>
        <w:t>NAVAS, A., LAREDO, M. A. &amp; CUESTA, A. (1992) Evaluation of Enterolobium ciclocarpum as dietary alternative to eliminate protozoa from the  rumen.</w:t>
      </w:r>
      <w:r>
        <w:rPr>
          <w:i/>
        </w:rPr>
        <w:t>Livest Res RuralDev,</w:t>
      </w:r>
      <w:r>
        <w:rPr>
          <w:i/>
          <w:spacing w:val="36"/>
        </w:rPr>
        <w:t> </w:t>
      </w:r>
      <w:r>
        <w:rPr/>
        <w:t>4.</w:t>
      </w:r>
    </w:p>
    <w:p>
      <w:pPr>
        <w:spacing w:line="364" w:lineRule="auto" w:before="7"/>
        <w:ind w:left="816" w:right="117" w:hanging="701"/>
        <w:jc w:val="both"/>
        <w:rPr>
          <w:sz w:val="23"/>
        </w:rPr>
      </w:pPr>
      <w:r>
        <w:rPr>
          <w:sz w:val="23"/>
        </w:rPr>
        <w:t>NAYAK, S. K. (2010) Probiotics and immunity: A fish perspective. </w:t>
      </w:r>
      <w:r>
        <w:rPr>
          <w:i/>
          <w:sz w:val="23"/>
        </w:rPr>
        <w:t>Fish Shellfish </w:t>
      </w:r>
      <w:r>
        <w:rPr>
          <w:i/>
          <w:sz w:val="23"/>
        </w:rPr>
        <w:t>Immun, </w:t>
      </w:r>
      <w:r>
        <w:rPr>
          <w:sz w:val="23"/>
        </w:rPr>
        <w:t>29</w:t>
      </w:r>
      <w:r>
        <w:rPr>
          <w:b/>
          <w:sz w:val="23"/>
        </w:rPr>
        <w:t>, </w:t>
      </w:r>
      <w:r>
        <w:rPr>
          <w:sz w:val="23"/>
        </w:rPr>
        <w:t>2-14.</w:t>
      </w:r>
    </w:p>
    <w:p>
      <w:pPr>
        <w:tabs>
          <w:tab w:pos="1699" w:val="left" w:leader="none"/>
          <w:tab w:pos="3416" w:val="left" w:leader="none"/>
          <w:tab w:pos="4952" w:val="left" w:leader="none"/>
          <w:tab w:pos="6768" w:val="left" w:leader="none"/>
          <w:tab w:pos="7534" w:val="left" w:leader="none"/>
        </w:tabs>
        <w:spacing w:line="367" w:lineRule="auto" w:before="5"/>
        <w:ind w:left="116" w:right="121" w:firstLine="0"/>
        <w:jc w:val="left"/>
        <w:rPr>
          <w:sz w:val="23"/>
        </w:rPr>
      </w:pPr>
      <w:r>
        <w:rPr>
          <w:sz w:val="23"/>
        </w:rPr>
        <w:t>NRC (1985) </w:t>
      </w:r>
      <w:r>
        <w:rPr>
          <w:i/>
          <w:sz w:val="23"/>
        </w:rPr>
        <w:t>Nutrient Requirements of Domestic Animals.,</w:t>
      </w:r>
      <w:r>
        <w:rPr>
          <w:sz w:val="23"/>
        </w:rPr>
        <w:t>Washington, DC, USA. NATIONAL</w:t>
        <w:tab/>
        <w:t>RESEARCH</w:t>
        <w:tab/>
        <w:t>COUNCIL.</w:t>
        <w:tab/>
        <w:t>COMMITTEE</w:t>
        <w:tab/>
        <w:t>ON</w:t>
        <w:tab/>
        <w:t>NUTRIENT</w:t>
      </w:r>
    </w:p>
    <w:p>
      <w:pPr>
        <w:spacing w:line="367" w:lineRule="auto" w:before="0"/>
        <w:ind w:left="816" w:right="118" w:firstLine="0"/>
        <w:jc w:val="both"/>
        <w:rPr>
          <w:sz w:val="23"/>
        </w:rPr>
      </w:pPr>
      <w:r>
        <w:rPr>
          <w:sz w:val="23"/>
        </w:rPr>
        <w:t>REQUIREMENTS OF SMALL, R. (2007) </w:t>
      </w:r>
      <w:r>
        <w:rPr>
          <w:i/>
          <w:sz w:val="23"/>
        </w:rPr>
        <w:t>Nutrient Requirements of Small </w:t>
      </w:r>
      <w:r>
        <w:rPr>
          <w:i/>
          <w:sz w:val="23"/>
        </w:rPr>
        <w:t>Ruminants: Sheep, Goats, Cervids, and New World Camelids</w:t>
      </w:r>
      <w:r>
        <w:rPr>
          <w:sz w:val="23"/>
        </w:rPr>
        <w:t>, National Academies Press .</w:t>
      </w:r>
    </w:p>
    <w:p>
      <w:pPr>
        <w:pStyle w:val="BodyText"/>
        <w:spacing w:line="364" w:lineRule="auto"/>
        <w:ind w:left="816" w:right="118" w:hanging="701"/>
        <w:jc w:val="both"/>
      </w:pPr>
      <w:r>
        <w:rPr/>
        <w:t>OLAFADEHAN, O. A. (2011) Changes in haematological and  biochemical diagnostic parameters of Red Sokoto goats fed tannin-rich Pterocarpus erinaceus forage diets. </w:t>
      </w:r>
      <w:r>
        <w:rPr>
          <w:i/>
        </w:rPr>
        <w:t>Veterinarski Arhiv, </w:t>
      </w:r>
      <w:r>
        <w:rPr/>
        <w:t>81</w:t>
      </w:r>
      <w:r>
        <w:rPr>
          <w:b/>
        </w:rPr>
        <w:t>,</w:t>
      </w:r>
      <w:r>
        <w:rPr>
          <w:b/>
          <w:spacing w:val="60"/>
        </w:rPr>
        <w:t> </w:t>
      </w:r>
      <w:r>
        <w:rPr/>
        <w:t>471-483.</w:t>
      </w:r>
    </w:p>
    <w:p>
      <w:pPr>
        <w:pStyle w:val="BodyText"/>
        <w:spacing w:before="10"/>
        <w:ind w:left="116"/>
      </w:pPr>
      <w:r>
        <w:rPr/>
        <w:t>OLIVARES  PÉREZ,  J.,  JIMÉNEZ  GUILLÉN,  R.,  ROJAS  HERNÁNDEZ,  S.    </w:t>
      </w:r>
      <w:r>
        <w:rPr>
          <w:spacing w:val="52"/>
        </w:rPr>
        <w:t> </w:t>
      </w:r>
      <w:r>
        <w:rPr/>
        <w:t>&amp;</w:t>
      </w:r>
    </w:p>
    <w:p>
      <w:pPr>
        <w:pStyle w:val="BodyText"/>
        <w:spacing w:line="364" w:lineRule="auto" w:before="136"/>
        <w:ind w:left="816" w:right="118"/>
        <w:jc w:val="both"/>
      </w:pPr>
      <w:r>
        <w:rPr/>
        <w:t>MARTÍNEZ HERNÁNDEZ, P. A. (2005) Uso de las leguminosas arbustivas en los sistemas de producción animal en el trópico. </w:t>
      </w:r>
      <w:r>
        <w:rPr>
          <w:i/>
        </w:rPr>
        <w:t>Red Vet, </w:t>
      </w:r>
      <w:r>
        <w:rPr/>
        <w:t>VI</w:t>
      </w:r>
      <w:r>
        <w:rPr>
          <w:b/>
        </w:rPr>
        <w:t>, </w:t>
      </w:r>
      <w:r>
        <w:rPr>
          <w:b/>
          <w:spacing w:val="14"/>
        </w:rPr>
        <w:t> </w:t>
      </w:r>
      <w:r>
        <w:rPr/>
        <w:t>1-19.</w:t>
      </w:r>
    </w:p>
    <w:p>
      <w:pPr>
        <w:pStyle w:val="BodyText"/>
        <w:spacing w:before="7"/>
        <w:ind w:left="116" w:right="224"/>
      </w:pPr>
      <w:r>
        <w:rPr/>
        <w:t>OWUSU-ASIEDU, A., SIMMINS, P. H., BRUFAU, J., LIZARDO, R. &amp; PERÓN, A.</w:t>
      </w:r>
    </w:p>
    <w:p>
      <w:pPr>
        <w:pStyle w:val="BodyText"/>
        <w:spacing w:line="364" w:lineRule="auto" w:before="138"/>
        <w:ind w:left="816" w:right="119"/>
        <w:jc w:val="both"/>
      </w:pPr>
      <w:r>
        <w:rPr/>
        <w:t>(2010) Effect of xylanase and Î²-glucanase on growth performance and nutrient digestibility in piglets fed wheat-barley-based diets. </w:t>
      </w:r>
      <w:r>
        <w:rPr>
          <w:i/>
        </w:rPr>
        <w:t>Livest Sci, </w:t>
      </w:r>
      <w:r>
        <w:rPr/>
        <w:t>134</w:t>
      </w:r>
      <w:r>
        <w:rPr>
          <w:b/>
        </w:rPr>
        <w:t>, </w:t>
      </w:r>
      <w:r>
        <w:rPr/>
        <w:t>76-78.</w:t>
      </w:r>
    </w:p>
    <w:p>
      <w:pPr>
        <w:pStyle w:val="BodyText"/>
        <w:spacing w:line="367" w:lineRule="auto" w:before="2"/>
        <w:ind w:left="816" w:right="118" w:hanging="701"/>
        <w:jc w:val="both"/>
      </w:pPr>
      <w:r>
        <w:rPr/>
        <w:t>PINOS-RODRıGUEZ, J. M., GONZÁLEZ, S. S., MENDOZA, G. D., BÁRCENA, R., COBOS,  M.  A.,  HERNÁNDEZ,  A.  &amp;  ORTEGA,  M.  E.  (2002)  Effect     of</w:t>
      </w:r>
    </w:p>
    <w:p>
      <w:pPr>
        <w:pStyle w:val="BodyText"/>
        <w:spacing w:line="364" w:lineRule="auto"/>
        <w:ind w:left="816" w:right="120"/>
        <w:jc w:val="both"/>
      </w:pPr>
      <w:r>
        <w:rPr/>
        <w:t>exogenous fibrolytic enzyme on ruminal fermentation and digestibility of  alfalfa and rye-grass hay fed to lambs. </w:t>
      </w:r>
      <w:r>
        <w:rPr>
          <w:i/>
        </w:rPr>
        <w:t>J. Anim. Sci, </w:t>
      </w:r>
      <w:r>
        <w:rPr/>
        <w:t>80</w:t>
      </w:r>
      <w:r>
        <w:rPr>
          <w:b/>
        </w:rPr>
        <w:t>, </w:t>
      </w:r>
      <w:r>
        <w:rPr/>
        <w:t>3016 - </w:t>
      </w:r>
      <w:r>
        <w:rPr>
          <w:spacing w:val="7"/>
        </w:rPr>
        <w:t> </w:t>
      </w:r>
      <w:r>
        <w:rPr/>
        <w:t>3020.</w:t>
      </w:r>
    </w:p>
    <w:p>
      <w:pPr>
        <w:pStyle w:val="BodyText"/>
        <w:spacing w:before="5"/>
        <w:ind w:left="116" w:right="224"/>
      </w:pPr>
      <w:r>
        <w:rPr/>
        <w:t>PRESS, J. B., REYNOLDS, R. C., MAY, R. D., MARCIANI, D. J. &amp; ATTA UR, R.</w:t>
      </w:r>
    </w:p>
    <w:p>
      <w:pPr>
        <w:pStyle w:val="BodyText"/>
        <w:spacing w:before="136"/>
        <w:ind w:left="816"/>
        <w:jc w:val="both"/>
      </w:pPr>
      <w:r>
        <w:rPr/>
        <w:t>(2000)   Structure/function   relationships   of   immunostimulating  </w:t>
      </w:r>
      <w:r>
        <w:rPr>
          <w:spacing w:val="52"/>
        </w:rPr>
        <w:t> </w:t>
      </w:r>
      <w:r>
        <w:rPr/>
        <w:t>saponins.</w:t>
      </w:r>
    </w:p>
    <w:p>
      <w:pPr>
        <w:spacing w:before="138"/>
        <w:ind w:left="816" w:right="0" w:firstLine="0"/>
        <w:jc w:val="both"/>
        <w:rPr>
          <w:sz w:val="23"/>
        </w:rPr>
      </w:pPr>
      <w:r>
        <w:rPr>
          <w:i/>
          <w:sz w:val="23"/>
        </w:rPr>
        <w:t>Studies in Natural Products Chemistry.</w:t>
      </w:r>
      <w:r>
        <w:rPr>
          <w:i/>
          <w:spacing w:val="51"/>
          <w:sz w:val="23"/>
        </w:rPr>
        <w:t> </w:t>
      </w:r>
      <w:r>
        <w:rPr>
          <w:sz w:val="23"/>
        </w:rPr>
        <w:t>Elsevier.</w:t>
      </w:r>
    </w:p>
    <w:p>
      <w:pPr>
        <w:spacing w:after="0"/>
        <w:jc w:val="both"/>
        <w:rPr>
          <w:sz w:val="23"/>
        </w:rPr>
        <w:sectPr>
          <w:footerReference w:type="default" r:id="rId221"/>
          <w:pgSz w:w="11900" w:h="16840"/>
          <w:pgMar w:footer="1679" w:header="0" w:top="1600" w:bottom="1860" w:left="1540" w:right="1520"/>
          <w:pgNumType w:start="120"/>
        </w:sectPr>
      </w:pPr>
    </w:p>
    <w:p>
      <w:pPr>
        <w:pStyle w:val="BodyText"/>
        <w:rPr>
          <w:sz w:val="20"/>
        </w:rPr>
      </w:pPr>
    </w:p>
    <w:p>
      <w:pPr>
        <w:pStyle w:val="BodyText"/>
        <w:spacing w:before="7"/>
        <w:rPr>
          <w:sz w:val="16"/>
        </w:rPr>
      </w:pPr>
    </w:p>
    <w:p>
      <w:pPr>
        <w:pStyle w:val="BodyText"/>
        <w:spacing w:before="74"/>
        <w:ind w:left="115" w:right="118"/>
      </w:pPr>
      <w:r>
        <w:rPr/>
        <w:t>PRESTON,  T.  R.,  RODRÍGUEZ,  L.  &amp; VAN LAI,  N.  (2005)  El follaje de la    yuca</w:t>
      </w:r>
    </w:p>
    <w:p>
      <w:pPr>
        <w:spacing w:line="364" w:lineRule="auto" w:before="138"/>
        <w:ind w:left="816" w:right="116" w:firstLine="0"/>
        <w:jc w:val="both"/>
        <w:rPr>
          <w:sz w:val="23"/>
        </w:rPr>
      </w:pPr>
      <w:r>
        <w:rPr>
          <w:sz w:val="23"/>
        </w:rPr>
        <w:t>(Manihot esculenta Cranz) como fuente de proteína para la producción  animal en sistemas agroforestales. </w:t>
      </w:r>
      <w:r>
        <w:rPr>
          <w:i/>
          <w:sz w:val="23"/>
        </w:rPr>
        <w:t>In Conferencia electrónica de la FAO </w:t>
      </w:r>
      <w:r>
        <w:rPr>
          <w:i/>
          <w:sz w:val="23"/>
        </w:rPr>
        <w:t>sobre “Agroforestería para la producción animal en Latinoamérica”.</w:t>
      </w:r>
      <w:r>
        <w:rPr>
          <w:sz w:val="23"/>
        </w:rPr>
        <w:t>Vietnam: UTA Foundation, College of Agriculture and Forestry Thu Duc, </w:t>
      </w:r>
      <w:r>
        <w:rPr>
          <w:spacing w:val="12"/>
          <w:sz w:val="23"/>
        </w:rPr>
        <w:t> </w:t>
      </w:r>
      <w:r>
        <w:rPr>
          <w:sz w:val="23"/>
        </w:rPr>
        <w:t>sf.</w:t>
      </w:r>
    </w:p>
    <w:p>
      <w:pPr>
        <w:pStyle w:val="BodyText"/>
        <w:spacing w:line="362" w:lineRule="auto" w:before="7"/>
        <w:ind w:left="816" w:right="224" w:hanging="701"/>
      </w:pPr>
      <w:r>
        <w:rPr/>
        <w:t>PROVENZA, F. D. (1995) Postingestive Feedback  as an Elementary Determinant  of Food Preference and Intake in Ruminants. </w:t>
      </w:r>
      <w:r>
        <w:rPr>
          <w:i/>
        </w:rPr>
        <w:t>J Range Manage, </w:t>
      </w:r>
      <w:r>
        <w:rPr/>
        <w:t>48</w:t>
      </w:r>
      <w:r>
        <w:rPr>
          <w:b/>
        </w:rPr>
        <w:t>, </w:t>
      </w:r>
      <w:r>
        <w:rPr/>
        <w:t>2 - </w:t>
      </w:r>
      <w:r>
        <w:rPr>
          <w:spacing w:val="21"/>
        </w:rPr>
        <w:t> </w:t>
      </w:r>
      <w:r>
        <w:rPr/>
        <w:t>17.</w:t>
      </w:r>
    </w:p>
    <w:p>
      <w:pPr>
        <w:pStyle w:val="BodyText"/>
        <w:spacing w:before="12"/>
        <w:ind w:left="116" w:right="118"/>
      </w:pPr>
      <w:r>
        <w:rPr/>
        <w:t>PROVENZA,   F.   D.,   BURRITT,   E.   A.,   CLAUSEN,   T.   P.,   BRYANT,   J.  P.,</w:t>
      </w:r>
    </w:p>
    <w:p>
      <w:pPr>
        <w:pStyle w:val="BodyText"/>
        <w:spacing w:line="364" w:lineRule="auto" w:before="136"/>
        <w:ind w:left="816" w:right="120"/>
        <w:jc w:val="both"/>
      </w:pPr>
      <w:r>
        <w:rPr/>
        <w:t>REICHARDT, P. B. &amp; DISTEL, R. A. (1990) Conditioned flavor aversion: a mechanism for goats to avoid condensed tannins  in  blackbrush.  </w:t>
      </w:r>
      <w:r>
        <w:rPr>
          <w:i/>
        </w:rPr>
        <w:t>AmNat, </w:t>
      </w:r>
      <w:r>
        <w:rPr/>
        <w:t>136</w:t>
      </w:r>
      <w:r>
        <w:rPr>
          <w:b/>
        </w:rPr>
        <w:t>, </w:t>
      </w:r>
      <w:r>
        <w:rPr/>
        <w:t>810-828.</w:t>
      </w:r>
    </w:p>
    <w:p>
      <w:pPr>
        <w:pStyle w:val="BodyText"/>
        <w:spacing w:before="7"/>
        <w:ind w:left="116" w:right="118"/>
      </w:pPr>
      <w:r>
        <w:rPr/>
        <w:t>PROVENZA,  F.  D.,  BURRITT,  E.  A.,  PEREVOLOTSKY,  A.  &amp;  SILANIKOVE, N.</w:t>
      </w:r>
    </w:p>
    <w:p>
      <w:pPr>
        <w:pStyle w:val="BodyText"/>
        <w:spacing w:line="364" w:lineRule="auto" w:before="138"/>
        <w:ind w:left="816" w:right="121"/>
        <w:jc w:val="both"/>
      </w:pPr>
      <w:r>
        <w:rPr/>
        <w:t>(2000) Self-regulation of intake of polyethylene glycol by sheep fed diets varying in tannin concentrations. </w:t>
      </w:r>
      <w:r>
        <w:rPr>
          <w:i/>
        </w:rPr>
        <w:t>J Anim Sci, </w:t>
      </w:r>
      <w:r>
        <w:rPr/>
        <w:t>78</w:t>
      </w:r>
      <w:r>
        <w:rPr>
          <w:b/>
        </w:rPr>
        <w:t>,  </w:t>
      </w:r>
      <w:r>
        <w:rPr/>
        <w:t>1206-1212.</w:t>
      </w:r>
    </w:p>
    <w:p>
      <w:pPr>
        <w:pStyle w:val="BodyText"/>
        <w:spacing w:line="364" w:lineRule="auto" w:before="5"/>
        <w:ind w:left="816" w:right="119" w:hanging="701"/>
        <w:jc w:val="both"/>
      </w:pPr>
      <w:r>
        <w:rPr/>
        <w:t>PROVENZA, F. D. &amp; VILLALBA, J. J. (2010) The role of natural plant products in modulating the immune system: An adaptable approach for combating disease in grazing animals. </w:t>
      </w:r>
      <w:r>
        <w:rPr>
          <w:i/>
        </w:rPr>
        <w:t>Small RuminanRes, </w:t>
      </w:r>
      <w:r>
        <w:rPr/>
        <w:t>89</w:t>
      </w:r>
      <w:r>
        <w:rPr>
          <w:b/>
        </w:rPr>
        <w:t>,  </w:t>
      </w:r>
      <w:r>
        <w:rPr/>
        <w:t>131-139.</w:t>
      </w:r>
    </w:p>
    <w:p>
      <w:pPr>
        <w:pStyle w:val="BodyText"/>
        <w:tabs>
          <w:tab w:pos="2818" w:val="left" w:leader="none"/>
          <w:tab w:pos="3276" w:val="left" w:leader="none"/>
          <w:tab w:pos="3787" w:val="left" w:leader="none"/>
          <w:tab w:pos="4879" w:val="left" w:leader="none"/>
          <w:tab w:pos="5311" w:val="left" w:leader="none"/>
          <w:tab w:pos="5834" w:val="left" w:leader="none"/>
          <w:tab w:pos="7365" w:val="left" w:leader="none"/>
          <w:tab w:pos="7877" w:val="left" w:leader="none"/>
        </w:tabs>
        <w:spacing w:line="364" w:lineRule="auto" w:before="10"/>
        <w:ind w:left="816" w:right="117" w:hanging="701"/>
      </w:pPr>
      <w:r>
        <w:rPr/>
        <w:t>RAMIREZ-RESTREPO,</w:t>
        <w:tab/>
        <w:t>C.</w:t>
        <w:tab/>
        <w:t>A.,</w:t>
        <w:tab/>
        <w:t>BARRY,</w:t>
        <w:tab/>
        <w:t>T.</w:t>
        <w:tab/>
        <w:t>N.,</w:t>
        <w:tab/>
        <w:t>MARRINER,</w:t>
        <w:tab/>
        <w:t>A.,</w:t>
        <w:tab/>
        <w:t>LOPEZ- VILLALOBOS,</w:t>
      </w:r>
      <w:r>
        <w:rPr>
          <w:spacing w:val="23"/>
        </w:rPr>
        <w:t> </w:t>
      </w:r>
      <w:r>
        <w:rPr/>
        <w:t>N.,</w:t>
      </w:r>
      <w:r>
        <w:rPr>
          <w:spacing w:val="25"/>
        </w:rPr>
        <w:t> </w:t>
      </w:r>
      <w:r>
        <w:rPr/>
        <w:t>MCWILLIAM,</w:t>
      </w:r>
      <w:r>
        <w:rPr>
          <w:spacing w:val="23"/>
        </w:rPr>
        <w:t> </w:t>
      </w:r>
      <w:r>
        <w:rPr/>
        <w:t>E.</w:t>
      </w:r>
      <w:r>
        <w:rPr>
          <w:spacing w:val="23"/>
        </w:rPr>
        <w:t> </w:t>
      </w:r>
      <w:r>
        <w:rPr/>
        <w:t>L.,</w:t>
      </w:r>
      <w:r>
        <w:rPr>
          <w:spacing w:val="23"/>
        </w:rPr>
        <w:t> </w:t>
      </w:r>
      <w:r>
        <w:rPr/>
        <w:t>LASSEY,</w:t>
      </w:r>
      <w:r>
        <w:rPr>
          <w:spacing w:val="25"/>
        </w:rPr>
        <w:t> </w:t>
      </w:r>
      <w:r>
        <w:rPr/>
        <w:t>K.</w:t>
      </w:r>
      <w:r>
        <w:rPr>
          <w:spacing w:val="23"/>
        </w:rPr>
        <w:t> </w:t>
      </w:r>
      <w:r>
        <w:rPr/>
        <w:t>R.</w:t>
      </w:r>
      <w:r>
        <w:rPr>
          <w:spacing w:val="23"/>
        </w:rPr>
        <w:t> </w:t>
      </w:r>
      <w:r>
        <w:rPr/>
        <w:t>&amp;</w:t>
      </w:r>
      <w:r>
        <w:rPr>
          <w:spacing w:val="26"/>
        </w:rPr>
        <w:t> </w:t>
      </w:r>
      <w:r>
        <w:rPr/>
        <w:t>CLARK,</w:t>
      </w:r>
      <w:r>
        <w:rPr>
          <w:spacing w:val="21"/>
        </w:rPr>
        <w:t> </w:t>
      </w:r>
      <w:r>
        <w:rPr/>
        <w:t>H.</w:t>
      </w:r>
      <w:r>
        <w:rPr>
          <w:spacing w:val="25"/>
        </w:rPr>
        <w:t> </w:t>
      </w:r>
      <w:r>
        <w:rPr/>
        <w:t>(2010)</w:t>
      </w:r>
    </w:p>
    <w:p>
      <w:pPr>
        <w:pStyle w:val="BodyText"/>
        <w:spacing w:line="364" w:lineRule="auto" w:before="5"/>
        <w:ind w:left="816" w:right="122"/>
        <w:jc w:val="both"/>
      </w:pPr>
      <w:r>
        <w:rPr/>
        <w:t>Effects of grazing willow fodder blocks upon methane production and blood composition in young sheep. </w:t>
      </w:r>
      <w:r>
        <w:rPr>
          <w:i/>
        </w:rPr>
        <w:t>Anim Feed SciTech, </w:t>
      </w:r>
      <w:r>
        <w:rPr/>
        <w:t>155</w:t>
      </w:r>
      <w:r>
        <w:rPr>
          <w:b/>
        </w:rPr>
        <w:t>,  </w:t>
      </w:r>
      <w:r>
        <w:rPr/>
        <w:t>33-43.</w:t>
      </w:r>
    </w:p>
    <w:p>
      <w:pPr>
        <w:pStyle w:val="BodyText"/>
        <w:spacing w:before="7"/>
        <w:ind w:left="116"/>
      </w:pPr>
      <w:r>
        <w:rPr/>
        <w:t>RAMOS,   G.,  FRUTOS,   P.,  RUIZ,   M.   Á.  &amp;   GARCÍA,   F.  J.   G.   (1998)   Los</w:t>
      </w:r>
    </w:p>
    <w:p>
      <w:pPr>
        <w:pStyle w:val="BodyText"/>
        <w:spacing w:before="138"/>
        <w:ind w:left="816"/>
        <w:jc w:val="both"/>
      </w:pPr>
      <w:r>
        <w:rPr/>
        <w:t>compuestos  secundarios de las plantas  en la nutrición de  los     hervíboros.</w:t>
      </w:r>
    </w:p>
    <w:p>
      <w:pPr>
        <w:spacing w:before="136"/>
        <w:ind w:left="816" w:right="0" w:firstLine="0"/>
        <w:jc w:val="both"/>
        <w:rPr>
          <w:sz w:val="23"/>
        </w:rPr>
      </w:pPr>
      <w:r>
        <w:rPr>
          <w:i/>
          <w:sz w:val="23"/>
        </w:rPr>
        <w:t>Arch Zootec, </w:t>
      </w:r>
      <w:r>
        <w:rPr>
          <w:sz w:val="23"/>
        </w:rPr>
        <w:t>47</w:t>
      </w:r>
      <w:r>
        <w:rPr>
          <w:b/>
          <w:sz w:val="23"/>
        </w:rPr>
        <w:t>, </w:t>
      </w:r>
      <w:r>
        <w:rPr>
          <w:sz w:val="23"/>
        </w:rPr>
        <w:t>1.</w:t>
      </w:r>
    </w:p>
    <w:p>
      <w:pPr>
        <w:pStyle w:val="BodyText"/>
        <w:spacing w:line="369" w:lineRule="auto" w:before="136"/>
        <w:ind w:left="816" w:right="224" w:hanging="701"/>
      </w:pPr>
      <w:r>
        <w:rPr/>
        <w:t>RAO, A. V. &amp; SUNG, M. K. (1995) Saponins as anticarcinogens.</w:t>
      </w:r>
      <w:r>
        <w:rPr>
          <w:i/>
        </w:rPr>
        <w:t>J Nutr, </w:t>
      </w:r>
      <w:r>
        <w:rPr/>
        <w:t>125</w:t>
      </w:r>
      <w:r>
        <w:rPr>
          <w:b/>
        </w:rPr>
        <w:t>, </w:t>
      </w:r>
      <w:r>
        <w:rPr/>
        <w:t>717S- 724S.</w:t>
      </w:r>
    </w:p>
    <w:p>
      <w:pPr>
        <w:pStyle w:val="BodyText"/>
        <w:spacing w:line="364" w:lineRule="auto"/>
        <w:ind w:left="816" w:right="224" w:hanging="701"/>
      </w:pPr>
      <w:r>
        <w:rPr/>
        <w:t>REED, J. D. (1995) Nutritional toxicology of tannins and related polyphenols in forage legumes.</w:t>
      </w:r>
      <w:r>
        <w:rPr>
          <w:i/>
        </w:rPr>
        <w:t>J Anim Sci, </w:t>
      </w:r>
      <w:r>
        <w:rPr/>
        <w:t>73</w:t>
      </w:r>
      <w:r>
        <w:rPr>
          <w:b/>
        </w:rPr>
        <w:t>, </w:t>
      </w:r>
      <w:r>
        <w:rPr/>
        <w:t>1516-1528.</w:t>
      </w:r>
    </w:p>
    <w:p>
      <w:pPr>
        <w:spacing w:line="364" w:lineRule="auto" w:before="2"/>
        <w:ind w:left="816" w:right="224" w:hanging="701"/>
        <w:jc w:val="left"/>
        <w:rPr>
          <w:sz w:val="23"/>
        </w:rPr>
      </w:pPr>
      <w:r>
        <w:rPr>
          <w:sz w:val="23"/>
        </w:rPr>
        <w:t>REINHARD, K.-H.(1998) </w:t>
      </w:r>
      <w:r>
        <w:rPr>
          <w:i/>
          <w:sz w:val="23"/>
        </w:rPr>
        <w:t>Uncaria tomentosa  </w:t>
      </w:r>
      <w:r>
        <w:rPr>
          <w:sz w:val="23"/>
        </w:rPr>
        <w:t>(Willd.)DC: cat's claw,  Uña de Gato,  or Saventaro. </w:t>
      </w:r>
      <w:r>
        <w:rPr>
          <w:i/>
          <w:sz w:val="23"/>
        </w:rPr>
        <w:t>J Altern Complement Med, </w:t>
      </w:r>
      <w:r>
        <w:rPr>
          <w:sz w:val="23"/>
        </w:rPr>
        <w:t>5</w:t>
      </w:r>
      <w:r>
        <w:rPr>
          <w:b/>
          <w:sz w:val="23"/>
        </w:rPr>
        <w:t>,</w:t>
      </w:r>
      <w:r>
        <w:rPr>
          <w:b/>
          <w:spacing w:val="56"/>
          <w:sz w:val="23"/>
        </w:rPr>
        <w:t> </w:t>
      </w:r>
      <w:r>
        <w:rPr>
          <w:sz w:val="23"/>
        </w:rPr>
        <w:t>143-151.</w:t>
      </w:r>
    </w:p>
    <w:p>
      <w:pPr>
        <w:spacing w:after="0" w:line="364" w:lineRule="auto"/>
        <w:jc w:val="left"/>
        <w:rPr>
          <w:sz w:val="23"/>
        </w:rPr>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line="364" w:lineRule="auto" w:before="74"/>
        <w:ind w:left="816" w:right="224" w:hanging="701"/>
      </w:pPr>
      <w:r>
        <w:rPr/>
        <w:t>RIVERO, N., SALEM, A. Z. M., GADO, H. M., GONZALEZ-RONQUILLO, M., PLIEGO, A. B., PEÃ±UELAS, C. G. P. U. C. G. &amp; ODONGO, N. E. (2012)</w:t>
      </w:r>
    </w:p>
    <w:p>
      <w:pPr>
        <w:pStyle w:val="BodyText"/>
        <w:spacing w:line="364" w:lineRule="auto" w:before="5"/>
        <w:ind w:left="816" w:right="117"/>
        <w:jc w:val="both"/>
      </w:pPr>
      <w:r>
        <w:rPr/>
        <w:t>Effect of exogenous enzymes and Salix babylonica extract or their combination on haematological parameters in growing lambs. </w:t>
      </w:r>
      <w:r>
        <w:rPr>
          <w:i/>
        </w:rPr>
        <w:t>JAnimFeed  </w:t>
      </w:r>
      <w:r>
        <w:rPr>
          <w:i/>
        </w:rPr>
        <w:t>Sci, </w:t>
      </w:r>
      <w:r>
        <w:rPr/>
        <w:t>21</w:t>
      </w:r>
      <w:r>
        <w:rPr>
          <w:b/>
        </w:rPr>
        <w:t>,</w:t>
      </w:r>
      <w:r>
        <w:rPr>
          <w:b/>
          <w:spacing w:val="17"/>
        </w:rPr>
        <w:t> </w:t>
      </w:r>
      <w:r>
        <w:rPr/>
        <w:t>577-586.</w:t>
      </w:r>
    </w:p>
    <w:p>
      <w:pPr>
        <w:pStyle w:val="BodyText"/>
        <w:spacing w:before="10"/>
        <w:ind w:left="115" w:right="224"/>
      </w:pPr>
      <w:r>
        <w:rPr/>
        <w:t>ROBBINS, C. T., MOLE, S., HAGERMAN, A. E. &amp; HANLEY, T. A. (1987) Role of</w:t>
      </w:r>
    </w:p>
    <w:p>
      <w:pPr>
        <w:pStyle w:val="BodyText"/>
        <w:spacing w:line="364" w:lineRule="auto" w:before="136"/>
        <w:ind w:left="816" w:right="117"/>
        <w:jc w:val="both"/>
      </w:pPr>
      <w:r>
        <w:rPr/>
        <w:t>tannins in defending plants against ruminants: reduction in dry matter digestion? </w:t>
      </w:r>
      <w:r>
        <w:rPr>
          <w:i/>
        </w:rPr>
        <w:t>Ecology, </w:t>
      </w:r>
      <w:r>
        <w:rPr/>
        <w:t>68</w:t>
      </w:r>
      <w:r>
        <w:rPr>
          <w:b/>
        </w:rPr>
        <w:t>, </w:t>
      </w:r>
      <w:r>
        <w:rPr/>
        <w:t>1606-1615.</w:t>
      </w:r>
    </w:p>
    <w:p>
      <w:pPr>
        <w:pStyle w:val="BodyText"/>
        <w:spacing w:line="364" w:lineRule="auto" w:before="5"/>
        <w:ind w:left="816" w:right="118" w:hanging="701"/>
      </w:pPr>
      <w:r>
        <w:rPr/>
        <w:t>ROIGE, M. B. &amp; TAPIA, M. O. (1996) Efecto de algunos tóxicos de origen vegetal y fúngico en el rumen. </w:t>
      </w:r>
      <w:r>
        <w:rPr>
          <w:i/>
        </w:rPr>
        <w:t>Arch Med Vet, </w:t>
      </w:r>
      <w:r>
        <w:rPr/>
        <w:t>28</w:t>
      </w:r>
      <w:r>
        <w:rPr>
          <w:b/>
        </w:rPr>
        <w:t>,</w:t>
      </w:r>
      <w:r>
        <w:rPr>
          <w:b/>
          <w:spacing w:val="50"/>
        </w:rPr>
        <w:t> </w:t>
      </w:r>
      <w:r>
        <w:rPr/>
        <w:t>5-16.</w:t>
      </w:r>
    </w:p>
    <w:p>
      <w:pPr>
        <w:pStyle w:val="BodyText"/>
        <w:tabs>
          <w:tab w:pos="3663" w:val="left" w:leader="none"/>
          <w:tab w:pos="4155" w:val="left" w:leader="none"/>
          <w:tab w:pos="6684" w:val="left" w:leader="none"/>
          <w:tab w:pos="7190" w:val="left" w:leader="none"/>
        </w:tabs>
        <w:spacing w:line="364" w:lineRule="auto" w:before="7"/>
        <w:ind w:left="816" w:right="117" w:hanging="701"/>
      </w:pPr>
      <w:r>
        <w:rPr/>
        <w:t>ROJO-RUBIO, R., MENDOZA-MARTINEZ, G. D., MONTAÑEZ-VALDEZ, </w:t>
      </w:r>
      <w:r>
        <w:rPr>
          <w:spacing w:val="-3"/>
        </w:rPr>
        <w:t>O. </w:t>
      </w:r>
      <w:r>
        <w:rPr/>
        <w:t>D., REBOLLAR-REBOLLAR,</w:t>
        <w:tab/>
        <w:t>S.,</w:t>
        <w:tab/>
        <w:t>CARDOSO-JIMENEZ,</w:t>
        <w:tab/>
        <w:t>D.,</w:t>
        <w:tab/>
        <w:t>HERNANDEZ-</w:t>
      </w:r>
    </w:p>
    <w:p>
      <w:pPr>
        <w:spacing w:line="364" w:lineRule="auto" w:before="5"/>
        <w:ind w:left="816" w:right="118" w:firstLine="0"/>
        <w:jc w:val="both"/>
        <w:rPr>
          <w:sz w:val="23"/>
        </w:rPr>
      </w:pPr>
      <w:r>
        <w:rPr>
          <w:sz w:val="23"/>
        </w:rPr>
        <w:t>MARTINEZ, J. &amp; GONZALEZ-RAZO, F. J. (2007) Enzimas amiloliticas exogenas en la alimentación de rumiantes. </w:t>
      </w:r>
      <w:r>
        <w:rPr>
          <w:i/>
          <w:sz w:val="23"/>
        </w:rPr>
        <w:t>Universidad y Ciencia Tropico </w:t>
      </w:r>
      <w:r>
        <w:rPr>
          <w:i/>
          <w:sz w:val="23"/>
        </w:rPr>
        <w:t>Humedo., </w:t>
      </w:r>
      <w:r>
        <w:rPr>
          <w:sz w:val="23"/>
        </w:rPr>
        <w:t>23</w:t>
      </w:r>
      <w:r>
        <w:rPr>
          <w:b/>
          <w:sz w:val="23"/>
        </w:rPr>
        <w:t>, </w:t>
      </w:r>
      <w:r>
        <w:rPr>
          <w:sz w:val="23"/>
        </w:rPr>
        <w:t>173-182.</w:t>
      </w:r>
    </w:p>
    <w:p>
      <w:pPr>
        <w:pStyle w:val="BodyText"/>
        <w:spacing w:before="10"/>
        <w:ind w:left="116" w:right="118"/>
      </w:pPr>
      <w:r>
        <w:rPr/>
        <w:t>SALEM, A. Z. M., EL-ADAWY, M., GADO, H., CAMACHO, L. M., RONQUILLO,  M.,</w:t>
      </w:r>
    </w:p>
    <w:p>
      <w:pPr>
        <w:pStyle w:val="BodyText"/>
        <w:spacing w:line="364" w:lineRule="auto" w:before="136"/>
        <w:ind w:left="816" w:right="117"/>
        <w:jc w:val="both"/>
      </w:pPr>
      <w:r>
        <w:rPr/>
        <w:t>ALSERSY, H. &amp; BORHAMI, B. (2011a) Effects of exogenous enzymes on nutrients digestibility and growth performance in sheep and goats.</w:t>
      </w:r>
      <w:r>
        <w:rPr>
          <w:i/>
        </w:rPr>
        <w:t>Trop. </w:t>
      </w:r>
      <w:r>
        <w:rPr>
          <w:i/>
        </w:rPr>
        <w:t>Subtrop. Agroecosyst, </w:t>
      </w:r>
      <w:r>
        <w:rPr/>
        <w:t>14</w:t>
      </w:r>
      <w:r>
        <w:rPr>
          <w:b/>
        </w:rPr>
        <w:t>, </w:t>
      </w:r>
      <w:r>
        <w:rPr/>
        <w:t>867- 874.</w:t>
      </w:r>
    </w:p>
    <w:p>
      <w:pPr>
        <w:pStyle w:val="BodyText"/>
        <w:spacing w:before="7"/>
        <w:ind w:left="116" w:right="118"/>
      </w:pPr>
      <w:r>
        <w:rPr/>
        <w:t>SALEM, A. Z. M., GADO, H. M.,  COLOMBATTO, D.  &amp; ELGHANDOUR, M.    M.  Y.</w:t>
      </w:r>
    </w:p>
    <w:p>
      <w:pPr>
        <w:pStyle w:val="BodyText"/>
        <w:spacing w:line="364" w:lineRule="auto" w:before="138"/>
        <w:ind w:left="816" w:right="121"/>
        <w:jc w:val="both"/>
      </w:pPr>
      <w:r>
        <w:rPr/>
        <w:t>(2013 ) Effects of exogenous enzymes on nutrient digestibility, ruminal fermentation and growth performance in beef steers. </w:t>
      </w:r>
      <w:r>
        <w:rPr>
          <w:i/>
        </w:rPr>
        <w:t>LivestSci, </w:t>
      </w:r>
      <w:r>
        <w:rPr/>
        <w:t>154</w:t>
      </w:r>
      <w:r>
        <w:rPr>
          <w:b/>
        </w:rPr>
        <w:t>,  </w:t>
      </w:r>
      <w:r>
        <w:rPr/>
        <w:t>69-73.</w:t>
      </w:r>
    </w:p>
    <w:p>
      <w:pPr>
        <w:pStyle w:val="BodyText"/>
        <w:spacing w:before="7"/>
        <w:ind w:left="116" w:right="224"/>
      </w:pPr>
      <w:r>
        <w:rPr/>
        <w:t>SALEM, A. Z. M., HASSAN, A. A., KHALIL, M. S., GADO, H. M., ALSERSY, H. &amp;</w:t>
      </w:r>
    </w:p>
    <w:p>
      <w:pPr>
        <w:spacing w:line="364" w:lineRule="auto" w:before="138"/>
        <w:ind w:left="816" w:right="117" w:firstLine="0"/>
        <w:jc w:val="both"/>
        <w:rPr>
          <w:sz w:val="23"/>
        </w:rPr>
      </w:pPr>
      <w:r>
        <w:rPr>
          <w:sz w:val="23"/>
        </w:rPr>
        <w:t>SIMBAYA, J. (2012) Effects of sun-drying and exogenous enzymes on nutrients intake, digestibility and nitrogen utilization in sheep fed </w:t>
      </w:r>
      <w:r>
        <w:rPr>
          <w:i/>
          <w:sz w:val="23"/>
        </w:rPr>
        <w:t>Atriplex </w:t>
      </w:r>
      <w:r>
        <w:rPr>
          <w:i/>
          <w:sz w:val="23"/>
        </w:rPr>
        <w:t>halimus </w:t>
      </w:r>
      <w:r>
        <w:rPr>
          <w:sz w:val="23"/>
        </w:rPr>
        <w:t>foliages. </w:t>
      </w:r>
      <w:r>
        <w:rPr>
          <w:i/>
          <w:sz w:val="23"/>
        </w:rPr>
        <w:t>Anim Feed Sci Technol, </w:t>
      </w:r>
      <w:r>
        <w:rPr>
          <w:sz w:val="23"/>
        </w:rPr>
        <w:t>171</w:t>
      </w:r>
      <w:r>
        <w:rPr>
          <w:b/>
          <w:sz w:val="23"/>
        </w:rPr>
        <w:t>, </w:t>
      </w:r>
      <w:r>
        <w:rPr>
          <w:sz w:val="23"/>
        </w:rPr>
        <w:t>128-  135.</w:t>
      </w:r>
    </w:p>
    <w:p>
      <w:pPr>
        <w:pStyle w:val="BodyText"/>
        <w:spacing w:line="367" w:lineRule="auto" w:before="5"/>
        <w:ind w:left="816" w:right="118" w:hanging="701"/>
      </w:pPr>
      <w:r>
        <w:rPr/>
        <w:t>SALEM, A. Z. M., OLIVARES, M., LOPEZ, S., GONZALEZ-RONQUILLO, M., R. ROJO,  CAMACHO,  L.  M.,  CERRILLO,  S.  M.  A.  &amp; MEJIA,  H. P. (2011b)</w:t>
      </w:r>
    </w:p>
    <w:p>
      <w:pPr>
        <w:pStyle w:val="BodyText"/>
        <w:spacing w:line="364" w:lineRule="auto"/>
        <w:ind w:left="816" w:right="118"/>
        <w:jc w:val="both"/>
      </w:pPr>
      <w:r>
        <w:rPr/>
        <w:t>Effect of natural extracts of Salix babylonica and Leucaena leucocephala on nutrient digestibility and growth performance of lambs. </w:t>
      </w:r>
      <w:r>
        <w:rPr>
          <w:i/>
        </w:rPr>
        <w:t>Anim Feed Sci </w:t>
      </w:r>
      <w:r>
        <w:rPr>
          <w:i/>
        </w:rPr>
        <w:t>Technol, </w:t>
      </w:r>
      <w:r>
        <w:rPr/>
        <w:t>170</w:t>
      </w:r>
      <w:r>
        <w:rPr>
          <w:b/>
        </w:rPr>
        <w:t>, </w:t>
      </w:r>
      <w:r>
        <w:rPr/>
        <w:t>27- 34.</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before="74"/>
        <w:ind w:left="115" w:right="224"/>
      </w:pPr>
      <w:r>
        <w:rPr/>
        <w:t>SALEM, A. Z. M., ROBINSON, P. H., EL-ADAWY, M. M. &amp; HASSAN, A. A. (2007)</w:t>
      </w:r>
    </w:p>
    <w:p>
      <w:pPr>
        <w:pStyle w:val="BodyText"/>
        <w:spacing w:line="364" w:lineRule="auto" w:before="138"/>
        <w:ind w:left="816" w:right="120"/>
        <w:jc w:val="both"/>
      </w:pPr>
      <w:r>
        <w:rPr/>
        <w:t>In vitro fermentation and microbial protein synthesis of some browse tree leaves with or without addition of polyethylene glycol. </w:t>
      </w:r>
      <w:r>
        <w:rPr>
          <w:i/>
        </w:rPr>
        <w:t>Anim  Feed  </w:t>
      </w:r>
      <w:r>
        <w:rPr>
          <w:i/>
        </w:rPr>
        <w:t>SciTechnol, </w:t>
      </w:r>
      <w:r>
        <w:rPr/>
        <w:t>138</w:t>
      </w:r>
      <w:r>
        <w:rPr>
          <w:b/>
        </w:rPr>
        <w:t>,</w:t>
      </w:r>
      <w:r>
        <w:rPr>
          <w:b/>
          <w:spacing w:val="28"/>
        </w:rPr>
        <w:t> </w:t>
      </w:r>
      <w:r>
        <w:rPr/>
        <w:t>318-330.</w:t>
      </w:r>
    </w:p>
    <w:p>
      <w:pPr>
        <w:pStyle w:val="BodyText"/>
        <w:spacing w:before="5"/>
        <w:ind w:left="116" w:right="224"/>
      </w:pPr>
      <w:r>
        <w:rPr/>
        <w:t>SALEM, A. Z. M., ROBINSON, P. H., LÓPEZ, S., GOHAR,</w:t>
      </w:r>
      <w:r>
        <w:rPr>
          <w:spacing w:val="53"/>
        </w:rPr>
        <w:t> </w:t>
      </w:r>
      <w:r>
        <w:rPr>
          <w:spacing w:val="-3"/>
        </w:rPr>
        <w:t>Y.</w:t>
      </w:r>
      <w:r>
        <w:rPr>
          <w:spacing w:val="50"/>
        </w:rPr>
        <w:t> </w:t>
      </w:r>
      <w:r>
        <w:rPr/>
        <w:t>M., ROJO, R. &amp;</w:t>
      </w:r>
    </w:p>
    <w:p>
      <w:pPr>
        <w:pStyle w:val="BodyText"/>
        <w:spacing w:line="364" w:lineRule="auto" w:before="141"/>
        <w:ind w:left="816" w:right="118"/>
        <w:jc w:val="both"/>
      </w:pPr>
      <w:r>
        <w:rPr/>
        <w:t>TINOCO, J. L. (2010) Sensitivity of sheep intestinal lactic acid bacteria to secondary compounds extracted from Acacia saligna leaves. </w:t>
      </w:r>
      <w:r>
        <w:rPr>
          <w:i/>
        </w:rPr>
        <w:t>Anim Feed Sci </w:t>
      </w:r>
      <w:r>
        <w:rPr>
          <w:i/>
        </w:rPr>
        <w:t>Technol, </w:t>
      </w:r>
      <w:r>
        <w:rPr/>
        <w:t>161</w:t>
      </w:r>
      <w:r>
        <w:rPr>
          <w:b/>
        </w:rPr>
        <w:t>, </w:t>
      </w:r>
      <w:r>
        <w:rPr/>
        <w:t>85 - 93.</w:t>
      </w:r>
    </w:p>
    <w:p>
      <w:pPr>
        <w:pStyle w:val="BodyText"/>
        <w:spacing w:before="5"/>
        <w:ind w:left="116"/>
      </w:pPr>
      <w:r>
        <w:rPr/>
        <w:t>SALEM,</w:t>
      </w:r>
      <w:r>
        <w:rPr>
          <w:spacing w:val="58"/>
        </w:rPr>
        <w:t> </w:t>
      </w:r>
      <w:r>
        <w:rPr/>
        <w:t>A.</w:t>
      </w:r>
      <w:r>
        <w:rPr>
          <w:spacing w:val="56"/>
        </w:rPr>
        <w:t> </w:t>
      </w:r>
      <w:r>
        <w:rPr/>
        <w:t>Z.</w:t>
      </w:r>
      <w:r>
        <w:rPr>
          <w:spacing w:val="56"/>
        </w:rPr>
        <w:t> </w:t>
      </w:r>
      <w:r>
        <w:rPr/>
        <w:t>M.,</w:t>
      </w:r>
      <w:r>
        <w:rPr>
          <w:spacing w:val="56"/>
        </w:rPr>
        <w:t> </w:t>
      </w:r>
      <w:r>
        <w:rPr/>
        <w:t>SALEM,</w:t>
      </w:r>
      <w:r>
        <w:rPr>
          <w:spacing w:val="58"/>
        </w:rPr>
        <w:t> </w:t>
      </w:r>
      <w:r>
        <w:rPr/>
        <w:t>M.</w:t>
      </w:r>
      <w:r>
        <w:rPr>
          <w:spacing w:val="58"/>
        </w:rPr>
        <w:t> </w:t>
      </w:r>
      <w:r>
        <w:rPr/>
        <w:t>Z.</w:t>
      </w:r>
      <w:r>
        <w:rPr>
          <w:spacing w:val="58"/>
        </w:rPr>
        <w:t> </w:t>
      </w:r>
      <w:r>
        <w:rPr/>
        <w:t>M.,</w:t>
      </w:r>
      <w:r>
        <w:rPr>
          <w:spacing w:val="56"/>
        </w:rPr>
        <w:t> </w:t>
      </w:r>
      <w:r>
        <w:rPr/>
        <w:t>EL-ADAWY,</w:t>
      </w:r>
      <w:r>
        <w:rPr>
          <w:spacing w:val="56"/>
        </w:rPr>
        <w:t> </w:t>
      </w:r>
      <w:r>
        <w:rPr/>
        <w:t>M.</w:t>
      </w:r>
      <w:r>
        <w:rPr>
          <w:spacing w:val="58"/>
        </w:rPr>
        <w:t> </w:t>
      </w:r>
      <w:r>
        <w:rPr/>
        <w:t>M.</w:t>
      </w:r>
      <w:r>
        <w:rPr>
          <w:spacing w:val="56"/>
        </w:rPr>
        <w:t> </w:t>
      </w:r>
      <w:r>
        <w:rPr/>
        <w:t>&amp;</w:t>
      </w:r>
      <w:r>
        <w:rPr>
          <w:spacing w:val="59"/>
        </w:rPr>
        <w:t> </w:t>
      </w:r>
      <w:r>
        <w:rPr/>
        <w:t>ROBINSON,</w:t>
      </w:r>
      <w:r>
        <w:rPr>
          <w:spacing w:val="58"/>
        </w:rPr>
        <w:t> </w:t>
      </w:r>
      <w:r>
        <w:rPr/>
        <w:t>P.</w:t>
      </w:r>
      <w:r>
        <w:rPr>
          <w:spacing w:val="56"/>
        </w:rPr>
        <w:t> </w:t>
      </w:r>
      <w:r>
        <w:rPr/>
        <w:t>H.</w:t>
      </w:r>
    </w:p>
    <w:p>
      <w:pPr>
        <w:pStyle w:val="BodyText"/>
        <w:spacing w:line="364" w:lineRule="auto" w:before="138"/>
        <w:ind w:left="816" w:right="117"/>
        <w:jc w:val="both"/>
      </w:pPr>
      <w:r>
        <w:rPr/>
        <w:t>(2006) Nutritive evaluations of some browse tree foliages during the dry season: Secondary compounds, feed intake and in vivo digestibility in sheep and goats. </w:t>
      </w:r>
      <w:r>
        <w:rPr>
          <w:i/>
        </w:rPr>
        <w:t>Anim Feed Sci Technol, </w:t>
      </w:r>
      <w:r>
        <w:rPr/>
        <w:t>127</w:t>
      </w:r>
      <w:r>
        <w:rPr>
          <w:b/>
        </w:rPr>
        <w:t>,</w:t>
      </w:r>
      <w:r>
        <w:rPr>
          <w:b/>
          <w:spacing w:val="57"/>
        </w:rPr>
        <w:t> </w:t>
      </w:r>
      <w:r>
        <w:rPr/>
        <w:t>251-267.</w:t>
      </w:r>
    </w:p>
    <w:p>
      <w:pPr>
        <w:pStyle w:val="BodyText"/>
        <w:spacing w:before="7"/>
        <w:ind w:left="116"/>
      </w:pPr>
      <w:r>
        <w:rPr/>
        <w:t>SAS,  I.  (2002)  SAS  User´s  Guide:  Statistics.  Ver  9.0.  IN  INSTITUTE,  S. (Ed.).</w:t>
      </w:r>
    </w:p>
    <w:p>
      <w:pPr>
        <w:pStyle w:val="BodyText"/>
        <w:spacing w:before="138"/>
        <w:ind w:left="816"/>
        <w:jc w:val="both"/>
      </w:pPr>
      <w:r>
        <w:rPr/>
        <w:t>Cary, N.C. USA.</w:t>
      </w:r>
    </w:p>
    <w:p>
      <w:pPr>
        <w:pStyle w:val="BodyText"/>
        <w:spacing w:before="134"/>
        <w:ind w:left="116" w:right="224"/>
        <w:rPr>
          <w:i/>
        </w:rPr>
      </w:pPr>
      <w:r>
        <w:rPr/>
        <w:t>SAVINO, W. (2002) The thymus gland is a target in malnutrition. </w:t>
      </w:r>
      <w:r>
        <w:rPr>
          <w:i/>
        </w:rPr>
        <w:t>Eur J Clin Nutr,</w:t>
      </w:r>
    </w:p>
    <w:p>
      <w:pPr>
        <w:pStyle w:val="BodyText"/>
        <w:spacing w:before="141"/>
        <w:ind w:left="816"/>
        <w:jc w:val="both"/>
      </w:pPr>
      <w:r>
        <w:rPr/>
        <w:t>56</w:t>
      </w:r>
      <w:r>
        <w:rPr>
          <w:b/>
        </w:rPr>
        <w:t>, </w:t>
      </w:r>
      <w:r>
        <w:rPr/>
        <w:t>S46-9.</w:t>
      </w:r>
    </w:p>
    <w:p>
      <w:pPr>
        <w:pStyle w:val="BodyText"/>
        <w:spacing w:before="138"/>
        <w:ind w:left="116"/>
      </w:pPr>
      <w:r>
        <w:rPr/>
        <w:t>SHEKHAR,  C.,  THAKUR,  S.  S.  &amp;  SHELKE,  S.  K.  (2010)  Effect  of</w:t>
      </w:r>
      <w:r>
        <w:rPr>
          <w:spacing w:val="62"/>
        </w:rPr>
        <w:t> </w:t>
      </w:r>
      <w:r>
        <w:rPr/>
        <w:t>exogenous</w:t>
      </w:r>
    </w:p>
    <w:p>
      <w:pPr>
        <w:pStyle w:val="BodyText"/>
        <w:spacing w:line="362" w:lineRule="auto" w:before="141"/>
        <w:ind w:left="816" w:right="120"/>
        <w:jc w:val="both"/>
      </w:pPr>
      <w:r>
        <w:rPr/>
        <w:t>fibrolytic enzymes supplementation on milk production and  nutrient  utilization in Murrah buffaloes.</w:t>
      </w:r>
      <w:r>
        <w:rPr>
          <w:i/>
        </w:rPr>
        <w:t>Trop Anim Health Prod., </w:t>
      </w:r>
      <w:r>
        <w:rPr/>
        <w:t>42</w:t>
      </w:r>
      <w:r>
        <w:rPr>
          <w:b/>
        </w:rPr>
        <w:t>, </w:t>
      </w:r>
      <w:r>
        <w:rPr/>
        <w:t>1365 - </w:t>
      </w:r>
      <w:r>
        <w:rPr>
          <w:spacing w:val="13"/>
        </w:rPr>
        <w:t> </w:t>
      </w:r>
      <w:r>
        <w:rPr/>
        <w:t>1470.</w:t>
      </w:r>
    </w:p>
    <w:p>
      <w:pPr>
        <w:pStyle w:val="BodyText"/>
        <w:spacing w:before="10"/>
        <w:ind w:left="116" w:right="118"/>
      </w:pPr>
      <w:r>
        <w:rPr/>
        <w:t>SILANIKOVE, N., GILBOA, N., PEREVOLOTSKY, A. &amp;  NITSAN, Z. (1996)    Goats</w:t>
      </w:r>
    </w:p>
    <w:p>
      <w:pPr>
        <w:spacing w:line="364" w:lineRule="auto" w:before="136"/>
        <w:ind w:left="816" w:right="122" w:firstLine="0"/>
        <w:jc w:val="both"/>
        <w:rPr>
          <w:sz w:val="23"/>
        </w:rPr>
      </w:pPr>
      <w:r>
        <w:rPr>
          <w:sz w:val="23"/>
        </w:rPr>
        <w:t>fed tannin-containing leaves do not exhibit toxic syndromes. </w:t>
      </w:r>
      <w:r>
        <w:rPr>
          <w:i/>
          <w:sz w:val="23"/>
        </w:rPr>
        <w:t>Small Ruminan </w:t>
      </w:r>
      <w:r>
        <w:rPr>
          <w:i/>
          <w:sz w:val="23"/>
        </w:rPr>
        <w:t>Res, </w:t>
      </w:r>
      <w:r>
        <w:rPr>
          <w:sz w:val="23"/>
        </w:rPr>
        <w:t>21</w:t>
      </w:r>
      <w:r>
        <w:rPr>
          <w:b/>
          <w:sz w:val="23"/>
        </w:rPr>
        <w:t>, </w:t>
      </w:r>
      <w:r>
        <w:rPr>
          <w:sz w:val="23"/>
        </w:rPr>
        <w:t>195-201.</w:t>
      </w:r>
    </w:p>
    <w:p>
      <w:pPr>
        <w:pStyle w:val="BodyText"/>
        <w:spacing w:before="7"/>
        <w:ind w:left="116" w:right="224"/>
      </w:pPr>
      <w:r>
        <w:rPr/>
        <w:t>SINGER, M. D., ROBINSON, P. H., SALEM, A. Z. M. &amp; DEPETERS, E. J. (2008)</w:t>
      </w:r>
    </w:p>
    <w:p>
      <w:pPr>
        <w:pStyle w:val="BodyText"/>
        <w:spacing w:line="364" w:lineRule="auto" w:before="138"/>
        <w:ind w:left="816" w:right="117"/>
        <w:jc w:val="both"/>
      </w:pPr>
      <w:r>
        <w:rPr/>
        <w:t>Impacts of rumen fluid modified by feeding Yucca schidigera to lactating  dairy cows on in vitro gas production of 11 common dairy feedstuffs, as well as animal performance. </w:t>
      </w:r>
      <w:r>
        <w:rPr>
          <w:i/>
        </w:rPr>
        <w:t>Anim Feed Sci Technol, </w:t>
      </w:r>
      <w:r>
        <w:rPr/>
        <w:t>146</w:t>
      </w:r>
      <w:r>
        <w:rPr>
          <w:b/>
        </w:rPr>
        <w:t>, </w:t>
      </w:r>
      <w:r>
        <w:rPr>
          <w:b/>
          <w:spacing w:val="8"/>
        </w:rPr>
        <w:t> </w:t>
      </w:r>
      <w:r>
        <w:rPr/>
        <w:t>242-258.</w:t>
      </w:r>
    </w:p>
    <w:p>
      <w:pPr>
        <w:pStyle w:val="BodyText"/>
        <w:spacing w:before="5"/>
        <w:ind w:left="116"/>
      </w:pPr>
      <w:r>
        <w:rPr/>
        <w:t>SJOLANDER,</w:t>
      </w:r>
      <w:r>
        <w:rPr>
          <w:spacing w:val="52"/>
        </w:rPr>
        <w:t> </w:t>
      </w:r>
      <w:r>
        <w:rPr/>
        <w:t>A.,</w:t>
      </w:r>
      <w:r>
        <w:rPr>
          <w:spacing w:val="52"/>
        </w:rPr>
        <w:t> </w:t>
      </w:r>
      <w:r>
        <w:rPr/>
        <w:t>COX,</w:t>
      </w:r>
      <w:r>
        <w:rPr>
          <w:spacing w:val="52"/>
        </w:rPr>
        <w:t> </w:t>
      </w:r>
      <w:r>
        <w:rPr/>
        <w:t>J.</w:t>
      </w:r>
      <w:r>
        <w:rPr>
          <w:spacing w:val="52"/>
        </w:rPr>
        <w:t> </w:t>
      </w:r>
      <w:r>
        <w:rPr/>
        <w:t>C.</w:t>
      </w:r>
      <w:r>
        <w:rPr>
          <w:spacing w:val="52"/>
        </w:rPr>
        <w:t> </w:t>
      </w:r>
      <w:r>
        <w:rPr/>
        <w:t>&amp;</w:t>
      </w:r>
      <w:r>
        <w:rPr>
          <w:spacing w:val="52"/>
        </w:rPr>
        <w:t> </w:t>
      </w:r>
      <w:r>
        <w:rPr/>
        <w:t>BARR,</w:t>
      </w:r>
      <w:r>
        <w:rPr>
          <w:spacing w:val="52"/>
        </w:rPr>
        <w:t> </w:t>
      </w:r>
      <w:r>
        <w:rPr/>
        <w:t>I.</w:t>
      </w:r>
      <w:r>
        <w:rPr>
          <w:spacing w:val="54"/>
        </w:rPr>
        <w:t> </w:t>
      </w:r>
      <w:r>
        <w:rPr/>
        <w:t>G.</w:t>
      </w:r>
      <w:r>
        <w:rPr>
          <w:spacing w:val="52"/>
        </w:rPr>
        <w:t> </w:t>
      </w:r>
      <w:r>
        <w:rPr/>
        <w:t>(1998)</w:t>
      </w:r>
      <w:r>
        <w:rPr>
          <w:spacing w:val="51"/>
        </w:rPr>
        <w:t> </w:t>
      </w:r>
      <w:r>
        <w:rPr/>
        <w:t>ISCOMs:</w:t>
      </w:r>
      <w:r>
        <w:rPr>
          <w:spacing w:val="54"/>
        </w:rPr>
        <w:t> </w:t>
      </w:r>
      <w:r>
        <w:rPr/>
        <w:t>an</w:t>
      </w:r>
      <w:r>
        <w:rPr>
          <w:spacing w:val="52"/>
        </w:rPr>
        <w:t> </w:t>
      </w:r>
      <w:r>
        <w:rPr/>
        <w:t>adjuvant</w:t>
      </w:r>
      <w:r>
        <w:rPr>
          <w:spacing w:val="54"/>
        </w:rPr>
        <w:t> </w:t>
      </w:r>
      <w:r>
        <w:rPr/>
        <w:t>with</w:t>
      </w:r>
    </w:p>
    <w:p>
      <w:pPr>
        <w:spacing w:before="138"/>
        <w:ind w:left="816" w:right="0" w:firstLine="0"/>
        <w:jc w:val="both"/>
        <w:rPr>
          <w:sz w:val="23"/>
        </w:rPr>
      </w:pPr>
      <w:r>
        <w:rPr>
          <w:sz w:val="23"/>
        </w:rPr>
        <w:t>multiple functions. </w:t>
      </w:r>
      <w:r>
        <w:rPr>
          <w:i/>
          <w:sz w:val="23"/>
        </w:rPr>
        <w:t>J Leukocyte Biol, </w:t>
      </w:r>
      <w:r>
        <w:rPr>
          <w:sz w:val="23"/>
        </w:rPr>
        <w:t>64</w:t>
      </w:r>
      <w:r>
        <w:rPr>
          <w:b/>
          <w:sz w:val="23"/>
        </w:rPr>
        <w:t>,</w:t>
      </w:r>
      <w:r>
        <w:rPr>
          <w:b/>
          <w:spacing w:val="51"/>
          <w:sz w:val="23"/>
        </w:rPr>
        <w:t> </w:t>
      </w:r>
      <w:r>
        <w:rPr>
          <w:sz w:val="23"/>
        </w:rPr>
        <w:t>713-723.</w:t>
      </w:r>
    </w:p>
    <w:p>
      <w:pPr>
        <w:spacing w:line="364" w:lineRule="auto" w:before="136"/>
        <w:ind w:left="816" w:right="224" w:hanging="701"/>
        <w:jc w:val="left"/>
        <w:rPr>
          <w:sz w:val="23"/>
        </w:rPr>
      </w:pPr>
      <w:r>
        <w:rPr>
          <w:sz w:val="23"/>
        </w:rPr>
        <w:t>SMITH, B. P. (2007) </w:t>
      </w:r>
      <w:r>
        <w:rPr>
          <w:i/>
          <w:sz w:val="23"/>
        </w:rPr>
        <w:t>Large Animal Internal Medicine</w:t>
      </w:r>
      <w:r>
        <w:rPr>
          <w:sz w:val="23"/>
        </w:rPr>
        <w:t>, Elsevier Science Health Science Division.</w:t>
      </w:r>
    </w:p>
    <w:p>
      <w:pPr>
        <w:spacing w:after="0" w:line="364" w:lineRule="auto"/>
        <w:jc w:val="left"/>
        <w:rPr>
          <w:sz w:val="23"/>
        </w:rPr>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before="74"/>
        <w:ind w:left="115" w:right="118"/>
      </w:pPr>
      <w:r>
        <w:rPr/>
        <w:t>SOSA,  R.,  EDGAR  ENRIQUE,  PÉREZ,  R.,  DEMETRIO,  ORTEGA,  R.,  LUIS &amp;</w:t>
      </w:r>
    </w:p>
    <w:p>
      <w:pPr>
        <w:pStyle w:val="BodyText"/>
        <w:spacing w:line="364" w:lineRule="auto" w:before="138"/>
        <w:ind w:left="816" w:right="120"/>
        <w:jc w:val="both"/>
      </w:pPr>
      <w:r>
        <w:rPr/>
        <w:t>ZAPATA, B., GONZALO (2004) Evaluación del potencial  forrajero  de árboles y arbustos tropicales para la alimentación de ovinos. </w:t>
      </w:r>
      <w:r>
        <w:rPr>
          <w:i/>
        </w:rPr>
        <w:t>Téc Pecu Méx, </w:t>
      </w:r>
      <w:r>
        <w:rPr/>
        <w:t>42</w:t>
      </w:r>
      <w:r>
        <w:rPr>
          <w:b/>
        </w:rPr>
        <w:t>,</w:t>
      </w:r>
      <w:r>
        <w:rPr>
          <w:b/>
          <w:spacing w:val="13"/>
        </w:rPr>
        <w:t> </w:t>
      </w:r>
      <w:r>
        <w:rPr/>
        <w:t>129-144.</w:t>
      </w:r>
    </w:p>
    <w:p>
      <w:pPr>
        <w:pStyle w:val="BodyText"/>
        <w:spacing w:line="364" w:lineRule="auto" w:before="5"/>
        <w:ind w:left="816" w:right="122" w:hanging="701"/>
        <w:jc w:val="both"/>
      </w:pPr>
      <w:r>
        <w:rPr/>
        <w:t>SUN, H.-X., XIE, Y. &amp; YE, Y.-P.(2009) Advances in saponin-based adjuvants.</w:t>
      </w:r>
      <w:r>
        <w:rPr>
          <w:i/>
        </w:rPr>
        <w:t>Vaccine, </w:t>
      </w:r>
      <w:r>
        <w:rPr/>
        <w:t>27</w:t>
      </w:r>
      <w:r>
        <w:rPr>
          <w:b/>
        </w:rPr>
        <w:t>, </w:t>
      </w:r>
      <w:r>
        <w:rPr/>
        <w:t>1787-1796.</w:t>
      </w:r>
    </w:p>
    <w:p>
      <w:pPr>
        <w:pStyle w:val="BodyText"/>
        <w:spacing w:before="5"/>
        <w:ind w:left="116" w:right="224"/>
      </w:pPr>
      <w:r>
        <w:rPr/>
        <w:t>SUN, H., CHEN, L., WANG, J., WANG, K. &amp; ZHOU, J. (2011) Structure - function</w:t>
      </w:r>
    </w:p>
    <w:p>
      <w:pPr>
        <w:pStyle w:val="BodyText"/>
        <w:spacing w:line="362" w:lineRule="auto" w:before="141"/>
        <w:ind w:left="816" w:right="119"/>
        <w:jc w:val="both"/>
      </w:pPr>
      <w:r>
        <w:rPr/>
        <w:t>relationship of the saponins from the roots of Platycodon grandiflorum for hemolytic and adjuvant activity. </w:t>
      </w:r>
      <w:r>
        <w:rPr>
          <w:i/>
        </w:rPr>
        <w:t>Int Immunopharmacol, </w:t>
      </w:r>
      <w:r>
        <w:rPr/>
        <w:t>11</w:t>
      </w:r>
      <w:r>
        <w:rPr>
          <w:b/>
        </w:rPr>
        <w:t>,  </w:t>
      </w:r>
      <w:r>
        <w:rPr/>
        <w:t>2047-2056.</w:t>
      </w:r>
    </w:p>
    <w:p>
      <w:pPr>
        <w:pStyle w:val="BodyText"/>
        <w:spacing w:before="10"/>
        <w:ind w:left="116" w:right="118"/>
      </w:pPr>
      <w:r>
        <w:rPr/>
        <w:t>TORRES-ACOSTA, J. F., ALONSO, D. M. Á., HOSTE, H., SANDOVAL, C. C. A.   &amp;</w:t>
      </w:r>
    </w:p>
    <w:p>
      <w:pPr>
        <w:pStyle w:val="BodyText"/>
        <w:spacing w:line="364" w:lineRule="auto" w:before="138"/>
        <w:ind w:left="816" w:right="117"/>
        <w:jc w:val="both"/>
      </w:pPr>
      <w:r>
        <w:rPr/>
        <w:t>AGUILAR, C. J. (2008) Efectos negativos y positivos del consumo  de  forrajes ricos en taninos en la producción de caprinos. </w:t>
      </w:r>
      <w:r>
        <w:rPr>
          <w:i/>
        </w:rPr>
        <w:t>Trop Subtropi </w:t>
      </w:r>
      <w:r>
        <w:rPr>
          <w:i/>
        </w:rPr>
        <w:t>Agroecosyst, </w:t>
      </w:r>
      <w:r>
        <w:rPr/>
        <w:t>9</w:t>
      </w:r>
      <w:r>
        <w:rPr>
          <w:b/>
        </w:rPr>
        <w:t>, </w:t>
      </w:r>
      <w:r>
        <w:rPr/>
        <w:t>83 -</w:t>
      </w:r>
      <w:r>
        <w:rPr>
          <w:spacing w:val="27"/>
        </w:rPr>
        <w:t> </w:t>
      </w:r>
      <w:r>
        <w:rPr/>
        <w:t>90.</w:t>
      </w:r>
    </w:p>
    <w:p>
      <w:pPr>
        <w:pStyle w:val="BodyText"/>
        <w:spacing w:line="364" w:lineRule="auto" w:before="7"/>
        <w:ind w:left="816" w:right="120" w:hanging="701"/>
        <w:jc w:val="both"/>
      </w:pPr>
      <w:r>
        <w:rPr/>
        <w:t>TURNER, K. E., WILDEUS, S. &amp; COLLINS, J. R. (2005) Intake, performance, and blood parameters in young goats offered high forage diets of lespedeza or alfalfa hay. </w:t>
      </w:r>
      <w:r>
        <w:rPr>
          <w:i/>
        </w:rPr>
        <w:t>Small Ruminant Res, </w:t>
      </w:r>
      <w:r>
        <w:rPr/>
        <w:t>59</w:t>
      </w:r>
      <w:r>
        <w:rPr>
          <w:b/>
        </w:rPr>
        <w:t>, </w:t>
      </w:r>
      <w:r>
        <w:rPr/>
        <w:t>15-23.</w:t>
      </w:r>
    </w:p>
    <w:p>
      <w:pPr>
        <w:pStyle w:val="BodyText"/>
        <w:spacing w:before="5"/>
        <w:ind w:left="116" w:right="224"/>
      </w:pPr>
      <w:r>
        <w:rPr/>
        <w:t>VALIZADEH, R., NOROUZIAN, M. A., SALEMI, M., GHIASI, E. &amp; YARI, M. (2010)</w:t>
      </w:r>
    </w:p>
    <w:p>
      <w:pPr>
        <w:pStyle w:val="BodyText"/>
        <w:spacing w:line="362" w:lineRule="auto" w:before="141"/>
        <w:ind w:left="816" w:right="122"/>
        <w:jc w:val="both"/>
      </w:pPr>
      <w:r>
        <w:rPr/>
        <w:t>Effects of Feeding Pistachio By-Products on Hematology and Performance   of Balouchi Lambs. </w:t>
      </w:r>
      <w:r>
        <w:rPr>
          <w:i/>
        </w:rPr>
        <w:t>JAnimVetAdv, </w:t>
      </w:r>
      <w:r>
        <w:rPr/>
        <w:t>9</w:t>
      </w:r>
      <w:r>
        <w:rPr>
          <w:b/>
        </w:rPr>
        <w:t>,</w:t>
      </w:r>
      <w:r>
        <w:rPr>
          <w:b/>
          <w:spacing w:val="53"/>
        </w:rPr>
        <w:t> </w:t>
      </w:r>
      <w:r>
        <w:rPr/>
        <w:t>1115-1119.</w:t>
      </w:r>
    </w:p>
    <w:p>
      <w:pPr>
        <w:spacing w:line="367" w:lineRule="auto" w:before="7"/>
        <w:ind w:left="816" w:right="120" w:hanging="701"/>
        <w:jc w:val="both"/>
        <w:rPr>
          <w:sz w:val="23"/>
        </w:rPr>
      </w:pPr>
      <w:r>
        <w:rPr>
          <w:sz w:val="23"/>
        </w:rPr>
        <w:t>VAN SOEST, P. J.(1994) </w:t>
      </w:r>
      <w:r>
        <w:rPr>
          <w:i/>
          <w:sz w:val="23"/>
        </w:rPr>
        <w:t>Nuritional Ecology of the ruminant, </w:t>
      </w:r>
      <w:r>
        <w:rPr>
          <w:sz w:val="23"/>
        </w:rPr>
        <w:t>United States of America.</w:t>
      </w:r>
    </w:p>
    <w:p>
      <w:pPr>
        <w:pStyle w:val="BodyText"/>
        <w:spacing w:line="364" w:lineRule="auto" w:before="2"/>
        <w:ind w:left="816" w:right="122" w:hanging="701"/>
        <w:jc w:val="both"/>
      </w:pPr>
      <w:r>
        <w:rPr/>
        <w:t>VARÓN, L. E. S. &amp; GRANADOS, J. E. (2010) Evaluación del contenido de metabolitos secundarios en dos especies de plantas forrajeras encontradas en dos pisos térmicos de Colombia. </w:t>
      </w:r>
      <w:r>
        <w:rPr>
          <w:i/>
        </w:rPr>
        <w:t>RIAA, </w:t>
      </w:r>
      <w:r>
        <w:rPr/>
        <w:t>1</w:t>
      </w:r>
      <w:r>
        <w:rPr>
          <w:b/>
        </w:rPr>
        <w:t>,</w:t>
      </w:r>
      <w:r>
        <w:rPr>
          <w:b/>
          <w:spacing w:val="57"/>
        </w:rPr>
        <w:t> </w:t>
      </w:r>
      <w:r>
        <w:rPr/>
        <w:t>31-35.</w:t>
      </w:r>
    </w:p>
    <w:p>
      <w:pPr>
        <w:pStyle w:val="BodyText"/>
        <w:spacing w:line="367" w:lineRule="auto" w:before="5"/>
        <w:ind w:left="816" w:right="118" w:hanging="701"/>
        <w:jc w:val="both"/>
      </w:pPr>
      <w:r>
        <w:rPr/>
        <w:t>VELOZ-GARCÍA, R. A., MARÍN-MARTÍNEZ, R., VELOZ-RODRÍGUEZ, R., MUÑOZ-SÁNCHEZ, C. I., GUEVARA-OLVERA, L., MIRANDA-LÓPEZ, R., GONZÁLEZ-CHAVIRA, M. M., TORRES-PACHECO, I., GUZMÁN- MALDONADO,  S.  H.,  CARDADOR-MARTÍNEZ,  A.,  LOARCA-PIÑA,  G.</w:t>
      </w:r>
      <w:r>
        <w:rPr>
          <w:spacing w:val="60"/>
        </w:rPr>
        <w:t> </w:t>
      </w:r>
      <w:r>
        <w:rPr/>
        <w:t>&amp;</w:t>
      </w:r>
    </w:p>
    <w:p>
      <w:pPr>
        <w:pStyle w:val="BodyText"/>
        <w:spacing w:line="364" w:lineRule="auto"/>
        <w:ind w:left="816" w:right="117"/>
        <w:jc w:val="both"/>
      </w:pPr>
      <w:r>
        <w:rPr/>
        <w:t>GUEVARA-GONZÁLEZ, R. G. (2004) Antimutagenic and antioxidant activities of cascalote (Caesalpinia cacalaco)  phenolics. </w:t>
      </w:r>
      <w:r>
        <w:rPr>
          <w:i/>
        </w:rPr>
        <w:t>JSci Food  Agric,  </w:t>
      </w:r>
      <w:r>
        <w:rPr/>
        <w:t>84</w:t>
      </w:r>
      <w:r>
        <w:rPr>
          <w:b/>
        </w:rPr>
        <w:t>,</w:t>
      </w:r>
      <w:r>
        <w:rPr>
          <w:b/>
          <w:spacing w:val="16"/>
        </w:rPr>
        <w:t> </w:t>
      </w:r>
      <w:r>
        <w:rPr/>
        <w:t>1632-1638.</w:t>
      </w:r>
    </w:p>
    <w:p>
      <w:pPr>
        <w:spacing w:after="0" w:line="364" w:lineRule="auto"/>
        <w:jc w:val="both"/>
        <w:sectPr>
          <w:pgSz w:w="11900" w:h="16840"/>
          <w:pgMar w:header="0" w:footer="1679" w:top="1600" w:bottom="1860" w:left="1540" w:right="1520"/>
        </w:sectPr>
      </w:pPr>
    </w:p>
    <w:p>
      <w:pPr>
        <w:pStyle w:val="BodyText"/>
        <w:rPr>
          <w:sz w:val="20"/>
        </w:rPr>
      </w:pPr>
    </w:p>
    <w:p>
      <w:pPr>
        <w:pStyle w:val="BodyText"/>
        <w:spacing w:before="7"/>
        <w:rPr>
          <w:sz w:val="16"/>
        </w:rPr>
      </w:pPr>
    </w:p>
    <w:p>
      <w:pPr>
        <w:pStyle w:val="BodyText"/>
        <w:spacing w:before="74"/>
        <w:ind w:left="115" w:right="118"/>
      </w:pPr>
      <w:r>
        <w:rPr/>
        <w:t>WATERMAN, P., MBI, C., MCKEY, D. &amp; GARTLAN, J. S. (1980) African    rainforest</w:t>
      </w:r>
    </w:p>
    <w:p>
      <w:pPr>
        <w:pStyle w:val="BodyText"/>
        <w:spacing w:line="364" w:lineRule="auto" w:before="138"/>
        <w:ind w:left="816" w:right="224"/>
      </w:pPr>
      <w:r>
        <w:rPr/>
        <w:t>vegetation and rumen microbes: Phenolic compounds and nutrients as correlates of digestibility. </w:t>
      </w:r>
      <w:r>
        <w:rPr>
          <w:i/>
        </w:rPr>
        <w:t>Oecologia, </w:t>
      </w:r>
      <w:r>
        <w:rPr/>
        <w:t>47</w:t>
      </w:r>
      <w:r>
        <w:rPr>
          <w:b/>
        </w:rPr>
        <w:t>, </w:t>
      </w:r>
      <w:r>
        <w:rPr/>
        <w:t>22-33.</w:t>
      </w:r>
    </w:p>
    <w:p>
      <w:pPr>
        <w:pStyle w:val="BodyText"/>
        <w:spacing w:line="364" w:lineRule="auto" w:before="7"/>
        <w:ind w:left="816" w:right="118" w:hanging="701"/>
      </w:pPr>
      <w:r>
        <w:rPr/>
        <w:t>WENG, A., JENETT-SIEMS, K., SCHMIEDER, P., BACHRAN, D., BACHRAN, C., GORICK,  C.,   THAKUR,  M.,   FUCHS,   H.   &amp;   MELZIG,  M.  F.   (2010) </w:t>
      </w:r>
      <w:r>
        <w:rPr>
          <w:spacing w:val="53"/>
        </w:rPr>
        <w:t> </w:t>
      </w:r>
      <w:r>
        <w:rPr/>
        <w:t>A</w:t>
      </w:r>
    </w:p>
    <w:p>
      <w:pPr>
        <w:spacing w:before="5"/>
        <w:ind w:left="816" w:right="118" w:firstLine="0"/>
        <w:jc w:val="left"/>
        <w:rPr>
          <w:i/>
          <w:sz w:val="23"/>
        </w:rPr>
      </w:pPr>
      <w:r>
        <w:rPr>
          <w:sz w:val="23"/>
        </w:rPr>
        <w:t>convenient method for saponin isolation in tumour therapy.</w:t>
      </w:r>
      <w:r>
        <w:rPr>
          <w:i/>
          <w:sz w:val="23"/>
        </w:rPr>
        <w:t>J Chromatogr    B,</w:t>
      </w:r>
    </w:p>
    <w:p>
      <w:pPr>
        <w:pStyle w:val="BodyText"/>
        <w:spacing w:before="136"/>
        <w:ind w:left="816" w:right="224"/>
      </w:pPr>
      <w:r>
        <w:rPr/>
        <w:t>878</w:t>
      </w:r>
      <w:r>
        <w:rPr>
          <w:b/>
        </w:rPr>
        <w:t>, </w:t>
      </w:r>
      <w:r>
        <w:rPr/>
        <w:t>713-718.</w:t>
      </w:r>
    </w:p>
    <w:p>
      <w:pPr>
        <w:pStyle w:val="BodyText"/>
        <w:spacing w:before="143"/>
        <w:ind w:left="115"/>
      </w:pPr>
      <w:r>
        <w:rPr/>
        <w:t>WINTERGERST,  E.  S.,  MAGGINI,  S.  &amp;  HORNIG,  D.  H.  (2007)  Contribution of</w:t>
      </w:r>
    </w:p>
    <w:p>
      <w:pPr>
        <w:spacing w:line="364" w:lineRule="auto" w:before="134"/>
        <w:ind w:left="816" w:right="224" w:firstLine="0"/>
        <w:jc w:val="left"/>
        <w:rPr>
          <w:sz w:val="23"/>
        </w:rPr>
      </w:pPr>
      <w:r>
        <w:rPr>
          <w:sz w:val="23"/>
        </w:rPr>
        <w:t>Selected Vitamins and Trace Elements to Immune Function.</w:t>
      </w:r>
      <w:r>
        <w:rPr>
          <w:i/>
          <w:sz w:val="23"/>
        </w:rPr>
        <w:t>Ann  Nutr  </w:t>
      </w:r>
      <w:r>
        <w:rPr>
          <w:i/>
          <w:sz w:val="23"/>
        </w:rPr>
        <w:t>Metab., </w:t>
      </w:r>
      <w:r>
        <w:rPr>
          <w:sz w:val="23"/>
        </w:rPr>
        <w:t>51</w:t>
      </w:r>
      <w:r>
        <w:rPr>
          <w:b/>
          <w:sz w:val="23"/>
        </w:rPr>
        <w:t>, </w:t>
      </w:r>
      <w:r>
        <w:rPr>
          <w:sz w:val="23"/>
        </w:rPr>
        <w:t>301-</w:t>
      </w:r>
      <w:r>
        <w:rPr>
          <w:spacing w:val="22"/>
          <w:sz w:val="23"/>
        </w:rPr>
        <w:t> </w:t>
      </w:r>
      <w:r>
        <w:rPr>
          <w:sz w:val="23"/>
        </w:rPr>
        <w:t>323.</w:t>
      </w:r>
    </w:p>
    <w:p>
      <w:pPr>
        <w:pStyle w:val="BodyText"/>
        <w:spacing w:before="7"/>
        <w:ind w:left="115" w:right="118"/>
      </w:pPr>
      <w:r>
        <w:rPr/>
        <w:t>WU,  R.-T.,  LIN,  W.-J.,  CHIANG,  H.-C.,  HORNG,  L.-Y.&amp;  CHUNG,  Y.-M.  (1990)</w:t>
      </w:r>
    </w:p>
    <w:p>
      <w:pPr>
        <w:pStyle w:val="BodyText"/>
        <w:spacing w:line="364" w:lineRule="auto" w:before="138"/>
        <w:ind w:left="816" w:right="224"/>
      </w:pPr>
      <w:r>
        <w:rPr/>
        <w:t>Modulation of experimental autoimmune uveitis with formosanin-C in guinea pigs.</w:t>
      </w:r>
      <w:r>
        <w:rPr>
          <w:i/>
        </w:rPr>
        <w:t>JOculPharmacol Th, </w:t>
      </w:r>
      <w:r>
        <w:rPr/>
        <w:t>6</w:t>
      </w:r>
      <w:r>
        <w:rPr>
          <w:b/>
        </w:rPr>
        <w:t>, </w:t>
      </w:r>
      <w:r>
        <w:rPr/>
        <w:t>301-311.</w:t>
      </w:r>
    </w:p>
    <w:p>
      <w:pPr>
        <w:pStyle w:val="BodyText"/>
        <w:spacing w:before="7"/>
        <w:ind w:left="115" w:right="118"/>
      </w:pPr>
      <w:r>
        <w:rPr/>
        <w:t>YANG,  W.  Z.,  BEAUCHEMIN,  K.  A.  &amp;  RODE,  L.  M.  (2000)  A  Comparison  of</w:t>
      </w:r>
    </w:p>
    <w:p>
      <w:pPr>
        <w:pStyle w:val="BodyText"/>
        <w:spacing w:before="134"/>
        <w:ind w:left="816" w:right="118"/>
        <w:rPr>
          <w:i/>
        </w:rPr>
      </w:pPr>
      <w:r>
        <w:rPr/>
        <w:t>Methods  of  Adding Fibrolytic Enzymes to Lactating Cow Diets.</w:t>
      </w:r>
      <w:r>
        <w:rPr>
          <w:i/>
        </w:rPr>
        <w:t>J  Dairy   Sci,</w:t>
      </w:r>
    </w:p>
    <w:p>
      <w:pPr>
        <w:pStyle w:val="BodyText"/>
        <w:spacing w:before="141"/>
        <w:ind w:left="816" w:right="224"/>
      </w:pPr>
      <w:r>
        <w:rPr/>
        <w:t>83</w:t>
      </w:r>
      <w:r>
        <w:rPr>
          <w:b/>
        </w:rPr>
        <w:t>, </w:t>
      </w:r>
      <w:r>
        <w:rPr/>
        <w:t>2512-2520.</w:t>
      </w:r>
    </w:p>
    <w:p>
      <w:pPr>
        <w:pStyle w:val="BodyText"/>
        <w:spacing w:line="364" w:lineRule="auto" w:before="138"/>
        <w:ind w:left="816" w:right="119" w:hanging="701"/>
        <w:jc w:val="both"/>
      </w:pPr>
      <w:r>
        <w:rPr/>
        <w:t>ZHAO, J., DAVIS, L. C. &amp; VERPOORTE, R. (2005) Elicitor signal transduction leading to production of plant secondary metabolites.</w:t>
      </w:r>
      <w:r>
        <w:rPr>
          <w:i/>
        </w:rPr>
        <w:t>Biotechnol Adv, </w:t>
      </w:r>
      <w:r>
        <w:rPr/>
        <w:t>23</w:t>
      </w:r>
      <w:r>
        <w:rPr>
          <w:b/>
        </w:rPr>
        <w:t>, </w:t>
      </w:r>
      <w:r>
        <w:rPr/>
        <w:t>283-333.</w:t>
      </w:r>
    </w:p>
    <w:sectPr>
      <w:pgSz w:w="11900" w:h="16840"/>
      <w:pgMar w:header="0" w:footer="1679" w:top="1600" w:bottom="1860" w:left="1540" w:right="15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libri">
    <w:altName w:val="Calibri"/>
    <w:charset w:val="0"/>
    <w:family w:val="swiss"/>
    <w:pitch w:val="variable"/>
  </w:font>
  <w:font w:name="Verdana">
    <w:altName w:val="Verdana"/>
    <w:charset w:val="0"/>
    <w:family w:val="swiss"/>
    <w:pitch w:val="variable"/>
  </w:font>
  <w:font w:name="Cambria Math">
    <w:altName w:val="Cambria Math"/>
    <w:charset w:val="0"/>
    <w:family w:val="roman"/>
    <w:pitch w:val="variable"/>
  </w:font>
  <w:font w:name="MS Mincho">
    <w:altName w:val="MS Mincho"/>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88.359985pt;margin-top:746.039856pt;width:18.96pt;height:14.64pt;mso-position-horizontal-relative:page;mso-position-vertical-relative:page;z-index:-137992" filled="true" fillcolor="#ffffff" stroked="false">
          <v:fill type="solid"/>
          <w10:wrap type="none"/>
        </v:rect>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319885pt;margin-top:747.060913pt;width:13pt;height:12.75pt;mso-position-horizontal-relative:page;mso-position-vertical-relative:page;z-index:-137776" type="#_x0000_t202" filled="false" stroked="false">
          <v:textbox inset="0,0,0,0">
            <w:txbxContent>
              <w:p>
                <w:pPr>
                  <w:spacing w:line="238" w:lineRule="exact" w:before="0"/>
                  <w:ind w:left="20" w:right="0" w:firstLine="0"/>
                  <w:jc w:val="left"/>
                  <w:rPr>
                    <w:rFonts w:ascii="Calibri"/>
                    <w:sz w:val="21"/>
                  </w:rPr>
                </w:pPr>
                <w:r>
                  <w:rPr>
                    <w:rFonts w:ascii="Calibri"/>
                    <w:sz w:val="21"/>
                  </w:rPr>
                  <w:t>41</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shape style="position:absolute;margin-left:290.319885pt;margin-top:747.060913pt;width:15.1pt;height:12.9pt;mso-position-horizontal-relative:page;mso-position-vertical-relative:page;z-index:-137752" type="#_x0000_t202" filled="false" stroked="false">
          <v:textbox inset="0,0,0,0">
            <w:txbxContent>
              <w:p>
                <w:pPr>
                  <w:spacing w:line="240" w:lineRule="exact" w:before="0"/>
                  <w:ind w:left="42" w:right="0" w:firstLine="0"/>
                  <w:jc w:val="left"/>
                  <w:rPr>
                    <w:rFonts w:ascii="Calibri"/>
                    <w:sz w:val="21"/>
                  </w:rPr>
                </w:pPr>
                <w:r>
                  <w:rPr/>
                  <w:fldChar w:fldCharType="begin"/>
                </w:r>
                <w:r>
                  <w:rPr>
                    <w:rFonts w:ascii="Calibri"/>
                    <w:sz w:val="21"/>
                  </w:rPr>
                  <w:instrText> PAGE </w:instrText>
                </w:r>
                <w:r>
                  <w:rPr/>
                  <w:fldChar w:fldCharType="separate"/>
                </w:r>
                <w:r>
                  <w:rPr/>
                  <w:t>47</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shape style="position:absolute;margin-left:290.319397pt;margin-top:747.060913pt;width:15.1pt;height:12.9pt;mso-position-horizontal-relative:page;mso-position-vertical-relative:page;z-index:-137728"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58</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319397pt;margin-top:747.061157pt;width:15pt;height:12.75pt;mso-position-horizontal-relative:page;mso-position-vertical-relative:page;z-index:-137704"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60</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319397pt;margin-top:747.061157pt;width:15pt;height:12.75pt;mso-position-horizontal-relative:page;mso-position-vertical-relative:page;z-index:-137680"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70</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319397pt;margin-top:747.061157pt;width:15pt;height:12.75pt;mso-position-horizontal-relative:page;mso-position-vertical-relative:page;z-index:-137656"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80</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3.671021pt;margin-top:536.100891pt;width:15pt;height:12.75pt;mso-position-horizontal-relative:page;mso-position-vertical-relative:page;z-index:-137632"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83</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319397pt;margin-top:747.061157pt;width:15pt;height:12.75pt;mso-position-horizontal-relative:page;mso-position-vertical-relative:page;z-index:-137608"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85</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319397pt;margin-top:747.061157pt;width:15pt;height:12.75pt;mso-position-horizontal-relative:page;mso-position-vertical-relative:page;z-index:-137584"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90</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7.679901pt;margin-top:747.061157pt;width:20.25pt;height:12.75pt;mso-position-horizontal-relative:page;mso-position-vertical-relative:page;z-index:-137560"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100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2.119873pt;margin-top:747.060913pt;width:11.4pt;height:12.75pt;mso-position-horizontal-relative:page;mso-position-vertical-relative:page;z-index:-137968"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 roman </w:instrText>
                </w:r>
                <w:r>
                  <w:rPr/>
                  <w:fldChar w:fldCharType="separate"/>
                </w:r>
                <w:r>
                  <w:rPr/>
                  <w:t>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7.679901pt;margin-top:747.061157pt;width:20.25pt;height:12.75pt;mso-position-horizontal-relative:page;mso-position-vertical-relative:page;z-index:-137536"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110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7.679901pt;margin-top:747.061157pt;width:20.25pt;height:12.75pt;mso-position-horizontal-relative:page;mso-position-vertical-relative:page;z-index:-137512"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120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2.239868pt;margin-top:747.060913pt;width:11.25pt;height:12.75pt;mso-position-horizontal-relative:page;mso-position-vertical-relative:page;z-index:-137944"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 roman </w:instrText>
                </w:r>
                <w:r>
                  <w:rPr/>
                  <w:fldChar w:fldCharType="separate"/>
                </w:r>
                <w:r>
                  <w:rPr/>
                  <w:t>iv</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2.239868pt;margin-top:747.060913pt;width:11.3pt;height:12.75pt;mso-position-horizontal-relative:page;mso-position-vertical-relative:page;z-index:-137920"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 roman </w:instrText>
                </w:r>
                <w:r>
                  <w:rPr/>
                  <w:fldChar w:fldCharType="separate"/>
                </w:r>
                <w:r>
                  <w:rPr/>
                  <w:t>vi</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3.19989pt;margin-top:747.060913pt;width:9.450pt;height:12.75pt;mso-position-horizontal-relative:page;mso-position-vertical-relative:page;z-index:-137896"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w w:val="102"/>
                    <w:sz w:val="21"/>
                  </w:rPr>
                  <w:instrText> PAGE </w:instrText>
                </w:r>
                <w:r>
                  <w:rPr/>
                  <w:fldChar w:fldCharType="separate"/>
                </w:r>
                <w:r>
                  <w:rPr/>
                  <w:t>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319885pt;margin-top:747.060913pt;width:15pt;height:12.75pt;mso-position-horizontal-relative:page;mso-position-vertical-relative:page;z-index:-137872"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10</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319885pt;margin-top:747.060913pt;width:15pt;height:12.75pt;mso-position-horizontal-relative:page;mso-position-vertical-relative:page;z-index:-137848"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20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319885pt;margin-top:747.060913pt;width:15pt;height:12.75pt;mso-position-horizontal-relative:page;mso-position-vertical-relative:page;z-index:-137824"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30</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319885pt;margin-top:747.060913pt;width:15pt;height:12.75pt;mso-position-horizontal-relative:page;mso-position-vertical-relative:page;z-index:-137800" type="#_x0000_t202" filled="false" stroked="false">
          <v:textbox inset="0,0,0,0">
            <w:txbxContent>
              <w:p>
                <w:pPr>
                  <w:spacing w:line="238" w:lineRule="exact" w:before="0"/>
                  <w:ind w:left="40" w:right="0" w:firstLine="0"/>
                  <w:jc w:val="left"/>
                  <w:rPr>
                    <w:rFonts w:ascii="Calibri"/>
                    <w:sz w:val="21"/>
                  </w:rPr>
                </w:pPr>
                <w:r>
                  <w:rPr/>
                  <w:fldChar w:fldCharType="begin"/>
                </w:r>
                <w:r>
                  <w:rPr>
                    <w:rFonts w:ascii="Calibri"/>
                    <w:sz w:val="21"/>
                  </w:rPr>
                  <w:instrText> PAGE </w:instrText>
                </w:r>
                <w:r>
                  <w:rPr/>
                  <w:fldChar w:fldCharType="separate"/>
                </w:r>
                <w:r>
                  <w:rPr/>
                  <w:t>40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7"/>
      <w:numFmt w:val="decimal"/>
      <w:lvlText w:val="%1"/>
      <w:lvlJc w:val="left"/>
      <w:pPr>
        <w:ind w:left="116" w:hanging="471"/>
        <w:jc w:val="left"/>
      </w:pPr>
      <w:rPr>
        <w:rFonts w:hint="default"/>
      </w:rPr>
    </w:lvl>
    <w:lvl w:ilvl="1">
      <w:start w:val="4"/>
      <w:numFmt w:val="decimal"/>
      <w:lvlText w:val="%1.%2."/>
      <w:lvlJc w:val="left"/>
      <w:pPr>
        <w:ind w:left="116" w:hanging="471"/>
        <w:jc w:val="left"/>
      </w:pPr>
      <w:rPr>
        <w:rFonts w:hint="default" w:ascii="Arial" w:hAnsi="Arial" w:eastAsia="Arial" w:cs="Arial"/>
        <w:b/>
        <w:bCs/>
        <w:spacing w:val="-3"/>
        <w:w w:val="101"/>
        <w:sz w:val="23"/>
        <w:szCs w:val="23"/>
      </w:rPr>
    </w:lvl>
    <w:lvl w:ilvl="2">
      <w:start w:val="1"/>
      <w:numFmt w:val="decimal"/>
      <w:lvlText w:val="%1.%2.%3."/>
      <w:lvlJc w:val="left"/>
      <w:pPr>
        <w:ind w:left="1452" w:hanging="648"/>
        <w:jc w:val="left"/>
      </w:pPr>
      <w:rPr>
        <w:rFonts w:hint="default" w:ascii="Arial" w:hAnsi="Arial" w:eastAsia="Arial" w:cs="Arial"/>
        <w:spacing w:val="-3"/>
        <w:w w:val="101"/>
        <w:sz w:val="23"/>
        <w:szCs w:val="23"/>
      </w:rPr>
    </w:lvl>
    <w:lvl w:ilvl="3">
      <w:start w:val="1"/>
      <w:numFmt w:val="bullet"/>
      <w:lvlText w:val="•"/>
      <w:lvlJc w:val="left"/>
      <w:pPr>
        <w:ind w:left="3100" w:hanging="648"/>
      </w:pPr>
      <w:rPr>
        <w:rFonts w:hint="default"/>
      </w:rPr>
    </w:lvl>
    <w:lvl w:ilvl="4">
      <w:start w:val="1"/>
      <w:numFmt w:val="bullet"/>
      <w:lvlText w:val="•"/>
      <w:lvlJc w:val="left"/>
      <w:pPr>
        <w:ind w:left="3920" w:hanging="648"/>
      </w:pPr>
      <w:rPr>
        <w:rFonts w:hint="default"/>
      </w:rPr>
    </w:lvl>
    <w:lvl w:ilvl="5">
      <w:start w:val="1"/>
      <w:numFmt w:val="bullet"/>
      <w:lvlText w:val="•"/>
      <w:lvlJc w:val="left"/>
      <w:pPr>
        <w:ind w:left="4740" w:hanging="648"/>
      </w:pPr>
      <w:rPr>
        <w:rFonts w:hint="default"/>
      </w:rPr>
    </w:lvl>
    <w:lvl w:ilvl="6">
      <w:start w:val="1"/>
      <w:numFmt w:val="bullet"/>
      <w:lvlText w:val="•"/>
      <w:lvlJc w:val="left"/>
      <w:pPr>
        <w:ind w:left="5560" w:hanging="648"/>
      </w:pPr>
      <w:rPr>
        <w:rFonts w:hint="default"/>
      </w:rPr>
    </w:lvl>
    <w:lvl w:ilvl="7">
      <w:start w:val="1"/>
      <w:numFmt w:val="bullet"/>
      <w:lvlText w:val="•"/>
      <w:lvlJc w:val="left"/>
      <w:pPr>
        <w:ind w:left="6380" w:hanging="648"/>
      </w:pPr>
      <w:rPr>
        <w:rFonts w:hint="default"/>
      </w:rPr>
    </w:lvl>
    <w:lvl w:ilvl="8">
      <w:start w:val="1"/>
      <w:numFmt w:val="bullet"/>
      <w:lvlText w:val="•"/>
      <w:lvlJc w:val="left"/>
      <w:pPr>
        <w:ind w:left="7200" w:hanging="648"/>
      </w:pPr>
      <w:rPr>
        <w:rFonts w:hint="default"/>
      </w:rPr>
    </w:lvl>
  </w:abstractNum>
  <w:abstractNum w:abstractNumId="12">
    <w:multiLevelType w:val="hybridMultilevel"/>
    <w:lvl w:ilvl="0">
      <w:start w:val="6"/>
      <w:numFmt w:val="decimal"/>
      <w:lvlText w:val="%1"/>
      <w:lvlJc w:val="left"/>
      <w:pPr>
        <w:ind w:left="569" w:hanging="454"/>
        <w:jc w:val="left"/>
      </w:pPr>
      <w:rPr>
        <w:rFonts w:hint="default"/>
      </w:rPr>
    </w:lvl>
    <w:lvl w:ilvl="1">
      <w:start w:val="2"/>
      <w:numFmt w:val="decimal"/>
      <w:lvlText w:val="%1.%2."/>
      <w:lvlJc w:val="left"/>
      <w:pPr>
        <w:ind w:left="569" w:hanging="454"/>
        <w:jc w:val="left"/>
      </w:pPr>
      <w:rPr>
        <w:rFonts w:hint="default" w:ascii="Arial" w:hAnsi="Arial" w:eastAsia="Arial" w:cs="Arial"/>
        <w:b/>
        <w:bCs/>
        <w:spacing w:val="-3"/>
        <w:w w:val="101"/>
        <w:sz w:val="23"/>
        <w:szCs w:val="23"/>
      </w:rPr>
    </w:lvl>
    <w:lvl w:ilvl="2">
      <w:start w:val="1"/>
      <w:numFmt w:val="decimal"/>
      <w:lvlText w:val="%1.%2.%3."/>
      <w:lvlJc w:val="left"/>
      <w:pPr>
        <w:ind w:left="768" w:hanging="653"/>
        <w:jc w:val="left"/>
      </w:pPr>
      <w:rPr>
        <w:rFonts w:hint="default" w:ascii="Arial" w:hAnsi="Arial" w:eastAsia="Arial" w:cs="Arial"/>
        <w:b/>
        <w:bCs/>
        <w:spacing w:val="-3"/>
        <w:w w:val="101"/>
        <w:sz w:val="23"/>
        <w:szCs w:val="23"/>
      </w:rPr>
    </w:lvl>
    <w:lvl w:ilvl="3">
      <w:start w:val="1"/>
      <w:numFmt w:val="decimal"/>
      <w:lvlText w:val="%1.%2.%3.%4."/>
      <w:lvlJc w:val="left"/>
      <w:pPr>
        <w:ind w:left="1649" w:hanging="845"/>
        <w:jc w:val="left"/>
      </w:pPr>
      <w:rPr>
        <w:rFonts w:hint="default" w:ascii="Arial" w:hAnsi="Arial" w:eastAsia="Arial" w:cs="Arial"/>
        <w:spacing w:val="-3"/>
        <w:w w:val="101"/>
        <w:sz w:val="23"/>
        <w:szCs w:val="23"/>
      </w:rPr>
    </w:lvl>
    <w:lvl w:ilvl="4">
      <w:start w:val="1"/>
      <w:numFmt w:val="bullet"/>
      <w:lvlText w:val="•"/>
      <w:lvlJc w:val="left"/>
      <w:pPr>
        <w:ind w:left="3435" w:hanging="845"/>
      </w:pPr>
      <w:rPr>
        <w:rFonts w:hint="default"/>
      </w:rPr>
    </w:lvl>
    <w:lvl w:ilvl="5">
      <w:start w:val="1"/>
      <w:numFmt w:val="bullet"/>
      <w:lvlText w:val="•"/>
      <w:lvlJc w:val="left"/>
      <w:pPr>
        <w:ind w:left="4332" w:hanging="845"/>
      </w:pPr>
      <w:rPr>
        <w:rFonts w:hint="default"/>
      </w:rPr>
    </w:lvl>
    <w:lvl w:ilvl="6">
      <w:start w:val="1"/>
      <w:numFmt w:val="bullet"/>
      <w:lvlText w:val="•"/>
      <w:lvlJc w:val="left"/>
      <w:pPr>
        <w:ind w:left="5230" w:hanging="845"/>
      </w:pPr>
      <w:rPr>
        <w:rFonts w:hint="default"/>
      </w:rPr>
    </w:lvl>
    <w:lvl w:ilvl="7">
      <w:start w:val="1"/>
      <w:numFmt w:val="bullet"/>
      <w:lvlText w:val="•"/>
      <w:lvlJc w:val="left"/>
      <w:pPr>
        <w:ind w:left="6127" w:hanging="845"/>
      </w:pPr>
      <w:rPr>
        <w:rFonts w:hint="default"/>
      </w:rPr>
    </w:lvl>
    <w:lvl w:ilvl="8">
      <w:start w:val="1"/>
      <w:numFmt w:val="bullet"/>
      <w:lvlText w:val="•"/>
      <w:lvlJc w:val="left"/>
      <w:pPr>
        <w:ind w:left="7025" w:hanging="845"/>
      </w:pPr>
      <w:rPr>
        <w:rFonts w:hint="default"/>
      </w:rPr>
    </w:lvl>
  </w:abstractNum>
  <w:abstractNum w:abstractNumId="11">
    <w:multiLevelType w:val="hybridMultilevel"/>
    <w:lvl w:ilvl="0">
      <w:start w:val="6"/>
      <w:numFmt w:val="decimal"/>
      <w:lvlText w:val="%1"/>
      <w:lvlJc w:val="left"/>
      <w:pPr>
        <w:ind w:left="569" w:hanging="454"/>
        <w:jc w:val="left"/>
      </w:pPr>
      <w:rPr>
        <w:rFonts w:hint="default"/>
      </w:rPr>
    </w:lvl>
    <w:lvl w:ilvl="1">
      <w:start w:val="1"/>
      <w:numFmt w:val="decimal"/>
      <w:lvlText w:val="%1.%2."/>
      <w:lvlJc w:val="left"/>
      <w:pPr>
        <w:ind w:left="569" w:hanging="454"/>
        <w:jc w:val="left"/>
      </w:pPr>
      <w:rPr>
        <w:rFonts w:hint="default" w:ascii="Arial" w:hAnsi="Arial" w:eastAsia="Arial" w:cs="Arial"/>
        <w:b/>
        <w:bCs/>
        <w:spacing w:val="-3"/>
        <w:w w:val="101"/>
        <w:sz w:val="23"/>
        <w:szCs w:val="23"/>
      </w:rPr>
    </w:lvl>
    <w:lvl w:ilvl="2">
      <w:start w:val="5"/>
      <w:numFmt w:val="decimal"/>
      <w:lvlText w:val="%1.%2.%3."/>
      <w:lvlJc w:val="left"/>
      <w:pPr>
        <w:ind w:left="763" w:hanging="648"/>
        <w:jc w:val="left"/>
      </w:pPr>
      <w:rPr>
        <w:rFonts w:hint="default" w:ascii="Arial" w:hAnsi="Arial" w:eastAsia="Arial" w:cs="Arial"/>
        <w:b/>
        <w:bCs/>
        <w:spacing w:val="-3"/>
        <w:w w:val="101"/>
        <w:sz w:val="23"/>
        <w:szCs w:val="23"/>
      </w:rPr>
    </w:lvl>
    <w:lvl w:ilvl="3">
      <w:start w:val="1"/>
      <w:numFmt w:val="decimal"/>
      <w:lvlText w:val="%1.%2.%3.%4."/>
      <w:lvlJc w:val="left"/>
      <w:pPr>
        <w:ind w:left="1649" w:hanging="845"/>
        <w:jc w:val="left"/>
      </w:pPr>
      <w:rPr>
        <w:rFonts w:hint="default" w:ascii="Arial" w:hAnsi="Arial" w:eastAsia="Arial" w:cs="Arial"/>
        <w:spacing w:val="-3"/>
        <w:w w:val="101"/>
        <w:sz w:val="23"/>
        <w:szCs w:val="23"/>
      </w:rPr>
    </w:lvl>
    <w:lvl w:ilvl="4">
      <w:start w:val="1"/>
      <w:numFmt w:val="bullet"/>
      <w:lvlText w:val="•"/>
      <w:lvlJc w:val="left"/>
      <w:pPr>
        <w:ind w:left="3435" w:hanging="845"/>
      </w:pPr>
      <w:rPr>
        <w:rFonts w:hint="default"/>
      </w:rPr>
    </w:lvl>
    <w:lvl w:ilvl="5">
      <w:start w:val="1"/>
      <w:numFmt w:val="bullet"/>
      <w:lvlText w:val="•"/>
      <w:lvlJc w:val="left"/>
      <w:pPr>
        <w:ind w:left="4332" w:hanging="845"/>
      </w:pPr>
      <w:rPr>
        <w:rFonts w:hint="default"/>
      </w:rPr>
    </w:lvl>
    <w:lvl w:ilvl="6">
      <w:start w:val="1"/>
      <w:numFmt w:val="bullet"/>
      <w:lvlText w:val="•"/>
      <w:lvlJc w:val="left"/>
      <w:pPr>
        <w:ind w:left="5230" w:hanging="845"/>
      </w:pPr>
      <w:rPr>
        <w:rFonts w:hint="default"/>
      </w:rPr>
    </w:lvl>
    <w:lvl w:ilvl="7">
      <w:start w:val="1"/>
      <w:numFmt w:val="bullet"/>
      <w:lvlText w:val="•"/>
      <w:lvlJc w:val="left"/>
      <w:pPr>
        <w:ind w:left="6127" w:hanging="845"/>
      </w:pPr>
      <w:rPr>
        <w:rFonts w:hint="default"/>
      </w:rPr>
    </w:lvl>
    <w:lvl w:ilvl="8">
      <w:start w:val="1"/>
      <w:numFmt w:val="bullet"/>
      <w:lvlText w:val="•"/>
      <w:lvlJc w:val="left"/>
      <w:pPr>
        <w:ind w:left="7025" w:hanging="845"/>
      </w:pPr>
      <w:rPr>
        <w:rFonts w:hint="default"/>
      </w:rPr>
    </w:lvl>
  </w:abstractNum>
  <w:abstractNum w:abstractNumId="10">
    <w:multiLevelType w:val="hybridMultilevel"/>
    <w:lvl w:ilvl="0">
      <w:start w:val="6"/>
      <w:numFmt w:val="decimal"/>
      <w:lvlText w:val="%1"/>
      <w:lvlJc w:val="left"/>
      <w:pPr>
        <w:ind w:left="569" w:hanging="454"/>
        <w:jc w:val="left"/>
      </w:pPr>
      <w:rPr>
        <w:rFonts w:hint="default"/>
      </w:rPr>
    </w:lvl>
    <w:lvl w:ilvl="1">
      <w:start w:val="1"/>
      <w:numFmt w:val="decimal"/>
      <w:lvlText w:val="%1.%2."/>
      <w:lvlJc w:val="left"/>
      <w:pPr>
        <w:ind w:left="569" w:hanging="454"/>
        <w:jc w:val="left"/>
      </w:pPr>
      <w:rPr>
        <w:rFonts w:hint="default" w:ascii="Arial" w:hAnsi="Arial" w:eastAsia="Arial" w:cs="Arial"/>
        <w:b/>
        <w:bCs/>
        <w:spacing w:val="-3"/>
        <w:w w:val="101"/>
        <w:sz w:val="23"/>
        <w:szCs w:val="23"/>
      </w:rPr>
    </w:lvl>
    <w:lvl w:ilvl="2">
      <w:start w:val="2"/>
      <w:numFmt w:val="decimal"/>
      <w:lvlText w:val="%1.%2.%3."/>
      <w:lvlJc w:val="left"/>
      <w:pPr>
        <w:ind w:left="766" w:hanging="651"/>
        <w:jc w:val="left"/>
      </w:pPr>
      <w:rPr>
        <w:rFonts w:hint="default" w:ascii="Arial" w:hAnsi="Arial" w:eastAsia="Arial" w:cs="Arial"/>
        <w:b/>
        <w:bCs/>
        <w:spacing w:val="-3"/>
        <w:w w:val="101"/>
        <w:sz w:val="23"/>
        <w:szCs w:val="23"/>
      </w:rPr>
    </w:lvl>
    <w:lvl w:ilvl="3">
      <w:start w:val="1"/>
      <w:numFmt w:val="bullet"/>
      <w:lvlText w:val="•"/>
      <w:lvlJc w:val="left"/>
      <w:pPr>
        <w:ind w:left="2551" w:hanging="651"/>
      </w:pPr>
      <w:rPr>
        <w:rFonts w:hint="default"/>
      </w:rPr>
    </w:lvl>
    <w:lvl w:ilvl="4">
      <w:start w:val="1"/>
      <w:numFmt w:val="bullet"/>
      <w:lvlText w:val="•"/>
      <w:lvlJc w:val="left"/>
      <w:pPr>
        <w:ind w:left="3446" w:hanging="651"/>
      </w:pPr>
      <w:rPr>
        <w:rFonts w:hint="default"/>
      </w:rPr>
    </w:lvl>
    <w:lvl w:ilvl="5">
      <w:start w:val="1"/>
      <w:numFmt w:val="bullet"/>
      <w:lvlText w:val="•"/>
      <w:lvlJc w:val="left"/>
      <w:pPr>
        <w:ind w:left="4342" w:hanging="651"/>
      </w:pPr>
      <w:rPr>
        <w:rFonts w:hint="default"/>
      </w:rPr>
    </w:lvl>
    <w:lvl w:ilvl="6">
      <w:start w:val="1"/>
      <w:numFmt w:val="bullet"/>
      <w:lvlText w:val="•"/>
      <w:lvlJc w:val="left"/>
      <w:pPr>
        <w:ind w:left="5237" w:hanging="651"/>
      </w:pPr>
      <w:rPr>
        <w:rFonts w:hint="default"/>
      </w:rPr>
    </w:lvl>
    <w:lvl w:ilvl="7">
      <w:start w:val="1"/>
      <w:numFmt w:val="bullet"/>
      <w:lvlText w:val="•"/>
      <w:lvlJc w:val="left"/>
      <w:pPr>
        <w:ind w:left="6133" w:hanging="651"/>
      </w:pPr>
      <w:rPr>
        <w:rFonts w:hint="default"/>
      </w:rPr>
    </w:lvl>
    <w:lvl w:ilvl="8">
      <w:start w:val="1"/>
      <w:numFmt w:val="bullet"/>
      <w:lvlText w:val="•"/>
      <w:lvlJc w:val="left"/>
      <w:pPr>
        <w:ind w:left="7028" w:hanging="651"/>
      </w:pPr>
      <w:rPr>
        <w:rFonts w:hint="default"/>
      </w:rPr>
    </w:lvl>
  </w:abstractNum>
  <w:abstractNum w:abstractNumId="9">
    <w:multiLevelType w:val="hybridMultilevel"/>
    <w:lvl w:ilvl="0">
      <w:start w:val="6"/>
      <w:numFmt w:val="upperRoman"/>
      <w:lvlText w:val="%1."/>
      <w:lvlJc w:val="left"/>
      <w:pPr>
        <w:ind w:left="3099" w:hanging="351"/>
        <w:jc w:val="right"/>
      </w:pPr>
      <w:rPr>
        <w:rFonts w:hint="default" w:ascii="Arial" w:hAnsi="Arial" w:eastAsia="Arial" w:cs="Arial"/>
        <w:b/>
        <w:bCs/>
        <w:w w:val="101"/>
        <w:sz w:val="23"/>
        <w:szCs w:val="23"/>
      </w:rPr>
    </w:lvl>
    <w:lvl w:ilvl="1">
      <w:start w:val="1"/>
      <w:numFmt w:val="bullet"/>
      <w:lvlText w:val="•"/>
      <w:lvlJc w:val="left"/>
      <w:pPr>
        <w:ind w:left="3672" w:hanging="351"/>
      </w:pPr>
      <w:rPr>
        <w:rFonts w:hint="default"/>
      </w:rPr>
    </w:lvl>
    <w:lvl w:ilvl="2">
      <w:start w:val="1"/>
      <w:numFmt w:val="bullet"/>
      <w:lvlText w:val="•"/>
      <w:lvlJc w:val="left"/>
      <w:pPr>
        <w:ind w:left="4244" w:hanging="351"/>
      </w:pPr>
      <w:rPr>
        <w:rFonts w:hint="default"/>
      </w:rPr>
    </w:lvl>
    <w:lvl w:ilvl="3">
      <w:start w:val="1"/>
      <w:numFmt w:val="bullet"/>
      <w:lvlText w:val="•"/>
      <w:lvlJc w:val="left"/>
      <w:pPr>
        <w:ind w:left="4816" w:hanging="351"/>
      </w:pPr>
      <w:rPr>
        <w:rFonts w:hint="default"/>
      </w:rPr>
    </w:lvl>
    <w:lvl w:ilvl="4">
      <w:start w:val="1"/>
      <w:numFmt w:val="bullet"/>
      <w:lvlText w:val="•"/>
      <w:lvlJc w:val="left"/>
      <w:pPr>
        <w:ind w:left="5388" w:hanging="351"/>
      </w:pPr>
      <w:rPr>
        <w:rFonts w:hint="default"/>
      </w:rPr>
    </w:lvl>
    <w:lvl w:ilvl="5">
      <w:start w:val="1"/>
      <w:numFmt w:val="bullet"/>
      <w:lvlText w:val="•"/>
      <w:lvlJc w:val="left"/>
      <w:pPr>
        <w:ind w:left="5960" w:hanging="351"/>
      </w:pPr>
      <w:rPr>
        <w:rFonts w:hint="default"/>
      </w:rPr>
    </w:lvl>
    <w:lvl w:ilvl="6">
      <w:start w:val="1"/>
      <w:numFmt w:val="bullet"/>
      <w:lvlText w:val="•"/>
      <w:lvlJc w:val="left"/>
      <w:pPr>
        <w:ind w:left="6532" w:hanging="351"/>
      </w:pPr>
      <w:rPr>
        <w:rFonts w:hint="default"/>
      </w:rPr>
    </w:lvl>
    <w:lvl w:ilvl="7">
      <w:start w:val="1"/>
      <w:numFmt w:val="bullet"/>
      <w:lvlText w:val="•"/>
      <w:lvlJc w:val="left"/>
      <w:pPr>
        <w:ind w:left="7104" w:hanging="351"/>
      </w:pPr>
      <w:rPr>
        <w:rFonts w:hint="default"/>
      </w:rPr>
    </w:lvl>
    <w:lvl w:ilvl="8">
      <w:start w:val="1"/>
      <w:numFmt w:val="bullet"/>
      <w:lvlText w:val="•"/>
      <w:lvlJc w:val="left"/>
      <w:pPr>
        <w:ind w:left="7676" w:hanging="351"/>
      </w:pPr>
      <w:rPr>
        <w:rFonts w:hint="default"/>
      </w:rPr>
    </w:lvl>
  </w:abstractNum>
  <w:abstractNum w:abstractNumId="8">
    <w:multiLevelType w:val="hybridMultilevel"/>
    <w:lvl w:ilvl="0">
      <w:start w:val="5"/>
      <w:numFmt w:val="decimal"/>
      <w:lvlText w:val="%1"/>
      <w:lvlJc w:val="left"/>
      <w:pPr>
        <w:ind w:left="569" w:hanging="454"/>
        <w:jc w:val="left"/>
      </w:pPr>
      <w:rPr>
        <w:rFonts w:hint="default"/>
      </w:rPr>
    </w:lvl>
    <w:lvl w:ilvl="1">
      <w:start w:val="1"/>
      <w:numFmt w:val="decimal"/>
      <w:lvlText w:val="%1.%2."/>
      <w:lvlJc w:val="left"/>
      <w:pPr>
        <w:ind w:left="569" w:hanging="454"/>
        <w:jc w:val="left"/>
      </w:pPr>
      <w:rPr>
        <w:rFonts w:hint="default" w:ascii="Arial" w:hAnsi="Arial" w:eastAsia="Arial" w:cs="Arial"/>
        <w:b/>
        <w:bCs/>
        <w:spacing w:val="-3"/>
        <w:w w:val="101"/>
        <w:sz w:val="23"/>
        <w:szCs w:val="23"/>
      </w:rPr>
    </w:lvl>
    <w:lvl w:ilvl="2">
      <w:start w:val="1"/>
      <w:numFmt w:val="bullet"/>
      <w:lvlText w:val=""/>
      <w:lvlJc w:val="left"/>
      <w:pPr>
        <w:ind w:left="816" w:hanging="351"/>
      </w:pPr>
      <w:rPr>
        <w:rFonts w:hint="default" w:ascii="Symbol" w:hAnsi="Symbol" w:eastAsia="Symbol" w:cs="Symbol"/>
        <w:w w:val="101"/>
        <w:sz w:val="23"/>
        <w:szCs w:val="23"/>
      </w:rPr>
    </w:lvl>
    <w:lvl w:ilvl="3">
      <w:start w:val="1"/>
      <w:numFmt w:val="bullet"/>
      <w:lvlText w:val="•"/>
      <w:lvlJc w:val="left"/>
      <w:pPr>
        <w:ind w:left="2597" w:hanging="351"/>
      </w:pPr>
      <w:rPr>
        <w:rFonts w:hint="default"/>
      </w:rPr>
    </w:lvl>
    <w:lvl w:ilvl="4">
      <w:start w:val="1"/>
      <w:numFmt w:val="bullet"/>
      <w:lvlText w:val="•"/>
      <w:lvlJc w:val="left"/>
      <w:pPr>
        <w:ind w:left="3486" w:hanging="351"/>
      </w:pPr>
      <w:rPr>
        <w:rFonts w:hint="default"/>
      </w:rPr>
    </w:lvl>
    <w:lvl w:ilvl="5">
      <w:start w:val="1"/>
      <w:numFmt w:val="bullet"/>
      <w:lvlText w:val="•"/>
      <w:lvlJc w:val="left"/>
      <w:pPr>
        <w:ind w:left="4375" w:hanging="351"/>
      </w:pPr>
      <w:rPr>
        <w:rFonts w:hint="default"/>
      </w:rPr>
    </w:lvl>
    <w:lvl w:ilvl="6">
      <w:start w:val="1"/>
      <w:numFmt w:val="bullet"/>
      <w:lvlText w:val="•"/>
      <w:lvlJc w:val="left"/>
      <w:pPr>
        <w:ind w:left="5264" w:hanging="351"/>
      </w:pPr>
      <w:rPr>
        <w:rFonts w:hint="default"/>
      </w:rPr>
    </w:lvl>
    <w:lvl w:ilvl="7">
      <w:start w:val="1"/>
      <w:numFmt w:val="bullet"/>
      <w:lvlText w:val="•"/>
      <w:lvlJc w:val="left"/>
      <w:pPr>
        <w:ind w:left="6153" w:hanging="351"/>
      </w:pPr>
      <w:rPr>
        <w:rFonts w:hint="default"/>
      </w:rPr>
    </w:lvl>
    <w:lvl w:ilvl="8">
      <w:start w:val="1"/>
      <w:numFmt w:val="bullet"/>
      <w:lvlText w:val="•"/>
      <w:lvlJc w:val="left"/>
      <w:pPr>
        <w:ind w:left="7042" w:hanging="351"/>
      </w:pPr>
      <w:rPr>
        <w:rFonts w:hint="default"/>
      </w:rPr>
    </w:lvl>
  </w:abstractNum>
  <w:abstractNum w:abstractNumId="7">
    <w:multiLevelType w:val="hybridMultilevel"/>
    <w:lvl w:ilvl="0">
      <w:start w:val="2"/>
      <w:numFmt w:val="decimal"/>
      <w:lvlText w:val="%1"/>
      <w:lvlJc w:val="left"/>
      <w:pPr>
        <w:ind w:left="574" w:hanging="459"/>
        <w:jc w:val="left"/>
      </w:pPr>
      <w:rPr>
        <w:rFonts w:hint="default"/>
      </w:rPr>
    </w:lvl>
    <w:lvl w:ilvl="1">
      <w:start w:val="1"/>
      <w:numFmt w:val="decimal"/>
      <w:lvlText w:val="%1.%2."/>
      <w:lvlJc w:val="left"/>
      <w:pPr>
        <w:ind w:left="116" w:hanging="459"/>
        <w:jc w:val="left"/>
      </w:pPr>
      <w:rPr>
        <w:rFonts w:hint="default" w:ascii="Arial" w:hAnsi="Arial" w:eastAsia="Arial" w:cs="Arial"/>
        <w:b/>
        <w:bCs/>
        <w:spacing w:val="-3"/>
        <w:w w:val="101"/>
        <w:sz w:val="23"/>
        <w:szCs w:val="23"/>
      </w:rPr>
    </w:lvl>
    <w:lvl w:ilvl="2">
      <w:start w:val="1"/>
      <w:numFmt w:val="bullet"/>
      <w:lvlText w:val="•"/>
      <w:lvlJc w:val="left"/>
      <w:pPr>
        <w:ind w:left="1497" w:hanging="459"/>
      </w:pPr>
      <w:rPr>
        <w:rFonts w:hint="default"/>
      </w:rPr>
    </w:lvl>
    <w:lvl w:ilvl="3">
      <w:start w:val="1"/>
      <w:numFmt w:val="bullet"/>
      <w:lvlText w:val="•"/>
      <w:lvlJc w:val="left"/>
      <w:pPr>
        <w:ind w:left="2415" w:hanging="459"/>
      </w:pPr>
      <w:rPr>
        <w:rFonts w:hint="default"/>
      </w:rPr>
    </w:lvl>
    <w:lvl w:ilvl="4">
      <w:start w:val="1"/>
      <w:numFmt w:val="bullet"/>
      <w:lvlText w:val="•"/>
      <w:lvlJc w:val="left"/>
      <w:pPr>
        <w:ind w:left="3333" w:hanging="459"/>
      </w:pPr>
      <w:rPr>
        <w:rFonts w:hint="default"/>
      </w:rPr>
    </w:lvl>
    <w:lvl w:ilvl="5">
      <w:start w:val="1"/>
      <w:numFmt w:val="bullet"/>
      <w:lvlText w:val="•"/>
      <w:lvlJc w:val="left"/>
      <w:pPr>
        <w:ind w:left="4251" w:hanging="459"/>
      </w:pPr>
      <w:rPr>
        <w:rFonts w:hint="default"/>
      </w:rPr>
    </w:lvl>
    <w:lvl w:ilvl="6">
      <w:start w:val="1"/>
      <w:numFmt w:val="bullet"/>
      <w:lvlText w:val="•"/>
      <w:lvlJc w:val="left"/>
      <w:pPr>
        <w:ind w:left="5168" w:hanging="459"/>
      </w:pPr>
      <w:rPr>
        <w:rFonts w:hint="default"/>
      </w:rPr>
    </w:lvl>
    <w:lvl w:ilvl="7">
      <w:start w:val="1"/>
      <w:numFmt w:val="bullet"/>
      <w:lvlText w:val="•"/>
      <w:lvlJc w:val="left"/>
      <w:pPr>
        <w:ind w:left="6086" w:hanging="459"/>
      </w:pPr>
      <w:rPr>
        <w:rFonts w:hint="default"/>
      </w:rPr>
    </w:lvl>
    <w:lvl w:ilvl="8">
      <w:start w:val="1"/>
      <w:numFmt w:val="bullet"/>
      <w:lvlText w:val="•"/>
      <w:lvlJc w:val="left"/>
      <w:pPr>
        <w:ind w:left="7004" w:hanging="459"/>
      </w:pPr>
      <w:rPr>
        <w:rFonts w:hint="default"/>
      </w:rPr>
    </w:lvl>
  </w:abstractNum>
  <w:abstractNum w:abstractNumId="6">
    <w:multiLevelType w:val="hybridMultilevel"/>
    <w:lvl w:ilvl="0">
      <w:start w:val="7"/>
      <w:numFmt w:val="decimal"/>
      <w:lvlText w:val="%1"/>
      <w:lvlJc w:val="left"/>
      <w:pPr>
        <w:ind w:left="749" w:hanging="418"/>
        <w:jc w:val="left"/>
      </w:pPr>
      <w:rPr>
        <w:rFonts w:hint="default"/>
      </w:rPr>
    </w:lvl>
    <w:lvl w:ilvl="1">
      <w:start w:val="4"/>
      <w:numFmt w:val="decimal"/>
      <w:lvlText w:val="%1.%2."/>
      <w:lvlJc w:val="left"/>
      <w:pPr>
        <w:ind w:left="749" w:hanging="418"/>
        <w:jc w:val="left"/>
      </w:pPr>
      <w:rPr>
        <w:rFonts w:hint="default" w:ascii="Arial" w:hAnsi="Arial" w:eastAsia="Arial" w:cs="Arial"/>
        <w:spacing w:val="-2"/>
        <w:w w:val="102"/>
        <w:sz w:val="21"/>
        <w:szCs w:val="21"/>
      </w:rPr>
    </w:lvl>
    <w:lvl w:ilvl="2">
      <w:start w:val="1"/>
      <w:numFmt w:val="decimal"/>
      <w:lvlText w:val="%1.%2.%3."/>
      <w:lvlJc w:val="left"/>
      <w:pPr>
        <w:ind w:left="1138" w:hanging="596"/>
        <w:jc w:val="left"/>
      </w:pPr>
      <w:rPr>
        <w:rFonts w:hint="default" w:ascii="Arial" w:hAnsi="Arial" w:eastAsia="Arial" w:cs="Arial"/>
        <w:spacing w:val="-2"/>
        <w:w w:val="102"/>
        <w:sz w:val="21"/>
        <w:szCs w:val="21"/>
      </w:rPr>
    </w:lvl>
    <w:lvl w:ilvl="3">
      <w:start w:val="1"/>
      <w:numFmt w:val="bullet"/>
      <w:lvlText w:val="•"/>
      <w:lvlJc w:val="left"/>
      <w:pPr>
        <w:ind w:left="2846" w:hanging="596"/>
      </w:pPr>
      <w:rPr>
        <w:rFonts w:hint="default"/>
      </w:rPr>
    </w:lvl>
    <w:lvl w:ilvl="4">
      <w:start w:val="1"/>
      <w:numFmt w:val="bullet"/>
      <w:lvlText w:val="•"/>
      <w:lvlJc w:val="left"/>
      <w:pPr>
        <w:ind w:left="3700" w:hanging="596"/>
      </w:pPr>
      <w:rPr>
        <w:rFonts w:hint="default"/>
      </w:rPr>
    </w:lvl>
    <w:lvl w:ilvl="5">
      <w:start w:val="1"/>
      <w:numFmt w:val="bullet"/>
      <w:lvlText w:val="•"/>
      <w:lvlJc w:val="left"/>
      <w:pPr>
        <w:ind w:left="4553" w:hanging="596"/>
      </w:pPr>
      <w:rPr>
        <w:rFonts w:hint="default"/>
      </w:rPr>
    </w:lvl>
    <w:lvl w:ilvl="6">
      <w:start w:val="1"/>
      <w:numFmt w:val="bullet"/>
      <w:lvlText w:val="•"/>
      <w:lvlJc w:val="left"/>
      <w:pPr>
        <w:ind w:left="5406" w:hanging="596"/>
      </w:pPr>
      <w:rPr>
        <w:rFonts w:hint="default"/>
      </w:rPr>
    </w:lvl>
    <w:lvl w:ilvl="7">
      <w:start w:val="1"/>
      <w:numFmt w:val="bullet"/>
      <w:lvlText w:val="•"/>
      <w:lvlJc w:val="left"/>
      <w:pPr>
        <w:ind w:left="6260" w:hanging="596"/>
      </w:pPr>
      <w:rPr>
        <w:rFonts w:hint="default"/>
      </w:rPr>
    </w:lvl>
    <w:lvl w:ilvl="8">
      <w:start w:val="1"/>
      <w:numFmt w:val="bullet"/>
      <w:lvlText w:val="•"/>
      <w:lvlJc w:val="left"/>
      <w:pPr>
        <w:ind w:left="7113" w:hanging="596"/>
      </w:pPr>
      <w:rPr>
        <w:rFonts w:hint="default"/>
      </w:rPr>
    </w:lvl>
  </w:abstractNum>
  <w:abstractNum w:abstractNumId="5">
    <w:multiLevelType w:val="hybridMultilevel"/>
    <w:lvl w:ilvl="0">
      <w:start w:val="6"/>
      <w:numFmt w:val="decimal"/>
      <w:lvlText w:val="%1"/>
      <w:lvlJc w:val="left"/>
      <w:pPr>
        <w:ind w:left="927" w:hanging="596"/>
        <w:jc w:val="left"/>
      </w:pPr>
      <w:rPr>
        <w:rFonts w:hint="default"/>
      </w:rPr>
    </w:lvl>
    <w:lvl w:ilvl="1">
      <w:start w:val="2"/>
      <w:numFmt w:val="decimal"/>
      <w:lvlText w:val="%1.%2"/>
      <w:lvlJc w:val="left"/>
      <w:pPr>
        <w:ind w:left="927" w:hanging="596"/>
        <w:jc w:val="left"/>
      </w:pPr>
      <w:rPr>
        <w:rFonts w:hint="default"/>
      </w:rPr>
    </w:lvl>
    <w:lvl w:ilvl="2">
      <w:start w:val="1"/>
      <w:numFmt w:val="decimal"/>
      <w:lvlText w:val="%1.%2.%3."/>
      <w:lvlJc w:val="left"/>
      <w:pPr>
        <w:ind w:left="927" w:hanging="596"/>
        <w:jc w:val="left"/>
      </w:pPr>
      <w:rPr>
        <w:rFonts w:hint="default" w:ascii="Arial" w:hAnsi="Arial" w:eastAsia="Arial" w:cs="Arial"/>
        <w:spacing w:val="-5"/>
        <w:w w:val="102"/>
        <w:sz w:val="21"/>
        <w:szCs w:val="21"/>
      </w:rPr>
    </w:lvl>
    <w:lvl w:ilvl="3">
      <w:start w:val="1"/>
      <w:numFmt w:val="decimal"/>
      <w:lvlText w:val="%1.%2.%3.%4."/>
      <w:lvlJc w:val="left"/>
      <w:pPr>
        <w:ind w:left="1315" w:hanging="773"/>
        <w:jc w:val="left"/>
      </w:pPr>
      <w:rPr>
        <w:rFonts w:hint="default" w:ascii="Arial" w:hAnsi="Arial" w:eastAsia="Arial" w:cs="Arial"/>
        <w:spacing w:val="-2"/>
        <w:w w:val="102"/>
        <w:sz w:val="21"/>
        <w:szCs w:val="21"/>
      </w:rPr>
    </w:lvl>
    <w:lvl w:ilvl="4">
      <w:start w:val="1"/>
      <w:numFmt w:val="bullet"/>
      <w:lvlText w:val="•"/>
      <w:lvlJc w:val="left"/>
      <w:pPr>
        <w:ind w:left="3820" w:hanging="773"/>
      </w:pPr>
      <w:rPr>
        <w:rFonts w:hint="default"/>
      </w:rPr>
    </w:lvl>
    <w:lvl w:ilvl="5">
      <w:start w:val="1"/>
      <w:numFmt w:val="bullet"/>
      <w:lvlText w:val="•"/>
      <w:lvlJc w:val="left"/>
      <w:pPr>
        <w:ind w:left="4653" w:hanging="773"/>
      </w:pPr>
      <w:rPr>
        <w:rFonts w:hint="default"/>
      </w:rPr>
    </w:lvl>
    <w:lvl w:ilvl="6">
      <w:start w:val="1"/>
      <w:numFmt w:val="bullet"/>
      <w:lvlText w:val="•"/>
      <w:lvlJc w:val="left"/>
      <w:pPr>
        <w:ind w:left="5486" w:hanging="773"/>
      </w:pPr>
      <w:rPr>
        <w:rFonts w:hint="default"/>
      </w:rPr>
    </w:lvl>
    <w:lvl w:ilvl="7">
      <w:start w:val="1"/>
      <w:numFmt w:val="bullet"/>
      <w:lvlText w:val="•"/>
      <w:lvlJc w:val="left"/>
      <w:pPr>
        <w:ind w:left="6320" w:hanging="773"/>
      </w:pPr>
      <w:rPr>
        <w:rFonts w:hint="default"/>
      </w:rPr>
    </w:lvl>
    <w:lvl w:ilvl="8">
      <w:start w:val="1"/>
      <w:numFmt w:val="bullet"/>
      <w:lvlText w:val="•"/>
      <w:lvlJc w:val="left"/>
      <w:pPr>
        <w:ind w:left="7153" w:hanging="773"/>
      </w:pPr>
      <w:rPr>
        <w:rFonts w:hint="default"/>
      </w:rPr>
    </w:lvl>
  </w:abstractNum>
  <w:abstractNum w:abstractNumId="4">
    <w:multiLevelType w:val="hybridMultilevel"/>
    <w:lvl w:ilvl="0">
      <w:start w:val="6"/>
      <w:numFmt w:val="decimal"/>
      <w:lvlText w:val="%1"/>
      <w:lvlJc w:val="left"/>
      <w:pPr>
        <w:ind w:left="749" w:hanging="418"/>
        <w:jc w:val="left"/>
      </w:pPr>
      <w:rPr>
        <w:rFonts w:hint="default"/>
      </w:rPr>
    </w:lvl>
    <w:lvl w:ilvl="1">
      <w:start w:val="1"/>
      <w:numFmt w:val="decimal"/>
      <w:lvlText w:val="%1.%2."/>
      <w:lvlJc w:val="left"/>
      <w:pPr>
        <w:ind w:left="749" w:hanging="418"/>
        <w:jc w:val="right"/>
      </w:pPr>
      <w:rPr>
        <w:rFonts w:hint="default" w:ascii="Arial" w:hAnsi="Arial" w:eastAsia="Arial" w:cs="Arial"/>
        <w:spacing w:val="-2"/>
        <w:w w:val="102"/>
        <w:sz w:val="21"/>
        <w:szCs w:val="21"/>
      </w:rPr>
    </w:lvl>
    <w:lvl w:ilvl="2">
      <w:start w:val="5"/>
      <w:numFmt w:val="decimal"/>
      <w:lvlText w:val="%1.%2.%3."/>
      <w:lvlJc w:val="left"/>
      <w:pPr>
        <w:ind w:left="927" w:hanging="596"/>
        <w:jc w:val="left"/>
      </w:pPr>
      <w:rPr>
        <w:rFonts w:hint="default" w:ascii="Arial" w:hAnsi="Arial" w:eastAsia="Arial" w:cs="Arial"/>
        <w:spacing w:val="-5"/>
        <w:w w:val="102"/>
        <w:sz w:val="21"/>
        <w:szCs w:val="21"/>
      </w:rPr>
    </w:lvl>
    <w:lvl w:ilvl="3">
      <w:start w:val="1"/>
      <w:numFmt w:val="decimal"/>
      <w:lvlText w:val="%1.%2.%3.%4."/>
      <w:lvlJc w:val="left"/>
      <w:pPr>
        <w:ind w:left="1315" w:hanging="773"/>
        <w:jc w:val="left"/>
      </w:pPr>
      <w:rPr>
        <w:rFonts w:hint="default" w:ascii="Arial" w:hAnsi="Arial" w:eastAsia="Arial" w:cs="Arial"/>
        <w:spacing w:val="-2"/>
        <w:w w:val="102"/>
        <w:sz w:val="21"/>
        <w:szCs w:val="21"/>
      </w:rPr>
    </w:lvl>
    <w:lvl w:ilvl="4">
      <w:start w:val="1"/>
      <w:numFmt w:val="bullet"/>
      <w:lvlText w:val="•"/>
      <w:lvlJc w:val="left"/>
      <w:pPr>
        <w:ind w:left="3195" w:hanging="773"/>
      </w:pPr>
      <w:rPr>
        <w:rFonts w:hint="default"/>
      </w:rPr>
    </w:lvl>
    <w:lvl w:ilvl="5">
      <w:start w:val="1"/>
      <w:numFmt w:val="bullet"/>
      <w:lvlText w:val="•"/>
      <w:lvlJc w:val="left"/>
      <w:pPr>
        <w:ind w:left="4132" w:hanging="773"/>
      </w:pPr>
      <w:rPr>
        <w:rFonts w:hint="default"/>
      </w:rPr>
    </w:lvl>
    <w:lvl w:ilvl="6">
      <w:start w:val="1"/>
      <w:numFmt w:val="bullet"/>
      <w:lvlText w:val="•"/>
      <w:lvlJc w:val="left"/>
      <w:pPr>
        <w:ind w:left="5070" w:hanging="773"/>
      </w:pPr>
      <w:rPr>
        <w:rFonts w:hint="default"/>
      </w:rPr>
    </w:lvl>
    <w:lvl w:ilvl="7">
      <w:start w:val="1"/>
      <w:numFmt w:val="bullet"/>
      <w:lvlText w:val="•"/>
      <w:lvlJc w:val="left"/>
      <w:pPr>
        <w:ind w:left="6007" w:hanging="773"/>
      </w:pPr>
      <w:rPr>
        <w:rFonts w:hint="default"/>
      </w:rPr>
    </w:lvl>
    <w:lvl w:ilvl="8">
      <w:start w:val="1"/>
      <w:numFmt w:val="bullet"/>
      <w:lvlText w:val="•"/>
      <w:lvlJc w:val="left"/>
      <w:pPr>
        <w:ind w:left="6945" w:hanging="773"/>
      </w:pPr>
      <w:rPr>
        <w:rFonts w:hint="default"/>
      </w:rPr>
    </w:lvl>
  </w:abstractNum>
  <w:abstractNum w:abstractNumId="3">
    <w:multiLevelType w:val="hybridMultilevel"/>
    <w:lvl w:ilvl="0">
      <w:start w:val="6"/>
      <w:numFmt w:val="decimal"/>
      <w:lvlText w:val="%1"/>
      <w:lvlJc w:val="left"/>
      <w:pPr>
        <w:ind w:left="749" w:hanging="418"/>
        <w:jc w:val="left"/>
      </w:pPr>
      <w:rPr>
        <w:rFonts w:hint="default"/>
      </w:rPr>
    </w:lvl>
    <w:lvl w:ilvl="1">
      <w:start w:val="1"/>
      <w:numFmt w:val="decimal"/>
      <w:lvlText w:val="%1.%2."/>
      <w:lvlJc w:val="left"/>
      <w:pPr>
        <w:ind w:left="749" w:hanging="418"/>
        <w:jc w:val="left"/>
      </w:pPr>
      <w:rPr>
        <w:rFonts w:hint="default" w:ascii="Arial" w:hAnsi="Arial" w:eastAsia="Arial" w:cs="Arial"/>
        <w:spacing w:val="-2"/>
        <w:w w:val="102"/>
        <w:sz w:val="21"/>
        <w:szCs w:val="21"/>
      </w:rPr>
    </w:lvl>
    <w:lvl w:ilvl="2">
      <w:start w:val="2"/>
      <w:numFmt w:val="decimal"/>
      <w:lvlText w:val="%1.%2.%3."/>
      <w:lvlJc w:val="left"/>
      <w:pPr>
        <w:ind w:left="927" w:hanging="596"/>
        <w:jc w:val="left"/>
      </w:pPr>
      <w:rPr>
        <w:rFonts w:hint="default" w:ascii="Arial" w:hAnsi="Arial" w:eastAsia="Arial" w:cs="Arial"/>
        <w:spacing w:val="-5"/>
        <w:w w:val="102"/>
        <w:sz w:val="21"/>
        <w:szCs w:val="21"/>
      </w:rPr>
    </w:lvl>
    <w:lvl w:ilvl="3">
      <w:start w:val="1"/>
      <w:numFmt w:val="bullet"/>
      <w:lvlText w:val="•"/>
      <w:lvlJc w:val="left"/>
      <w:pPr>
        <w:ind w:left="2675" w:hanging="596"/>
      </w:pPr>
      <w:rPr>
        <w:rFonts w:hint="default"/>
      </w:rPr>
    </w:lvl>
    <w:lvl w:ilvl="4">
      <w:start w:val="1"/>
      <w:numFmt w:val="bullet"/>
      <w:lvlText w:val="•"/>
      <w:lvlJc w:val="left"/>
      <w:pPr>
        <w:ind w:left="3553" w:hanging="596"/>
      </w:pPr>
      <w:rPr>
        <w:rFonts w:hint="default"/>
      </w:rPr>
    </w:lvl>
    <w:lvl w:ilvl="5">
      <w:start w:val="1"/>
      <w:numFmt w:val="bullet"/>
      <w:lvlText w:val="•"/>
      <w:lvlJc w:val="left"/>
      <w:pPr>
        <w:ind w:left="4431" w:hanging="596"/>
      </w:pPr>
      <w:rPr>
        <w:rFonts w:hint="default"/>
      </w:rPr>
    </w:lvl>
    <w:lvl w:ilvl="6">
      <w:start w:val="1"/>
      <w:numFmt w:val="bullet"/>
      <w:lvlText w:val="•"/>
      <w:lvlJc w:val="left"/>
      <w:pPr>
        <w:ind w:left="5308" w:hanging="596"/>
      </w:pPr>
      <w:rPr>
        <w:rFonts w:hint="default"/>
      </w:rPr>
    </w:lvl>
    <w:lvl w:ilvl="7">
      <w:start w:val="1"/>
      <w:numFmt w:val="bullet"/>
      <w:lvlText w:val="•"/>
      <w:lvlJc w:val="left"/>
      <w:pPr>
        <w:ind w:left="6186" w:hanging="596"/>
      </w:pPr>
      <w:rPr>
        <w:rFonts w:hint="default"/>
      </w:rPr>
    </w:lvl>
    <w:lvl w:ilvl="8">
      <w:start w:val="1"/>
      <w:numFmt w:val="bullet"/>
      <w:lvlText w:val="•"/>
      <w:lvlJc w:val="left"/>
      <w:pPr>
        <w:ind w:left="7064" w:hanging="596"/>
      </w:pPr>
      <w:rPr>
        <w:rFonts w:hint="default"/>
      </w:rPr>
    </w:lvl>
  </w:abstractNum>
  <w:abstractNum w:abstractNumId="2">
    <w:multiLevelType w:val="hybridMultilevel"/>
    <w:lvl w:ilvl="0">
      <w:start w:val="6"/>
      <w:numFmt w:val="upperRoman"/>
      <w:lvlText w:val="%1."/>
      <w:lvlJc w:val="left"/>
      <w:pPr>
        <w:ind w:left="437" w:hanging="322"/>
        <w:jc w:val="left"/>
      </w:pPr>
      <w:rPr>
        <w:rFonts w:hint="default" w:ascii="Arial" w:hAnsi="Arial" w:eastAsia="Arial" w:cs="Arial"/>
        <w:w w:val="102"/>
        <w:sz w:val="21"/>
        <w:szCs w:val="21"/>
      </w:rPr>
    </w:lvl>
    <w:lvl w:ilvl="1">
      <w:start w:val="1"/>
      <w:numFmt w:val="bullet"/>
      <w:lvlText w:val="•"/>
      <w:lvlJc w:val="left"/>
      <w:pPr>
        <w:ind w:left="3020" w:hanging="322"/>
      </w:pPr>
      <w:rPr>
        <w:rFonts w:hint="default"/>
      </w:rPr>
    </w:lvl>
    <w:lvl w:ilvl="2">
      <w:start w:val="1"/>
      <w:numFmt w:val="bullet"/>
      <w:lvlText w:val="•"/>
      <w:lvlJc w:val="left"/>
      <w:pPr>
        <w:ind w:left="3664" w:hanging="322"/>
      </w:pPr>
      <w:rPr>
        <w:rFonts w:hint="default"/>
      </w:rPr>
    </w:lvl>
    <w:lvl w:ilvl="3">
      <w:start w:val="1"/>
      <w:numFmt w:val="bullet"/>
      <w:lvlText w:val="•"/>
      <w:lvlJc w:val="left"/>
      <w:pPr>
        <w:ind w:left="4308" w:hanging="322"/>
      </w:pPr>
      <w:rPr>
        <w:rFonts w:hint="default"/>
      </w:rPr>
    </w:lvl>
    <w:lvl w:ilvl="4">
      <w:start w:val="1"/>
      <w:numFmt w:val="bullet"/>
      <w:lvlText w:val="•"/>
      <w:lvlJc w:val="left"/>
      <w:pPr>
        <w:ind w:left="4953" w:hanging="322"/>
      </w:pPr>
      <w:rPr>
        <w:rFonts w:hint="default"/>
      </w:rPr>
    </w:lvl>
    <w:lvl w:ilvl="5">
      <w:start w:val="1"/>
      <w:numFmt w:val="bullet"/>
      <w:lvlText w:val="•"/>
      <w:lvlJc w:val="left"/>
      <w:pPr>
        <w:ind w:left="5597" w:hanging="322"/>
      </w:pPr>
      <w:rPr>
        <w:rFonts w:hint="default"/>
      </w:rPr>
    </w:lvl>
    <w:lvl w:ilvl="6">
      <w:start w:val="1"/>
      <w:numFmt w:val="bullet"/>
      <w:lvlText w:val="•"/>
      <w:lvlJc w:val="left"/>
      <w:pPr>
        <w:ind w:left="6242" w:hanging="322"/>
      </w:pPr>
      <w:rPr>
        <w:rFonts w:hint="default"/>
      </w:rPr>
    </w:lvl>
    <w:lvl w:ilvl="7">
      <w:start w:val="1"/>
      <w:numFmt w:val="bullet"/>
      <w:lvlText w:val="•"/>
      <w:lvlJc w:val="left"/>
      <w:pPr>
        <w:ind w:left="6886" w:hanging="322"/>
      </w:pPr>
      <w:rPr>
        <w:rFonts w:hint="default"/>
      </w:rPr>
    </w:lvl>
    <w:lvl w:ilvl="8">
      <w:start w:val="1"/>
      <w:numFmt w:val="bullet"/>
      <w:lvlText w:val="•"/>
      <w:lvlJc w:val="left"/>
      <w:pPr>
        <w:ind w:left="7531" w:hanging="322"/>
      </w:pPr>
      <w:rPr>
        <w:rFonts w:hint="default"/>
      </w:rPr>
    </w:lvl>
  </w:abstractNum>
  <w:abstractNum w:abstractNumId="1">
    <w:multiLevelType w:val="hybridMultilevel"/>
    <w:lvl w:ilvl="0">
      <w:start w:val="5"/>
      <w:numFmt w:val="decimal"/>
      <w:lvlText w:val="%1"/>
      <w:lvlJc w:val="left"/>
      <w:pPr>
        <w:ind w:left="749" w:hanging="418"/>
        <w:jc w:val="left"/>
      </w:pPr>
      <w:rPr>
        <w:rFonts w:hint="default"/>
      </w:rPr>
    </w:lvl>
    <w:lvl w:ilvl="1">
      <w:start w:val="1"/>
      <w:numFmt w:val="decimal"/>
      <w:lvlText w:val="%1.%2."/>
      <w:lvlJc w:val="left"/>
      <w:pPr>
        <w:ind w:left="749" w:hanging="418"/>
        <w:jc w:val="left"/>
      </w:pPr>
      <w:rPr>
        <w:rFonts w:hint="default" w:ascii="Arial" w:hAnsi="Arial" w:eastAsia="Arial" w:cs="Arial"/>
        <w:spacing w:val="-2"/>
        <w:w w:val="102"/>
        <w:sz w:val="21"/>
        <w:szCs w:val="21"/>
      </w:rPr>
    </w:lvl>
    <w:lvl w:ilvl="2">
      <w:start w:val="1"/>
      <w:numFmt w:val="bullet"/>
      <w:lvlText w:val="•"/>
      <w:lvlJc w:val="left"/>
      <w:pPr>
        <w:ind w:left="2356" w:hanging="418"/>
      </w:pPr>
      <w:rPr>
        <w:rFonts w:hint="default"/>
      </w:rPr>
    </w:lvl>
    <w:lvl w:ilvl="3">
      <w:start w:val="1"/>
      <w:numFmt w:val="bullet"/>
      <w:lvlText w:val="•"/>
      <w:lvlJc w:val="left"/>
      <w:pPr>
        <w:ind w:left="3164" w:hanging="418"/>
      </w:pPr>
      <w:rPr>
        <w:rFonts w:hint="default"/>
      </w:rPr>
    </w:lvl>
    <w:lvl w:ilvl="4">
      <w:start w:val="1"/>
      <w:numFmt w:val="bullet"/>
      <w:lvlText w:val="•"/>
      <w:lvlJc w:val="left"/>
      <w:pPr>
        <w:ind w:left="3972" w:hanging="418"/>
      </w:pPr>
      <w:rPr>
        <w:rFonts w:hint="default"/>
      </w:rPr>
    </w:lvl>
    <w:lvl w:ilvl="5">
      <w:start w:val="1"/>
      <w:numFmt w:val="bullet"/>
      <w:lvlText w:val="•"/>
      <w:lvlJc w:val="left"/>
      <w:pPr>
        <w:ind w:left="4780" w:hanging="418"/>
      </w:pPr>
      <w:rPr>
        <w:rFonts w:hint="default"/>
      </w:rPr>
    </w:lvl>
    <w:lvl w:ilvl="6">
      <w:start w:val="1"/>
      <w:numFmt w:val="bullet"/>
      <w:lvlText w:val="•"/>
      <w:lvlJc w:val="left"/>
      <w:pPr>
        <w:ind w:left="5588" w:hanging="418"/>
      </w:pPr>
      <w:rPr>
        <w:rFonts w:hint="default"/>
      </w:rPr>
    </w:lvl>
    <w:lvl w:ilvl="7">
      <w:start w:val="1"/>
      <w:numFmt w:val="bullet"/>
      <w:lvlText w:val="•"/>
      <w:lvlJc w:val="left"/>
      <w:pPr>
        <w:ind w:left="6396" w:hanging="418"/>
      </w:pPr>
      <w:rPr>
        <w:rFonts w:hint="default"/>
      </w:rPr>
    </w:lvl>
    <w:lvl w:ilvl="8">
      <w:start w:val="1"/>
      <w:numFmt w:val="bullet"/>
      <w:lvlText w:val="•"/>
      <w:lvlJc w:val="left"/>
      <w:pPr>
        <w:ind w:left="7204" w:hanging="418"/>
      </w:pPr>
      <w:rPr>
        <w:rFonts w:hint="default"/>
      </w:rPr>
    </w:lvl>
  </w:abstractNum>
  <w:abstractNum w:abstractNumId="0">
    <w:multiLevelType w:val="hybridMultilevel"/>
    <w:lvl w:ilvl="0">
      <w:start w:val="2"/>
      <w:numFmt w:val="decimal"/>
      <w:lvlText w:val="%1"/>
      <w:lvlJc w:val="left"/>
      <w:pPr>
        <w:ind w:left="749" w:hanging="418"/>
        <w:jc w:val="left"/>
      </w:pPr>
      <w:rPr>
        <w:rFonts w:hint="default"/>
      </w:rPr>
    </w:lvl>
    <w:lvl w:ilvl="1">
      <w:start w:val="1"/>
      <w:numFmt w:val="decimal"/>
      <w:lvlText w:val="%1.%2."/>
      <w:lvlJc w:val="left"/>
      <w:pPr>
        <w:ind w:left="749" w:hanging="418"/>
        <w:jc w:val="left"/>
      </w:pPr>
      <w:rPr>
        <w:rFonts w:hint="default" w:ascii="Arial" w:hAnsi="Arial" w:eastAsia="Arial" w:cs="Arial"/>
        <w:spacing w:val="-2"/>
        <w:w w:val="102"/>
        <w:sz w:val="21"/>
        <w:szCs w:val="21"/>
      </w:rPr>
    </w:lvl>
    <w:lvl w:ilvl="2">
      <w:start w:val="1"/>
      <w:numFmt w:val="bullet"/>
      <w:lvlText w:val="•"/>
      <w:lvlJc w:val="left"/>
      <w:pPr>
        <w:ind w:left="2356" w:hanging="418"/>
      </w:pPr>
      <w:rPr>
        <w:rFonts w:hint="default"/>
      </w:rPr>
    </w:lvl>
    <w:lvl w:ilvl="3">
      <w:start w:val="1"/>
      <w:numFmt w:val="bullet"/>
      <w:lvlText w:val="•"/>
      <w:lvlJc w:val="left"/>
      <w:pPr>
        <w:ind w:left="3164" w:hanging="418"/>
      </w:pPr>
      <w:rPr>
        <w:rFonts w:hint="default"/>
      </w:rPr>
    </w:lvl>
    <w:lvl w:ilvl="4">
      <w:start w:val="1"/>
      <w:numFmt w:val="bullet"/>
      <w:lvlText w:val="•"/>
      <w:lvlJc w:val="left"/>
      <w:pPr>
        <w:ind w:left="3972" w:hanging="418"/>
      </w:pPr>
      <w:rPr>
        <w:rFonts w:hint="default"/>
      </w:rPr>
    </w:lvl>
    <w:lvl w:ilvl="5">
      <w:start w:val="1"/>
      <w:numFmt w:val="bullet"/>
      <w:lvlText w:val="•"/>
      <w:lvlJc w:val="left"/>
      <w:pPr>
        <w:ind w:left="4780" w:hanging="418"/>
      </w:pPr>
      <w:rPr>
        <w:rFonts w:hint="default"/>
      </w:rPr>
    </w:lvl>
    <w:lvl w:ilvl="6">
      <w:start w:val="1"/>
      <w:numFmt w:val="bullet"/>
      <w:lvlText w:val="•"/>
      <w:lvlJc w:val="left"/>
      <w:pPr>
        <w:ind w:left="5588" w:hanging="418"/>
      </w:pPr>
      <w:rPr>
        <w:rFonts w:hint="default"/>
      </w:rPr>
    </w:lvl>
    <w:lvl w:ilvl="7">
      <w:start w:val="1"/>
      <w:numFmt w:val="bullet"/>
      <w:lvlText w:val="•"/>
      <w:lvlJc w:val="left"/>
      <w:pPr>
        <w:ind w:left="6396" w:hanging="418"/>
      </w:pPr>
      <w:rPr>
        <w:rFonts w:hint="default"/>
      </w:rPr>
    </w:lvl>
    <w:lvl w:ilvl="8">
      <w:start w:val="1"/>
      <w:numFmt w:val="bullet"/>
      <w:lvlText w:val="•"/>
      <w:lvlJc w:val="left"/>
      <w:pPr>
        <w:ind w:left="7204" w:hanging="418"/>
      </w:pPr>
      <w:rPr>
        <w:rFonts w:hint="default"/>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42"/>
      <w:ind w:left="115"/>
    </w:pPr>
    <w:rPr>
      <w:rFonts w:ascii="Arial" w:hAnsi="Arial" w:eastAsia="Arial" w:cs="Arial"/>
      <w:sz w:val="21"/>
      <w:szCs w:val="21"/>
    </w:rPr>
  </w:style>
  <w:style w:styleId="TOC2" w:type="paragraph">
    <w:name w:val="TOC 2"/>
    <w:basedOn w:val="Normal"/>
    <w:uiPriority w:val="1"/>
    <w:qFormat/>
    <w:pPr>
      <w:spacing w:before="139"/>
      <w:ind w:left="749" w:hanging="417"/>
    </w:pPr>
    <w:rPr>
      <w:rFonts w:ascii="Arial" w:hAnsi="Arial" w:eastAsia="Arial" w:cs="Arial"/>
      <w:sz w:val="21"/>
      <w:szCs w:val="21"/>
    </w:rPr>
  </w:style>
  <w:style w:styleId="TOC3" w:type="paragraph">
    <w:name w:val="TOC 3"/>
    <w:basedOn w:val="Normal"/>
    <w:uiPriority w:val="1"/>
    <w:qFormat/>
    <w:pPr>
      <w:spacing w:before="142"/>
      <w:ind w:left="1315" w:hanging="772"/>
    </w:pPr>
    <w:rPr>
      <w:rFonts w:ascii="Arial" w:hAnsi="Arial" w:eastAsia="Arial" w:cs="Arial"/>
      <w:sz w:val="21"/>
      <w:szCs w:val="21"/>
    </w:rPr>
  </w:style>
  <w:style w:styleId="BodyText" w:type="paragraph">
    <w:name w:val="Body Text"/>
    <w:basedOn w:val="Normal"/>
    <w:uiPriority w:val="1"/>
    <w:qFormat/>
    <w:pPr/>
    <w:rPr>
      <w:rFonts w:ascii="Arial" w:hAnsi="Arial" w:eastAsia="Arial" w:cs="Arial"/>
      <w:sz w:val="23"/>
      <w:szCs w:val="23"/>
    </w:rPr>
  </w:style>
  <w:style w:styleId="Heading1" w:type="paragraph">
    <w:name w:val="Heading 1"/>
    <w:basedOn w:val="Normal"/>
    <w:uiPriority w:val="1"/>
    <w:qFormat/>
    <w:pPr>
      <w:ind w:left="115"/>
      <w:jc w:val="both"/>
      <w:outlineLvl w:val="1"/>
    </w:pPr>
    <w:rPr>
      <w:rFonts w:ascii="Arial" w:hAnsi="Arial" w:eastAsia="Arial" w:cs="Arial"/>
      <w:b/>
      <w:bCs/>
      <w:sz w:val="23"/>
      <w:szCs w:val="23"/>
    </w:rPr>
  </w:style>
  <w:style w:styleId="ListParagraph" w:type="paragraph">
    <w:name w:val="List Paragraph"/>
    <w:basedOn w:val="Normal"/>
    <w:uiPriority w:val="1"/>
    <w:qFormat/>
    <w:pPr>
      <w:spacing w:before="142"/>
      <w:ind w:left="749" w:hanging="417"/>
    </w:pPr>
    <w:rPr>
      <w:rFonts w:ascii="Arial" w:hAnsi="Arial" w:eastAsia="Arial" w:cs="Arial"/>
    </w:rPr>
  </w:style>
  <w:style w:styleId="TableParagraph" w:type="paragraph">
    <w:name w:val="Table Paragraph"/>
    <w:basedOn w:val="Normal"/>
    <w:uiPriority w:val="1"/>
    <w:qFormat/>
    <w:pPr>
      <w:spacing w:before="28"/>
      <w:ind w:left="34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image" Target="media/image3.png"/><Relationship Id="rId18" Type="http://schemas.openxmlformats.org/officeDocument/2006/relationships/hyperlink" Target="mailto:asalem70@yahoo.com" TargetMode="External"/><Relationship Id="rId19" Type="http://schemas.openxmlformats.org/officeDocument/2006/relationships/footer" Target="footer11.xml"/><Relationship Id="rId20" Type="http://schemas.openxmlformats.org/officeDocument/2006/relationships/image" Target="media/image4.png"/><Relationship Id="rId21" Type="http://schemas.openxmlformats.org/officeDocument/2006/relationships/image" Target="media/image5.png"/><Relationship Id="rId22" Type="http://schemas.openxmlformats.org/officeDocument/2006/relationships/image" Target="media/image6.png"/><Relationship Id="rId23" Type="http://schemas.openxmlformats.org/officeDocument/2006/relationships/image" Target="media/image7.png"/><Relationship Id="rId24" Type="http://schemas.openxmlformats.org/officeDocument/2006/relationships/image" Target="media/image8.png"/><Relationship Id="rId25" Type="http://schemas.openxmlformats.org/officeDocument/2006/relationships/image" Target="media/image9.png"/><Relationship Id="rId26" Type="http://schemas.openxmlformats.org/officeDocument/2006/relationships/image" Target="media/image10.png"/><Relationship Id="rId27" Type="http://schemas.openxmlformats.org/officeDocument/2006/relationships/image" Target="media/image11.png"/><Relationship Id="rId28" Type="http://schemas.openxmlformats.org/officeDocument/2006/relationships/image" Target="media/image12.png"/><Relationship Id="rId29" Type="http://schemas.openxmlformats.org/officeDocument/2006/relationships/image" Target="media/image13.png"/><Relationship Id="rId30" Type="http://schemas.openxmlformats.org/officeDocument/2006/relationships/image" Target="media/image14.png"/><Relationship Id="rId31" Type="http://schemas.openxmlformats.org/officeDocument/2006/relationships/image" Target="media/image15.png"/><Relationship Id="rId32" Type="http://schemas.openxmlformats.org/officeDocument/2006/relationships/image" Target="media/image16.png"/><Relationship Id="rId33" Type="http://schemas.openxmlformats.org/officeDocument/2006/relationships/image" Target="media/image17.png"/><Relationship Id="rId34" Type="http://schemas.openxmlformats.org/officeDocument/2006/relationships/image" Target="media/image18.png"/><Relationship Id="rId35" Type="http://schemas.openxmlformats.org/officeDocument/2006/relationships/image" Target="media/image19.png"/><Relationship Id="rId36" Type="http://schemas.openxmlformats.org/officeDocument/2006/relationships/image" Target="media/image20.png"/><Relationship Id="rId37" Type="http://schemas.openxmlformats.org/officeDocument/2006/relationships/image" Target="media/image21.png"/><Relationship Id="rId38" Type="http://schemas.openxmlformats.org/officeDocument/2006/relationships/image" Target="media/image22.png"/><Relationship Id="rId39" Type="http://schemas.openxmlformats.org/officeDocument/2006/relationships/image" Target="media/image23.png"/><Relationship Id="rId40" Type="http://schemas.openxmlformats.org/officeDocument/2006/relationships/image" Target="media/image24.png"/><Relationship Id="rId41" Type="http://schemas.openxmlformats.org/officeDocument/2006/relationships/image" Target="media/image25.png"/><Relationship Id="rId42" Type="http://schemas.openxmlformats.org/officeDocument/2006/relationships/image" Target="media/image26.png"/><Relationship Id="rId43" Type="http://schemas.openxmlformats.org/officeDocument/2006/relationships/image" Target="media/image27.png"/><Relationship Id="rId44" Type="http://schemas.openxmlformats.org/officeDocument/2006/relationships/image" Target="media/image28.png"/><Relationship Id="rId45" Type="http://schemas.openxmlformats.org/officeDocument/2006/relationships/image" Target="media/image29.png"/><Relationship Id="rId46" Type="http://schemas.openxmlformats.org/officeDocument/2006/relationships/image" Target="media/image30.png"/><Relationship Id="rId47" Type="http://schemas.openxmlformats.org/officeDocument/2006/relationships/image" Target="media/image31.png"/><Relationship Id="rId48" Type="http://schemas.openxmlformats.org/officeDocument/2006/relationships/image" Target="media/image32.png"/><Relationship Id="rId49" Type="http://schemas.openxmlformats.org/officeDocument/2006/relationships/image" Target="media/image33.png"/><Relationship Id="rId50" Type="http://schemas.openxmlformats.org/officeDocument/2006/relationships/image" Target="media/image34.png"/><Relationship Id="rId51" Type="http://schemas.openxmlformats.org/officeDocument/2006/relationships/image" Target="media/image35.png"/><Relationship Id="rId52" Type="http://schemas.openxmlformats.org/officeDocument/2006/relationships/image" Target="media/image36.png"/><Relationship Id="rId53" Type="http://schemas.openxmlformats.org/officeDocument/2006/relationships/image" Target="media/image37.png"/><Relationship Id="rId54" Type="http://schemas.openxmlformats.org/officeDocument/2006/relationships/image" Target="media/image38.png"/><Relationship Id="rId55" Type="http://schemas.openxmlformats.org/officeDocument/2006/relationships/image" Target="media/image39.png"/><Relationship Id="rId56" Type="http://schemas.openxmlformats.org/officeDocument/2006/relationships/image" Target="media/image40.png"/><Relationship Id="rId57" Type="http://schemas.openxmlformats.org/officeDocument/2006/relationships/image" Target="media/image41.png"/><Relationship Id="rId58" Type="http://schemas.openxmlformats.org/officeDocument/2006/relationships/image" Target="media/image42.png"/><Relationship Id="rId59" Type="http://schemas.openxmlformats.org/officeDocument/2006/relationships/image" Target="media/image43.png"/><Relationship Id="rId60" Type="http://schemas.openxmlformats.org/officeDocument/2006/relationships/image" Target="media/image44.png"/><Relationship Id="rId61" Type="http://schemas.openxmlformats.org/officeDocument/2006/relationships/image" Target="media/image45.png"/><Relationship Id="rId62" Type="http://schemas.openxmlformats.org/officeDocument/2006/relationships/image" Target="media/image46.png"/><Relationship Id="rId63" Type="http://schemas.openxmlformats.org/officeDocument/2006/relationships/image" Target="media/image47.png"/><Relationship Id="rId64" Type="http://schemas.openxmlformats.org/officeDocument/2006/relationships/image" Target="media/image48.png"/><Relationship Id="rId65" Type="http://schemas.openxmlformats.org/officeDocument/2006/relationships/image" Target="media/image49.png"/><Relationship Id="rId66" Type="http://schemas.openxmlformats.org/officeDocument/2006/relationships/image" Target="media/image50.png"/><Relationship Id="rId67" Type="http://schemas.openxmlformats.org/officeDocument/2006/relationships/image" Target="media/image51.png"/><Relationship Id="rId68" Type="http://schemas.openxmlformats.org/officeDocument/2006/relationships/image" Target="media/image52.png"/><Relationship Id="rId69" Type="http://schemas.openxmlformats.org/officeDocument/2006/relationships/image" Target="media/image53.png"/><Relationship Id="rId70" Type="http://schemas.openxmlformats.org/officeDocument/2006/relationships/image" Target="media/image54.png"/><Relationship Id="rId71" Type="http://schemas.openxmlformats.org/officeDocument/2006/relationships/image" Target="media/image55.png"/><Relationship Id="rId72" Type="http://schemas.openxmlformats.org/officeDocument/2006/relationships/image" Target="media/image56.png"/><Relationship Id="rId73" Type="http://schemas.openxmlformats.org/officeDocument/2006/relationships/image" Target="media/image57.png"/><Relationship Id="rId74" Type="http://schemas.openxmlformats.org/officeDocument/2006/relationships/image" Target="media/image58.png"/><Relationship Id="rId75" Type="http://schemas.openxmlformats.org/officeDocument/2006/relationships/image" Target="media/image59.png"/><Relationship Id="rId76" Type="http://schemas.openxmlformats.org/officeDocument/2006/relationships/image" Target="media/image60.png"/><Relationship Id="rId77" Type="http://schemas.openxmlformats.org/officeDocument/2006/relationships/image" Target="media/image61.png"/><Relationship Id="rId78" Type="http://schemas.openxmlformats.org/officeDocument/2006/relationships/image" Target="media/image62.png"/><Relationship Id="rId79" Type="http://schemas.openxmlformats.org/officeDocument/2006/relationships/image" Target="media/image63.png"/><Relationship Id="rId80" Type="http://schemas.openxmlformats.org/officeDocument/2006/relationships/image" Target="media/image64.png"/><Relationship Id="rId81" Type="http://schemas.openxmlformats.org/officeDocument/2006/relationships/image" Target="media/image65.png"/><Relationship Id="rId82" Type="http://schemas.openxmlformats.org/officeDocument/2006/relationships/image" Target="media/image66.png"/><Relationship Id="rId83" Type="http://schemas.openxmlformats.org/officeDocument/2006/relationships/image" Target="media/image67.png"/><Relationship Id="rId84" Type="http://schemas.openxmlformats.org/officeDocument/2006/relationships/image" Target="media/image68.png"/><Relationship Id="rId85" Type="http://schemas.openxmlformats.org/officeDocument/2006/relationships/image" Target="media/image69.png"/><Relationship Id="rId86" Type="http://schemas.openxmlformats.org/officeDocument/2006/relationships/image" Target="media/image70.png"/><Relationship Id="rId87" Type="http://schemas.openxmlformats.org/officeDocument/2006/relationships/image" Target="media/image71.png"/><Relationship Id="rId88" Type="http://schemas.openxmlformats.org/officeDocument/2006/relationships/image" Target="media/image72.png"/><Relationship Id="rId89" Type="http://schemas.openxmlformats.org/officeDocument/2006/relationships/image" Target="media/image73.png"/><Relationship Id="rId90" Type="http://schemas.openxmlformats.org/officeDocument/2006/relationships/image" Target="media/image74.png"/><Relationship Id="rId91" Type="http://schemas.openxmlformats.org/officeDocument/2006/relationships/image" Target="media/image75.png"/><Relationship Id="rId92" Type="http://schemas.openxmlformats.org/officeDocument/2006/relationships/image" Target="media/image76.png"/><Relationship Id="rId93" Type="http://schemas.openxmlformats.org/officeDocument/2006/relationships/image" Target="media/image77.png"/><Relationship Id="rId94" Type="http://schemas.openxmlformats.org/officeDocument/2006/relationships/image" Target="media/image78.png"/><Relationship Id="rId95" Type="http://schemas.openxmlformats.org/officeDocument/2006/relationships/image" Target="media/image79.png"/><Relationship Id="rId96" Type="http://schemas.openxmlformats.org/officeDocument/2006/relationships/image" Target="media/image80.png"/><Relationship Id="rId97" Type="http://schemas.openxmlformats.org/officeDocument/2006/relationships/image" Target="media/image81.png"/><Relationship Id="rId98" Type="http://schemas.openxmlformats.org/officeDocument/2006/relationships/image" Target="media/image82.png"/><Relationship Id="rId99" Type="http://schemas.openxmlformats.org/officeDocument/2006/relationships/image" Target="media/image83.png"/><Relationship Id="rId100" Type="http://schemas.openxmlformats.org/officeDocument/2006/relationships/image" Target="media/image84.png"/><Relationship Id="rId101" Type="http://schemas.openxmlformats.org/officeDocument/2006/relationships/image" Target="media/image85.png"/><Relationship Id="rId102" Type="http://schemas.openxmlformats.org/officeDocument/2006/relationships/image" Target="media/image86.png"/><Relationship Id="rId103" Type="http://schemas.openxmlformats.org/officeDocument/2006/relationships/image" Target="media/image87.png"/><Relationship Id="rId104" Type="http://schemas.openxmlformats.org/officeDocument/2006/relationships/image" Target="media/image88.png"/><Relationship Id="rId105" Type="http://schemas.openxmlformats.org/officeDocument/2006/relationships/image" Target="media/image89.png"/><Relationship Id="rId106" Type="http://schemas.openxmlformats.org/officeDocument/2006/relationships/image" Target="media/image90.png"/><Relationship Id="rId107" Type="http://schemas.openxmlformats.org/officeDocument/2006/relationships/image" Target="media/image91.png"/><Relationship Id="rId108" Type="http://schemas.openxmlformats.org/officeDocument/2006/relationships/image" Target="media/image92.png"/><Relationship Id="rId109" Type="http://schemas.openxmlformats.org/officeDocument/2006/relationships/image" Target="media/image93.png"/><Relationship Id="rId110" Type="http://schemas.openxmlformats.org/officeDocument/2006/relationships/image" Target="media/image94.png"/><Relationship Id="rId111" Type="http://schemas.openxmlformats.org/officeDocument/2006/relationships/image" Target="media/image95.png"/><Relationship Id="rId112" Type="http://schemas.openxmlformats.org/officeDocument/2006/relationships/image" Target="media/image96.png"/><Relationship Id="rId113" Type="http://schemas.openxmlformats.org/officeDocument/2006/relationships/image" Target="media/image97.png"/><Relationship Id="rId114" Type="http://schemas.openxmlformats.org/officeDocument/2006/relationships/image" Target="media/image98.png"/><Relationship Id="rId115" Type="http://schemas.openxmlformats.org/officeDocument/2006/relationships/image" Target="media/image99.png"/><Relationship Id="rId116" Type="http://schemas.openxmlformats.org/officeDocument/2006/relationships/image" Target="media/image100.png"/><Relationship Id="rId117" Type="http://schemas.openxmlformats.org/officeDocument/2006/relationships/image" Target="media/image101.png"/><Relationship Id="rId118" Type="http://schemas.openxmlformats.org/officeDocument/2006/relationships/image" Target="media/image102.png"/><Relationship Id="rId119" Type="http://schemas.openxmlformats.org/officeDocument/2006/relationships/image" Target="media/image103.png"/><Relationship Id="rId120" Type="http://schemas.openxmlformats.org/officeDocument/2006/relationships/image" Target="media/image104.png"/><Relationship Id="rId121" Type="http://schemas.openxmlformats.org/officeDocument/2006/relationships/image" Target="media/image105.png"/><Relationship Id="rId122" Type="http://schemas.openxmlformats.org/officeDocument/2006/relationships/image" Target="media/image106.png"/><Relationship Id="rId123" Type="http://schemas.openxmlformats.org/officeDocument/2006/relationships/image" Target="media/image107.png"/><Relationship Id="rId124" Type="http://schemas.openxmlformats.org/officeDocument/2006/relationships/image" Target="media/image108.png"/><Relationship Id="rId125" Type="http://schemas.openxmlformats.org/officeDocument/2006/relationships/image" Target="media/image109.png"/><Relationship Id="rId126" Type="http://schemas.openxmlformats.org/officeDocument/2006/relationships/image" Target="media/image110.png"/><Relationship Id="rId127" Type="http://schemas.openxmlformats.org/officeDocument/2006/relationships/image" Target="media/image111.png"/><Relationship Id="rId128" Type="http://schemas.openxmlformats.org/officeDocument/2006/relationships/image" Target="media/image112.png"/><Relationship Id="rId129" Type="http://schemas.openxmlformats.org/officeDocument/2006/relationships/image" Target="media/image113.png"/><Relationship Id="rId130" Type="http://schemas.openxmlformats.org/officeDocument/2006/relationships/image" Target="media/image114.png"/><Relationship Id="rId131" Type="http://schemas.openxmlformats.org/officeDocument/2006/relationships/image" Target="media/image115.png"/><Relationship Id="rId132" Type="http://schemas.openxmlformats.org/officeDocument/2006/relationships/image" Target="media/image116.png"/><Relationship Id="rId133" Type="http://schemas.openxmlformats.org/officeDocument/2006/relationships/image" Target="media/image117.png"/><Relationship Id="rId134" Type="http://schemas.openxmlformats.org/officeDocument/2006/relationships/image" Target="media/image118.png"/><Relationship Id="rId135" Type="http://schemas.openxmlformats.org/officeDocument/2006/relationships/image" Target="media/image119.png"/><Relationship Id="rId136" Type="http://schemas.openxmlformats.org/officeDocument/2006/relationships/image" Target="media/image120.png"/><Relationship Id="rId137" Type="http://schemas.openxmlformats.org/officeDocument/2006/relationships/image" Target="media/image121.png"/><Relationship Id="rId138" Type="http://schemas.openxmlformats.org/officeDocument/2006/relationships/image" Target="media/image122.png"/><Relationship Id="rId139" Type="http://schemas.openxmlformats.org/officeDocument/2006/relationships/image" Target="media/image123.png"/><Relationship Id="rId140" Type="http://schemas.openxmlformats.org/officeDocument/2006/relationships/image" Target="media/image124.png"/><Relationship Id="rId141" Type="http://schemas.openxmlformats.org/officeDocument/2006/relationships/image" Target="media/image125.png"/><Relationship Id="rId142" Type="http://schemas.openxmlformats.org/officeDocument/2006/relationships/image" Target="media/image126.png"/><Relationship Id="rId143" Type="http://schemas.openxmlformats.org/officeDocument/2006/relationships/image" Target="media/image127.png"/><Relationship Id="rId144" Type="http://schemas.openxmlformats.org/officeDocument/2006/relationships/image" Target="media/image128.png"/><Relationship Id="rId145" Type="http://schemas.openxmlformats.org/officeDocument/2006/relationships/image" Target="media/image129.png"/><Relationship Id="rId146" Type="http://schemas.openxmlformats.org/officeDocument/2006/relationships/image" Target="media/image130.png"/><Relationship Id="rId147" Type="http://schemas.openxmlformats.org/officeDocument/2006/relationships/image" Target="media/image131.png"/><Relationship Id="rId148" Type="http://schemas.openxmlformats.org/officeDocument/2006/relationships/image" Target="media/image132.png"/><Relationship Id="rId149" Type="http://schemas.openxmlformats.org/officeDocument/2006/relationships/image" Target="media/image133.png"/><Relationship Id="rId150" Type="http://schemas.openxmlformats.org/officeDocument/2006/relationships/image" Target="media/image134.png"/><Relationship Id="rId151" Type="http://schemas.openxmlformats.org/officeDocument/2006/relationships/image" Target="media/image135.png"/><Relationship Id="rId152" Type="http://schemas.openxmlformats.org/officeDocument/2006/relationships/image" Target="media/image136.png"/><Relationship Id="rId153" Type="http://schemas.openxmlformats.org/officeDocument/2006/relationships/image" Target="media/image137.png"/><Relationship Id="rId154" Type="http://schemas.openxmlformats.org/officeDocument/2006/relationships/image" Target="media/image138.png"/><Relationship Id="rId155" Type="http://schemas.openxmlformats.org/officeDocument/2006/relationships/image" Target="media/image139.png"/><Relationship Id="rId156" Type="http://schemas.openxmlformats.org/officeDocument/2006/relationships/image" Target="media/image140.png"/><Relationship Id="rId157" Type="http://schemas.openxmlformats.org/officeDocument/2006/relationships/image" Target="media/image141.png"/><Relationship Id="rId158" Type="http://schemas.openxmlformats.org/officeDocument/2006/relationships/image" Target="media/image142.png"/><Relationship Id="rId159" Type="http://schemas.openxmlformats.org/officeDocument/2006/relationships/image" Target="media/image143.png"/><Relationship Id="rId160" Type="http://schemas.openxmlformats.org/officeDocument/2006/relationships/image" Target="media/image144.png"/><Relationship Id="rId161" Type="http://schemas.openxmlformats.org/officeDocument/2006/relationships/image" Target="media/image145.png"/><Relationship Id="rId162" Type="http://schemas.openxmlformats.org/officeDocument/2006/relationships/image" Target="media/image146.png"/><Relationship Id="rId163" Type="http://schemas.openxmlformats.org/officeDocument/2006/relationships/image" Target="media/image147.png"/><Relationship Id="rId164" Type="http://schemas.openxmlformats.org/officeDocument/2006/relationships/image" Target="media/image148.png"/><Relationship Id="rId165" Type="http://schemas.openxmlformats.org/officeDocument/2006/relationships/image" Target="media/image149.png"/><Relationship Id="rId166" Type="http://schemas.openxmlformats.org/officeDocument/2006/relationships/image" Target="media/image150.png"/><Relationship Id="rId167" Type="http://schemas.openxmlformats.org/officeDocument/2006/relationships/image" Target="media/image151.png"/><Relationship Id="rId168" Type="http://schemas.openxmlformats.org/officeDocument/2006/relationships/image" Target="media/image152.png"/><Relationship Id="rId169" Type="http://schemas.openxmlformats.org/officeDocument/2006/relationships/image" Target="media/image153.png"/><Relationship Id="rId170" Type="http://schemas.openxmlformats.org/officeDocument/2006/relationships/image" Target="media/image154.png"/><Relationship Id="rId171" Type="http://schemas.openxmlformats.org/officeDocument/2006/relationships/image" Target="media/image155.png"/><Relationship Id="rId172" Type="http://schemas.openxmlformats.org/officeDocument/2006/relationships/image" Target="media/image156.png"/><Relationship Id="rId173" Type="http://schemas.openxmlformats.org/officeDocument/2006/relationships/image" Target="media/image157.png"/><Relationship Id="rId174" Type="http://schemas.openxmlformats.org/officeDocument/2006/relationships/image" Target="media/image158.png"/><Relationship Id="rId175" Type="http://schemas.openxmlformats.org/officeDocument/2006/relationships/image" Target="media/image159.png"/><Relationship Id="rId176" Type="http://schemas.openxmlformats.org/officeDocument/2006/relationships/image" Target="media/image160.png"/><Relationship Id="rId177" Type="http://schemas.openxmlformats.org/officeDocument/2006/relationships/image" Target="media/image161.png"/><Relationship Id="rId178" Type="http://schemas.openxmlformats.org/officeDocument/2006/relationships/image" Target="media/image162.png"/><Relationship Id="rId179" Type="http://schemas.openxmlformats.org/officeDocument/2006/relationships/image" Target="media/image163.png"/><Relationship Id="rId180" Type="http://schemas.openxmlformats.org/officeDocument/2006/relationships/image" Target="media/image164.png"/><Relationship Id="rId181" Type="http://schemas.openxmlformats.org/officeDocument/2006/relationships/image" Target="media/image165.png"/><Relationship Id="rId182" Type="http://schemas.openxmlformats.org/officeDocument/2006/relationships/image" Target="media/image166.png"/><Relationship Id="rId183" Type="http://schemas.openxmlformats.org/officeDocument/2006/relationships/image" Target="media/image167.png"/><Relationship Id="rId184" Type="http://schemas.openxmlformats.org/officeDocument/2006/relationships/image" Target="media/image168.png"/><Relationship Id="rId185" Type="http://schemas.openxmlformats.org/officeDocument/2006/relationships/image" Target="media/image169.png"/><Relationship Id="rId186" Type="http://schemas.openxmlformats.org/officeDocument/2006/relationships/image" Target="media/image170.png"/><Relationship Id="rId187" Type="http://schemas.openxmlformats.org/officeDocument/2006/relationships/image" Target="media/image171.png"/><Relationship Id="rId188" Type="http://schemas.openxmlformats.org/officeDocument/2006/relationships/image" Target="media/image172.png"/><Relationship Id="rId189" Type="http://schemas.openxmlformats.org/officeDocument/2006/relationships/image" Target="media/image173.png"/><Relationship Id="rId190" Type="http://schemas.openxmlformats.org/officeDocument/2006/relationships/image" Target="media/image174.png"/><Relationship Id="rId191" Type="http://schemas.openxmlformats.org/officeDocument/2006/relationships/image" Target="media/image175.png"/><Relationship Id="rId192" Type="http://schemas.openxmlformats.org/officeDocument/2006/relationships/image" Target="media/image176.png"/><Relationship Id="rId193" Type="http://schemas.openxmlformats.org/officeDocument/2006/relationships/image" Target="media/image177.png"/><Relationship Id="rId194" Type="http://schemas.openxmlformats.org/officeDocument/2006/relationships/image" Target="media/image178.png"/><Relationship Id="rId195" Type="http://schemas.openxmlformats.org/officeDocument/2006/relationships/image" Target="media/image179.png"/><Relationship Id="rId196" Type="http://schemas.openxmlformats.org/officeDocument/2006/relationships/image" Target="media/image180.png"/><Relationship Id="rId197" Type="http://schemas.openxmlformats.org/officeDocument/2006/relationships/image" Target="media/image181.png"/><Relationship Id="rId198" Type="http://schemas.openxmlformats.org/officeDocument/2006/relationships/image" Target="media/image182.png"/><Relationship Id="rId199" Type="http://schemas.openxmlformats.org/officeDocument/2006/relationships/image" Target="media/image183.png"/><Relationship Id="rId200" Type="http://schemas.openxmlformats.org/officeDocument/2006/relationships/image" Target="media/image184.png"/><Relationship Id="rId201" Type="http://schemas.openxmlformats.org/officeDocument/2006/relationships/image" Target="media/image185.png"/><Relationship Id="rId202" Type="http://schemas.openxmlformats.org/officeDocument/2006/relationships/image" Target="media/image186.png"/><Relationship Id="rId203" Type="http://schemas.openxmlformats.org/officeDocument/2006/relationships/image" Target="media/image187.png"/><Relationship Id="rId204" Type="http://schemas.openxmlformats.org/officeDocument/2006/relationships/image" Target="media/image188.png"/><Relationship Id="rId205" Type="http://schemas.openxmlformats.org/officeDocument/2006/relationships/footer" Target="footer12.xml"/><Relationship Id="rId206" Type="http://schemas.openxmlformats.org/officeDocument/2006/relationships/image" Target="media/image189.png"/><Relationship Id="rId207" Type="http://schemas.openxmlformats.org/officeDocument/2006/relationships/image" Target="media/image190.png"/><Relationship Id="rId208" Type="http://schemas.openxmlformats.org/officeDocument/2006/relationships/image" Target="media/image191.png"/><Relationship Id="rId209" Type="http://schemas.openxmlformats.org/officeDocument/2006/relationships/footer" Target="footer13.xml"/><Relationship Id="rId210" Type="http://schemas.openxmlformats.org/officeDocument/2006/relationships/hyperlink" Target="mailto:ethel.dionela@springer.com" TargetMode="External"/><Relationship Id="rId211" Type="http://schemas.openxmlformats.org/officeDocument/2006/relationships/hyperlink" Target="http://trop.edmgr.com/" TargetMode="External"/><Relationship Id="rId212" Type="http://schemas.openxmlformats.org/officeDocument/2006/relationships/footer" Target="footer14.xml"/><Relationship Id="rId213" Type="http://schemas.openxmlformats.org/officeDocument/2006/relationships/footer" Target="footer15.xml"/><Relationship Id="rId214" Type="http://schemas.openxmlformats.org/officeDocument/2006/relationships/footer" Target="footer16.xml"/><Relationship Id="rId215" Type="http://schemas.openxmlformats.org/officeDocument/2006/relationships/footer" Target="footer17.xml"/><Relationship Id="rId216" Type="http://schemas.openxmlformats.org/officeDocument/2006/relationships/footer" Target="footer18.xml"/><Relationship Id="rId217" Type="http://schemas.openxmlformats.org/officeDocument/2006/relationships/footer" Target="footer19.xml"/><Relationship Id="rId218" Type="http://schemas.openxmlformats.org/officeDocument/2006/relationships/image" Target="media/image192.png"/><Relationship Id="rId219" Type="http://schemas.openxmlformats.org/officeDocument/2006/relationships/footer" Target="footer20.xml"/><Relationship Id="rId220" Type="http://schemas.openxmlformats.org/officeDocument/2006/relationships/hyperlink" Target="http://igecem.edomex.gob.mx/descargasgeograficas.html" TargetMode="External"/><Relationship Id="rId221" Type="http://schemas.openxmlformats.org/officeDocument/2006/relationships/footer" Target="footer21.xml"/><Relationship Id="rId22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2017-05-23T01:59:01Z</dcterms:created>
  <dcterms:modified xsi:type="dcterms:W3CDTF">2017-05-23T01:59:01Z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2017-05-22T00:00:00Z</vt:filetime>
  </property>
</Properties>
</file>